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C61F2" w14:textId="77777777" w:rsidR="00056EC4" w:rsidRPr="008E7073" w:rsidRDefault="00E9042A" w:rsidP="00056EC4">
      <w:pPr>
        <w:pStyle w:val="Body"/>
        <w:rPr>
          <w:rFonts w:cs="Arial"/>
        </w:rPr>
      </w:pPr>
      <w:r w:rsidRPr="008E7073">
        <w:rPr>
          <w:rFonts w:cs="Arial"/>
          <w:noProof/>
        </w:rPr>
        <w:drawing>
          <wp:anchor distT="0" distB="0" distL="114300" distR="114300" simplePos="0" relativeHeight="251658240" behindDoc="1" locked="1" layoutInCell="1" allowOverlap="0" wp14:anchorId="37DAC5F4" wp14:editId="16293BB2">
            <wp:simplePos x="0" y="0"/>
            <wp:positionH relativeFrom="page">
              <wp:align>right</wp:align>
            </wp:positionH>
            <wp:positionV relativeFrom="page">
              <wp:align>top</wp:align>
            </wp:positionV>
            <wp:extent cx="7555865" cy="10146665"/>
            <wp:effectExtent l="0" t="0" r="6985" b="698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8"/>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8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497"/>
        <w:gridCol w:w="4509"/>
        <w:gridCol w:w="2295"/>
      </w:tblGrid>
      <w:tr w:rsidR="00332150" w:rsidRPr="008E7073" w14:paraId="7503DCB3" w14:textId="77777777" w:rsidTr="00624A4D">
        <w:trPr>
          <w:cantSplit/>
        </w:trPr>
        <w:tc>
          <w:tcPr>
            <w:tcW w:w="2913" w:type="pct"/>
          </w:tcPr>
          <w:p w14:paraId="2FE81D85" w14:textId="77777777" w:rsidR="00332150" w:rsidRPr="008E7073" w:rsidRDefault="00332150" w:rsidP="00332150">
            <w:pPr>
              <w:pStyle w:val="Documenttitle"/>
              <w:rPr>
                <w:rFonts w:cs="Arial"/>
              </w:rPr>
            </w:pPr>
            <w:r w:rsidRPr="008E7073">
              <w:rPr>
                <w:rFonts w:cs="Arial"/>
              </w:rPr>
              <w:t>Victorian Role Delineation Framework</w:t>
            </w:r>
          </w:p>
          <w:p w14:paraId="67F25909" w14:textId="76C1477D" w:rsidR="00332150" w:rsidRPr="008E7073" w:rsidRDefault="00332150" w:rsidP="00332150">
            <w:pPr>
              <w:pStyle w:val="Documenttitle"/>
              <w:rPr>
                <w:rFonts w:cs="Arial"/>
              </w:rPr>
            </w:pPr>
            <w:r w:rsidRPr="008E7073">
              <w:rPr>
                <w:rFonts w:cs="Arial"/>
                <w:sz w:val="32"/>
                <w:szCs w:val="32"/>
              </w:rPr>
              <w:t>Defining Victoria’s Health Service Site Roles and Responsibilities</w:t>
            </w:r>
          </w:p>
        </w:tc>
        <w:tc>
          <w:tcPr>
            <w:tcW w:w="1383" w:type="pct"/>
          </w:tcPr>
          <w:p w14:paraId="6C58E6C6" w14:textId="2ECC1FF2" w:rsidR="00332150" w:rsidRPr="008E7073" w:rsidRDefault="00332150" w:rsidP="00332150">
            <w:pPr>
              <w:pStyle w:val="Documenttitle"/>
              <w:rPr>
                <w:rFonts w:cs="Arial"/>
              </w:rPr>
            </w:pPr>
          </w:p>
        </w:tc>
        <w:tc>
          <w:tcPr>
            <w:tcW w:w="704" w:type="pct"/>
            <w:tcMar>
              <w:top w:w="0" w:type="dxa"/>
              <w:left w:w="0" w:type="dxa"/>
              <w:right w:w="0" w:type="dxa"/>
            </w:tcMar>
          </w:tcPr>
          <w:p w14:paraId="4CC67859" w14:textId="0992CC45" w:rsidR="00332150" w:rsidRPr="008E7073" w:rsidRDefault="00332150" w:rsidP="00332150">
            <w:pPr>
              <w:pStyle w:val="Documenttitle"/>
              <w:rPr>
                <w:rFonts w:cs="Arial"/>
              </w:rPr>
            </w:pPr>
          </w:p>
        </w:tc>
      </w:tr>
      <w:tr w:rsidR="00332150" w:rsidRPr="008E7073" w14:paraId="3CC68977" w14:textId="77777777" w:rsidTr="00624A4D">
        <w:trPr>
          <w:cantSplit/>
        </w:trPr>
        <w:tc>
          <w:tcPr>
            <w:tcW w:w="2913" w:type="pct"/>
          </w:tcPr>
          <w:p w14:paraId="7B3B66AB" w14:textId="5479FDF2" w:rsidR="00332150" w:rsidRPr="008E7073" w:rsidRDefault="00332150" w:rsidP="00332150">
            <w:pPr>
              <w:pStyle w:val="Documentsubtitle"/>
              <w:rPr>
                <w:rFonts w:cs="Arial"/>
              </w:rPr>
            </w:pPr>
            <w:r w:rsidRPr="008E7073">
              <w:rPr>
                <w:rFonts w:cs="Arial"/>
              </w:rPr>
              <w:t>Version 1.0</w:t>
            </w:r>
            <w:r w:rsidR="004248BD">
              <w:rPr>
                <w:rFonts w:cs="Arial"/>
              </w:rPr>
              <w:t xml:space="preserve"> </w:t>
            </w:r>
          </w:p>
        </w:tc>
        <w:tc>
          <w:tcPr>
            <w:tcW w:w="1383" w:type="pct"/>
          </w:tcPr>
          <w:p w14:paraId="18E967D0" w14:textId="574E8B1B" w:rsidR="00332150" w:rsidRPr="008E7073" w:rsidRDefault="00332150" w:rsidP="00332150">
            <w:pPr>
              <w:pStyle w:val="Documentsubtitle"/>
              <w:rPr>
                <w:rFonts w:cs="Arial"/>
              </w:rPr>
            </w:pPr>
          </w:p>
        </w:tc>
        <w:tc>
          <w:tcPr>
            <w:tcW w:w="704" w:type="pct"/>
          </w:tcPr>
          <w:p w14:paraId="3036AE39" w14:textId="775EAE37" w:rsidR="00332150" w:rsidRPr="008E7073" w:rsidRDefault="00332150" w:rsidP="00332150">
            <w:pPr>
              <w:pStyle w:val="Documentsubtitle"/>
              <w:rPr>
                <w:rFonts w:cs="Arial"/>
              </w:rPr>
            </w:pPr>
          </w:p>
        </w:tc>
      </w:tr>
      <w:tr w:rsidR="00332150" w:rsidRPr="008E7073" w14:paraId="019AF1BB" w14:textId="77777777" w:rsidTr="00624A4D">
        <w:trPr>
          <w:cantSplit/>
        </w:trPr>
        <w:tc>
          <w:tcPr>
            <w:tcW w:w="2913" w:type="pct"/>
          </w:tcPr>
          <w:p w14:paraId="680C4C55" w14:textId="0FE47176" w:rsidR="00332150" w:rsidRPr="008E7073" w:rsidRDefault="00332150" w:rsidP="00332150">
            <w:pPr>
              <w:pStyle w:val="Bannermarking"/>
              <w:rPr>
                <w:rFonts w:cs="Arial"/>
              </w:rPr>
            </w:pPr>
            <w:r w:rsidRPr="008E7073">
              <w:rPr>
                <w:rFonts w:cs="Arial"/>
              </w:rPr>
              <w:fldChar w:fldCharType="begin"/>
            </w:r>
            <w:r w:rsidRPr="008E7073">
              <w:rPr>
                <w:rFonts w:cs="Arial"/>
              </w:rPr>
              <w:instrText xml:space="preserve"> FILLIN  "Type the protective marking" \d OFFICIAL \o  \* MERGEFORMAT </w:instrText>
            </w:r>
            <w:r w:rsidRPr="008E7073">
              <w:rPr>
                <w:rFonts w:cs="Arial"/>
              </w:rPr>
              <w:fldChar w:fldCharType="separate"/>
            </w:r>
            <w:r w:rsidRPr="008E7073">
              <w:rPr>
                <w:rFonts w:cs="Arial"/>
              </w:rPr>
              <w:t>OFFICIAL</w:t>
            </w:r>
            <w:r w:rsidRPr="008E7073">
              <w:rPr>
                <w:rFonts w:cs="Arial"/>
              </w:rPr>
              <w:fldChar w:fldCharType="end"/>
            </w:r>
          </w:p>
        </w:tc>
        <w:tc>
          <w:tcPr>
            <w:tcW w:w="1383" w:type="pct"/>
          </w:tcPr>
          <w:p w14:paraId="3925739F" w14:textId="30DEA27C" w:rsidR="00332150" w:rsidRPr="008E7073" w:rsidRDefault="00332150" w:rsidP="00332150">
            <w:pPr>
              <w:pStyle w:val="Bannermarking"/>
              <w:rPr>
                <w:rFonts w:cs="Arial"/>
              </w:rPr>
            </w:pPr>
          </w:p>
        </w:tc>
        <w:tc>
          <w:tcPr>
            <w:tcW w:w="704" w:type="pct"/>
          </w:tcPr>
          <w:p w14:paraId="27945C05" w14:textId="0B10FDB9" w:rsidR="00332150" w:rsidRPr="008E7073" w:rsidRDefault="00332150" w:rsidP="00332150">
            <w:pPr>
              <w:pStyle w:val="Bannermarking"/>
              <w:rPr>
                <w:rFonts w:cs="Arial"/>
              </w:rPr>
            </w:pPr>
          </w:p>
        </w:tc>
      </w:tr>
    </w:tbl>
    <w:p w14:paraId="3038321B" w14:textId="77777777" w:rsidR="00FE4081" w:rsidRPr="008E7073" w:rsidRDefault="00FE4081" w:rsidP="00FE4081">
      <w:pPr>
        <w:pStyle w:val="Body"/>
        <w:rPr>
          <w:rFonts w:cs="Arial"/>
        </w:rPr>
      </w:pPr>
    </w:p>
    <w:p w14:paraId="76E6FEDD" w14:textId="77777777" w:rsidR="00FE4081" w:rsidRPr="008E7073" w:rsidRDefault="00FE4081" w:rsidP="00FE4081">
      <w:pPr>
        <w:pStyle w:val="Body"/>
        <w:rPr>
          <w:rFonts w:cs="Arial"/>
        </w:rPr>
        <w:sectPr w:rsidR="00FE4081" w:rsidRPr="008E7073" w:rsidSect="002C5B7C">
          <w:footerReference w:type="even" r:id="rId9"/>
          <w:footerReference w:type="default" r:id="rId10"/>
          <w:footerReference w:type="first" r:id="rId11"/>
          <w:type w:val="continuous"/>
          <w:pgSz w:w="11906" w:h="16838" w:code="9"/>
          <w:pgMar w:top="3969" w:right="1304" w:bottom="1418" w:left="1304" w:header="680" w:footer="851" w:gutter="0"/>
          <w:cols w:space="340"/>
          <w:docGrid w:linePitch="360"/>
        </w:sectPr>
      </w:pPr>
    </w:p>
    <w:p w14:paraId="16CC4D73" w14:textId="77777777" w:rsidR="00431F42" w:rsidRPr="008E7073" w:rsidRDefault="00431F42" w:rsidP="00431F42">
      <w:pPr>
        <w:pStyle w:val="Body"/>
        <w:rPr>
          <w:rFonts w:cs="Arial"/>
        </w:rPr>
      </w:pPr>
      <w:r w:rsidRPr="008E7073">
        <w:rPr>
          <w:rFonts w:cs="Arial"/>
        </w:rPr>
        <w:lastRenderedPageBreak/>
        <w:br w:type="page"/>
      </w:r>
    </w:p>
    <w:tbl>
      <w:tblPr>
        <w:tblStyle w:val="TableGrid"/>
        <w:tblW w:w="7714"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714"/>
      </w:tblGrid>
      <w:tr w:rsidR="00431F42" w:rsidRPr="008E7073" w14:paraId="26ACB8A3" w14:textId="77777777" w:rsidTr="00553366">
        <w:trPr>
          <w:trHeight w:val="7453"/>
        </w:trPr>
        <w:tc>
          <w:tcPr>
            <w:tcW w:w="7714" w:type="dxa"/>
            <w:vAlign w:val="center"/>
          </w:tcPr>
          <w:p w14:paraId="6FDA495E" w14:textId="77777777" w:rsidR="00332150" w:rsidRPr="008E7073" w:rsidRDefault="00332150" w:rsidP="00332150">
            <w:pPr>
              <w:pStyle w:val="Documenttitle"/>
              <w:rPr>
                <w:rFonts w:cs="Arial"/>
              </w:rPr>
            </w:pPr>
            <w:r w:rsidRPr="008E7073">
              <w:rPr>
                <w:rFonts w:cs="Arial"/>
              </w:rPr>
              <w:lastRenderedPageBreak/>
              <w:t>Victorian Role Delineation Framework</w:t>
            </w:r>
          </w:p>
          <w:p w14:paraId="243D9821" w14:textId="77777777" w:rsidR="00332150" w:rsidRPr="008E7073" w:rsidRDefault="00332150" w:rsidP="00332150">
            <w:pPr>
              <w:pStyle w:val="Documenttitle"/>
              <w:rPr>
                <w:rFonts w:cs="Arial"/>
              </w:rPr>
            </w:pPr>
            <w:r w:rsidRPr="008E7073">
              <w:rPr>
                <w:rFonts w:cs="Arial"/>
                <w:sz w:val="32"/>
                <w:szCs w:val="32"/>
              </w:rPr>
              <w:t>Defining Victoria’s Health Service Site Roles and Responsibilities</w:t>
            </w:r>
          </w:p>
          <w:p w14:paraId="172FFA94" w14:textId="313C42C5" w:rsidR="00431F42" w:rsidRPr="008E7073" w:rsidRDefault="00431F42" w:rsidP="00431F42">
            <w:pPr>
              <w:pStyle w:val="Documentsubtitle"/>
              <w:rPr>
                <w:rFonts w:cs="Arial"/>
              </w:rPr>
            </w:pPr>
          </w:p>
        </w:tc>
      </w:tr>
      <w:tr w:rsidR="00431F42" w:rsidRPr="008E7073" w14:paraId="28D1D6AF" w14:textId="77777777" w:rsidTr="00553366">
        <w:trPr>
          <w:trHeight w:val="397"/>
        </w:trPr>
        <w:tc>
          <w:tcPr>
            <w:tcW w:w="7714" w:type="dxa"/>
          </w:tcPr>
          <w:p w14:paraId="4B3419E2" w14:textId="77777777" w:rsidR="00431F42" w:rsidRPr="008E7073" w:rsidRDefault="00431F42" w:rsidP="00431F42">
            <w:pPr>
              <w:pStyle w:val="Body"/>
              <w:rPr>
                <w:rFonts w:cs="Arial"/>
              </w:rPr>
            </w:pPr>
          </w:p>
        </w:tc>
      </w:tr>
    </w:tbl>
    <w:p w14:paraId="1525BA6A" w14:textId="77777777" w:rsidR="000D2ABA" w:rsidRPr="008E7073" w:rsidRDefault="000D2ABA" w:rsidP="00431F42">
      <w:pPr>
        <w:pStyle w:val="Body"/>
        <w:rPr>
          <w:rFonts w:cs="Arial"/>
        </w:rPr>
      </w:pPr>
      <w:r w:rsidRPr="008E7073">
        <w:rPr>
          <w:rFonts w:cs="Arial"/>
        </w:rPr>
        <w:br w:type="page"/>
      </w:r>
    </w:p>
    <w:p w14:paraId="636D28E1" w14:textId="77777777" w:rsidR="009F2182" w:rsidRPr="008E7073" w:rsidRDefault="009F2182" w:rsidP="009F2182">
      <w:pPr>
        <w:pStyle w:val="Body"/>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rsidRPr="008E7073" w14:paraId="0461B075" w14:textId="77777777" w:rsidTr="00562507">
        <w:trPr>
          <w:cantSplit/>
          <w:trHeight w:val="7088"/>
        </w:trPr>
        <w:tc>
          <w:tcPr>
            <w:tcW w:w="9288" w:type="dxa"/>
          </w:tcPr>
          <w:p w14:paraId="66CA9276" w14:textId="3DB27B96" w:rsidR="009F2182" w:rsidRPr="008E7073" w:rsidRDefault="009F2182" w:rsidP="00BA26F6">
            <w:pPr>
              <w:pStyle w:val="Body"/>
              <w:rPr>
                <w:rFonts w:eastAsia="Times New Roman" w:cs="Arial"/>
                <w:color w:val="87189D"/>
                <w:sz w:val="24"/>
                <w:szCs w:val="24"/>
              </w:rPr>
            </w:pPr>
          </w:p>
        </w:tc>
      </w:tr>
      <w:tr w:rsidR="009F2182" w:rsidRPr="008E7073" w14:paraId="7F4187CA" w14:textId="77777777" w:rsidTr="00562507">
        <w:trPr>
          <w:cantSplit/>
          <w:trHeight w:val="5103"/>
        </w:trPr>
        <w:tc>
          <w:tcPr>
            <w:tcW w:w="9288" w:type="dxa"/>
            <w:vAlign w:val="bottom"/>
          </w:tcPr>
          <w:p w14:paraId="23321F79" w14:textId="1FD637F6" w:rsidR="00332150" w:rsidRPr="008E7073" w:rsidRDefault="00332150" w:rsidP="00332150">
            <w:pPr>
              <w:pStyle w:val="Accessibilitypara"/>
              <w:rPr>
                <w:rFonts w:cs="Arial"/>
              </w:rPr>
            </w:pPr>
            <w:r w:rsidRPr="008E7073">
              <w:rPr>
                <w:rFonts w:cs="Arial"/>
              </w:rPr>
              <w:t xml:space="preserve">To receive this document in another format, phone </w:t>
            </w:r>
            <w:r w:rsidR="00407994" w:rsidRPr="00E00176">
              <w:rPr>
                <w:rFonts w:cs="Arial"/>
              </w:rPr>
              <w:t>1300</w:t>
            </w:r>
            <w:r w:rsidR="002918E8" w:rsidRPr="00E00176">
              <w:rPr>
                <w:rFonts w:cs="Arial"/>
              </w:rPr>
              <w:t xml:space="preserve"> 650 172</w:t>
            </w:r>
            <w:r w:rsidRPr="00E00176">
              <w:rPr>
                <w:rFonts w:cs="Arial"/>
              </w:rPr>
              <w:t xml:space="preserve">, </w:t>
            </w:r>
            <w:r w:rsidRPr="008E7073">
              <w:rPr>
                <w:rFonts w:cs="Arial"/>
              </w:rPr>
              <w:t>using the National Relay Service 13 36 77 if required</w:t>
            </w:r>
            <w:r w:rsidR="001F5AEB">
              <w:rPr>
                <w:rFonts w:cs="Arial"/>
              </w:rPr>
              <w:t xml:space="preserve">. </w:t>
            </w:r>
          </w:p>
          <w:p w14:paraId="54EE25EB" w14:textId="77777777" w:rsidR="00332150" w:rsidRPr="008E7073" w:rsidRDefault="00332150" w:rsidP="00332150">
            <w:pPr>
              <w:pStyle w:val="Imprint"/>
              <w:rPr>
                <w:rFonts w:cs="Arial"/>
              </w:rPr>
            </w:pPr>
            <w:r w:rsidRPr="008E7073">
              <w:rPr>
                <w:rFonts w:cs="Arial"/>
              </w:rPr>
              <w:t>Authorised and published by the Victorian Government, 1 Treasury Place, Melbourne.</w:t>
            </w:r>
          </w:p>
          <w:p w14:paraId="4F3194B8" w14:textId="4DF50856" w:rsidR="00332150" w:rsidRPr="008E7073" w:rsidRDefault="00332150" w:rsidP="00332150">
            <w:pPr>
              <w:pStyle w:val="Imprint"/>
              <w:rPr>
                <w:rFonts w:cs="Arial"/>
              </w:rPr>
            </w:pPr>
            <w:r w:rsidRPr="008E7073">
              <w:rPr>
                <w:rFonts w:cs="Arial"/>
              </w:rPr>
              <w:t xml:space="preserve">© State of Victoria, Australia, Department of Health, </w:t>
            </w:r>
            <w:r w:rsidR="00934FEC" w:rsidRPr="00934FEC">
              <w:rPr>
                <w:rFonts w:cs="Arial"/>
                <w:color w:val="auto"/>
              </w:rPr>
              <w:t>Ju</w:t>
            </w:r>
            <w:r w:rsidR="00A63F69">
              <w:rPr>
                <w:rFonts w:cs="Arial"/>
                <w:color w:val="auto"/>
              </w:rPr>
              <w:t>ly</w:t>
            </w:r>
            <w:r w:rsidR="00934FEC" w:rsidRPr="00934FEC">
              <w:rPr>
                <w:rFonts w:cs="Arial"/>
                <w:color w:val="auto"/>
              </w:rPr>
              <w:t xml:space="preserve"> 2025</w:t>
            </w:r>
            <w:r w:rsidRPr="00934FEC">
              <w:rPr>
                <w:rFonts w:cs="Arial"/>
                <w:color w:val="auto"/>
              </w:rPr>
              <w:t>.</w:t>
            </w:r>
          </w:p>
          <w:p w14:paraId="2B0FD245" w14:textId="77777777" w:rsidR="00332150" w:rsidRPr="008E7073" w:rsidRDefault="00332150" w:rsidP="00332150">
            <w:pPr>
              <w:pStyle w:val="Imprint"/>
              <w:rPr>
                <w:rFonts w:cs="Arial"/>
                <w:color w:val="004C97"/>
              </w:rPr>
            </w:pPr>
            <w:bookmarkStart w:id="0" w:name="_Hlk62746129"/>
          </w:p>
          <w:p w14:paraId="190258BE" w14:textId="60DE02D5" w:rsidR="00332150" w:rsidRPr="00934FEC" w:rsidRDefault="00332150" w:rsidP="00332150">
            <w:pPr>
              <w:pStyle w:val="Imprint"/>
              <w:rPr>
                <w:rFonts w:cs="Arial"/>
                <w:color w:val="auto"/>
              </w:rPr>
            </w:pPr>
            <w:r w:rsidRPr="00934FEC">
              <w:rPr>
                <w:rFonts w:cs="Arial"/>
                <w:color w:val="auto"/>
              </w:rPr>
              <w:t xml:space="preserve">In this document, ‘Aboriginal’ refers to both Aboriginal and Torres Strait Islander people. </w:t>
            </w:r>
          </w:p>
          <w:p w14:paraId="0A1322EE" w14:textId="3BFEF10C" w:rsidR="00332150" w:rsidRPr="00601B15" w:rsidRDefault="00601B15" w:rsidP="00332150">
            <w:pPr>
              <w:pStyle w:val="Imprint"/>
              <w:rPr>
                <w:rFonts w:cs="Arial"/>
              </w:rPr>
            </w:pPr>
            <w:r w:rsidRPr="00601B15">
              <w:rPr>
                <w:rFonts w:cs="Arial"/>
                <w:b/>
                <w:bCs/>
              </w:rPr>
              <w:t xml:space="preserve">ISBN </w:t>
            </w:r>
            <w:r w:rsidRPr="00601B15">
              <w:rPr>
                <w:rFonts w:cs="Arial"/>
              </w:rPr>
              <w:t xml:space="preserve">978-1-76131-814-6 </w:t>
            </w:r>
            <w:r w:rsidRPr="00601B15">
              <w:rPr>
                <w:rFonts w:cs="Arial"/>
                <w:b/>
                <w:bCs/>
              </w:rPr>
              <w:t>(pdf/online/MS word)</w:t>
            </w:r>
          </w:p>
          <w:p w14:paraId="372E1DFF" w14:textId="3DA94874" w:rsidR="009F2182" w:rsidRPr="008E7073" w:rsidRDefault="00332150" w:rsidP="007D29D6">
            <w:pPr>
              <w:pStyle w:val="Imprint"/>
              <w:rPr>
                <w:rFonts w:cs="Arial"/>
              </w:rPr>
            </w:pPr>
            <w:r w:rsidRPr="008E7073">
              <w:rPr>
                <w:rFonts w:cs="Arial"/>
              </w:rPr>
              <w:t xml:space="preserve">Available at </w:t>
            </w:r>
            <w:hyperlink r:id="rId12" w:history="1">
              <w:r w:rsidR="00DE6952" w:rsidRPr="00DE6952">
                <w:rPr>
                  <w:rStyle w:val="Hyperlink"/>
                  <w:rFonts w:cs="Arial"/>
                </w:rPr>
                <w:t>Victorian Role Delineation Framework</w:t>
              </w:r>
            </w:hyperlink>
            <w:r w:rsidRPr="00DE6952">
              <w:rPr>
                <w:rFonts w:cs="Arial"/>
                <w:color w:val="auto"/>
              </w:rPr>
              <w:t xml:space="preserve"> &lt;</w:t>
            </w:r>
            <w:r w:rsidR="00DE6952" w:rsidRPr="00DE6952">
              <w:rPr>
                <w:rFonts w:cs="Arial"/>
                <w:color w:val="auto"/>
              </w:rPr>
              <w:t>https://www.health.vic.gov.au/health-services-plan-reform/role-delineation-framework</w:t>
            </w:r>
            <w:r w:rsidRPr="00DE6952">
              <w:rPr>
                <w:rFonts w:cs="Arial"/>
                <w:color w:val="auto"/>
              </w:rPr>
              <w:t>&gt;</w:t>
            </w:r>
            <w:bookmarkEnd w:id="0"/>
          </w:p>
        </w:tc>
      </w:tr>
      <w:tr w:rsidR="0008204A" w:rsidRPr="008E7073" w14:paraId="69C1819D" w14:textId="77777777" w:rsidTr="0008204A">
        <w:trPr>
          <w:cantSplit/>
        </w:trPr>
        <w:tc>
          <w:tcPr>
            <w:tcW w:w="9288" w:type="dxa"/>
          </w:tcPr>
          <w:p w14:paraId="10034D84" w14:textId="77777777" w:rsidR="0008204A" w:rsidRPr="008E7073" w:rsidRDefault="0008204A" w:rsidP="0008204A">
            <w:pPr>
              <w:pStyle w:val="Body"/>
              <w:rPr>
                <w:rFonts w:cs="Arial"/>
              </w:rPr>
            </w:pPr>
          </w:p>
        </w:tc>
      </w:tr>
    </w:tbl>
    <w:sdt>
      <w:sdtPr>
        <w:rPr>
          <w:rFonts w:ascii="Arial" w:eastAsia="Times New Roman" w:hAnsi="Arial" w:cs="Arial"/>
          <w:color w:val="auto"/>
          <w:sz w:val="21"/>
          <w:szCs w:val="20"/>
          <w:lang w:val="en-AU"/>
        </w:rPr>
        <w:id w:val="1688860603"/>
        <w:docPartObj>
          <w:docPartGallery w:val="Table of Contents"/>
          <w:docPartUnique/>
        </w:docPartObj>
      </w:sdtPr>
      <w:sdtEndPr>
        <w:rPr>
          <w:b/>
          <w:bCs/>
          <w:szCs w:val="21"/>
        </w:rPr>
      </w:sdtEndPr>
      <w:sdtContent>
        <w:p w14:paraId="74E01B31" w14:textId="43248F81" w:rsidR="00BF194A" w:rsidRPr="008E7073" w:rsidRDefault="00BF194A">
          <w:pPr>
            <w:pStyle w:val="TOCHeading"/>
            <w:rPr>
              <w:rStyle w:val="Heading1Char"/>
            </w:rPr>
          </w:pPr>
          <w:r w:rsidRPr="008E7073">
            <w:rPr>
              <w:rStyle w:val="Heading1Char"/>
            </w:rPr>
            <w:t>Contents</w:t>
          </w:r>
        </w:p>
        <w:p w14:paraId="47EB3F76" w14:textId="2530F357" w:rsidR="00F670C9" w:rsidRDefault="00BF194A">
          <w:pPr>
            <w:pStyle w:val="TOC1"/>
            <w:rPr>
              <w:rFonts w:asciiTheme="minorHAnsi" w:eastAsiaTheme="minorEastAsia" w:hAnsiTheme="minorHAnsi" w:cstheme="minorBidi"/>
              <w:b w:val="0"/>
              <w:kern w:val="2"/>
              <w:sz w:val="24"/>
              <w:szCs w:val="24"/>
              <w:lang w:eastAsia="en-AU"/>
              <w14:ligatures w14:val="standardContextual"/>
            </w:rPr>
          </w:pPr>
          <w:r w:rsidRPr="008E7073">
            <w:rPr>
              <w:rFonts w:cs="Arial"/>
            </w:rPr>
            <w:fldChar w:fldCharType="begin"/>
          </w:r>
          <w:r w:rsidRPr="008E7073">
            <w:rPr>
              <w:rFonts w:cs="Arial"/>
            </w:rPr>
            <w:instrText xml:space="preserve"> TOC \o "1-3" \h \z \u </w:instrText>
          </w:r>
          <w:r w:rsidRPr="008E7073">
            <w:rPr>
              <w:rFonts w:cs="Arial"/>
            </w:rPr>
            <w:fldChar w:fldCharType="separate"/>
          </w:r>
          <w:hyperlink w:anchor="_Toc204251869" w:history="1">
            <w:r w:rsidR="00F670C9" w:rsidRPr="00172C22">
              <w:rPr>
                <w:rStyle w:val="Hyperlink"/>
              </w:rPr>
              <w:t>Glossary – Definition of Key Terms</w:t>
            </w:r>
            <w:r w:rsidR="00F670C9">
              <w:rPr>
                <w:webHidden/>
              </w:rPr>
              <w:tab/>
            </w:r>
            <w:r w:rsidR="00F670C9">
              <w:rPr>
                <w:webHidden/>
              </w:rPr>
              <w:fldChar w:fldCharType="begin"/>
            </w:r>
            <w:r w:rsidR="00F670C9">
              <w:rPr>
                <w:webHidden/>
              </w:rPr>
              <w:instrText xml:space="preserve"> PAGEREF _Toc204251869 \h </w:instrText>
            </w:r>
            <w:r w:rsidR="00F670C9">
              <w:rPr>
                <w:webHidden/>
              </w:rPr>
            </w:r>
            <w:r w:rsidR="00F670C9">
              <w:rPr>
                <w:webHidden/>
              </w:rPr>
              <w:fldChar w:fldCharType="separate"/>
            </w:r>
            <w:r w:rsidR="00F670C9">
              <w:rPr>
                <w:webHidden/>
              </w:rPr>
              <w:t>7</w:t>
            </w:r>
            <w:r w:rsidR="00F670C9">
              <w:rPr>
                <w:webHidden/>
              </w:rPr>
              <w:fldChar w:fldCharType="end"/>
            </w:r>
          </w:hyperlink>
        </w:p>
        <w:p w14:paraId="26EE754D" w14:textId="7ED8C11B" w:rsidR="00F670C9" w:rsidRDefault="00F670C9">
          <w:pPr>
            <w:pStyle w:val="TOC1"/>
            <w:rPr>
              <w:rFonts w:asciiTheme="minorHAnsi" w:eastAsiaTheme="minorEastAsia" w:hAnsiTheme="minorHAnsi" w:cstheme="minorBidi"/>
              <w:b w:val="0"/>
              <w:kern w:val="2"/>
              <w:sz w:val="24"/>
              <w:szCs w:val="24"/>
              <w:lang w:eastAsia="en-AU"/>
              <w14:ligatures w14:val="standardContextual"/>
            </w:rPr>
          </w:pPr>
          <w:hyperlink w:anchor="_Toc204251870" w:history="1">
            <w:r w:rsidRPr="00172C22">
              <w:rPr>
                <w:rStyle w:val="Hyperlink"/>
              </w:rPr>
              <w:t>Introduction</w:t>
            </w:r>
            <w:r>
              <w:rPr>
                <w:webHidden/>
              </w:rPr>
              <w:tab/>
            </w:r>
            <w:r>
              <w:rPr>
                <w:webHidden/>
              </w:rPr>
              <w:fldChar w:fldCharType="begin"/>
            </w:r>
            <w:r>
              <w:rPr>
                <w:webHidden/>
              </w:rPr>
              <w:instrText xml:space="preserve"> PAGEREF _Toc204251870 \h </w:instrText>
            </w:r>
            <w:r>
              <w:rPr>
                <w:webHidden/>
              </w:rPr>
            </w:r>
            <w:r>
              <w:rPr>
                <w:webHidden/>
              </w:rPr>
              <w:fldChar w:fldCharType="separate"/>
            </w:r>
            <w:r>
              <w:rPr>
                <w:webHidden/>
              </w:rPr>
              <w:t>8</w:t>
            </w:r>
            <w:r>
              <w:rPr>
                <w:webHidden/>
              </w:rPr>
              <w:fldChar w:fldCharType="end"/>
            </w:r>
          </w:hyperlink>
        </w:p>
        <w:p w14:paraId="2516BFE0" w14:textId="61F3DBBA" w:rsidR="00F670C9" w:rsidRDefault="00F670C9">
          <w:pPr>
            <w:pStyle w:val="TOC1"/>
            <w:rPr>
              <w:rFonts w:asciiTheme="minorHAnsi" w:eastAsiaTheme="minorEastAsia" w:hAnsiTheme="minorHAnsi" w:cstheme="minorBidi"/>
              <w:b w:val="0"/>
              <w:kern w:val="2"/>
              <w:sz w:val="24"/>
              <w:szCs w:val="24"/>
              <w:lang w:eastAsia="en-AU"/>
              <w14:ligatures w14:val="standardContextual"/>
            </w:rPr>
          </w:pPr>
          <w:hyperlink w:anchor="_Toc204251871" w:history="1">
            <w:r w:rsidRPr="00172C22">
              <w:rPr>
                <w:rStyle w:val="Hyperlink"/>
              </w:rPr>
              <w:t>Victorian Role Delineation Framework</w:t>
            </w:r>
            <w:r>
              <w:rPr>
                <w:webHidden/>
              </w:rPr>
              <w:tab/>
            </w:r>
            <w:r>
              <w:rPr>
                <w:webHidden/>
              </w:rPr>
              <w:fldChar w:fldCharType="begin"/>
            </w:r>
            <w:r>
              <w:rPr>
                <w:webHidden/>
              </w:rPr>
              <w:instrText xml:space="preserve"> PAGEREF _Toc204251871 \h </w:instrText>
            </w:r>
            <w:r>
              <w:rPr>
                <w:webHidden/>
              </w:rPr>
            </w:r>
            <w:r>
              <w:rPr>
                <w:webHidden/>
              </w:rPr>
              <w:fldChar w:fldCharType="separate"/>
            </w:r>
            <w:r>
              <w:rPr>
                <w:webHidden/>
              </w:rPr>
              <w:t>9</w:t>
            </w:r>
            <w:r>
              <w:rPr>
                <w:webHidden/>
              </w:rPr>
              <w:fldChar w:fldCharType="end"/>
            </w:r>
          </w:hyperlink>
        </w:p>
        <w:p w14:paraId="74CBB0FD" w14:textId="1327266D" w:rsidR="00F670C9" w:rsidRDefault="00F670C9">
          <w:pPr>
            <w:pStyle w:val="TOC2"/>
            <w:rPr>
              <w:rFonts w:asciiTheme="minorHAnsi" w:eastAsiaTheme="minorEastAsia" w:hAnsiTheme="minorHAnsi" w:cstheme="minorBidi"/>
              <w:kern w:val="2"/>
              <w:sz w:val="24"/>
              <w:szCs w:val="24"/>
              <w:lang w:eastAsia="en-AU"/>
              <w14:ligatures w14:val="standardContextual"/>
            </w:rPr>
          </w:pPr>
          <w:hyperlink w:anchor="_Toc204251872" w:history="1">
            <w:r w:rsidRPr="00172C22">
              <w:rPr>
                <w:rStyle w:val="Hyperlink"/>
                <w:rFonts w:cs="Arial"/>
              </w:rPr>
              <w:t>The Purpose of this Framework</w:t>
            </w:r>
            <w:r>
              <w:rPr>
                <w:webHidden/>
              </w:rPr>
              <w:tab/>
            </w:r>
            <w:r>
              <w:rPr>
                <w:webHidden/>
              </w:rPr>
              <w:fldChar w:fldCharType="begin"/>
            </w:r>
            <w:r>
              <w:rPr>
                <w:webHidden/>
              </w:rPr>
              <w:instrText xml:space="preserve"> PAGEREF _Toc204251872 \h </w:instrText>
            </w:r>
            <w:r>
              <w:rPr>
                <w:webHidden/>
              </w:rPr>
            </w:r>
            <w:r>
              <w:rPr>
                <w:webHidden/>
              </w:rPr>
              <w:fldChar w:fldCharType="separate"/>
            </w:r>
            <w:r>
              <w:rPr>
                <w:webHidden/>
              </w:rPr>
              <w:t>9</w:t>
            </w:r>
            <w:r>
              <w:rPr>
                <w:webHidden/>
              </w:rPr>
              <w:fldChar w:fldCharType="end"/>
            </w:r>
          </w:hyperlink>
        </w:p>
        <w:p w14:paraId="4551D817" w14:textId="3E2C1F35" w:rsidR="00F670C9" w:rsidRDefault="00F670C9">
          <w:pPr>
            <w:pStyle w:val="TOC3"/>
            <w:rPr>
              <w:rFonts w:asciiTheme="minorHAnsi" w:eastAsiaTheme="minorEastAsia" w:hAnsiTheme="minorHAnsi" w:cstheme="minorBidi"/>
              <w:noProof/>
              <w:kern w:val="2"/>
              <w:sz w:val="24"/>
              <w:szCs w:val="24"/>
              <w:lang w:eastAsia="en-AU"/>
              <w14:ligatures w14:val="standardContextual"/>
            </w:rPr>
          </w:pPr>
          <w:hyperlink w:anchor="_Toc204251873" w:history="1">
            <w:r w:rsidRPr="00172C22">
              <w:rPr>
                <w:rStyle w:val="Hyperlink"/>
                <w:noProof/>
              </w:rPr>
              <w:t>Benefits of Role Delineation</w:t>
            </w:r>
            <w:r>
              <w:rPr>
                <w:noProof/>
                <w:webHidden/>
              </w:rPr>
              <w:tab/>
            </w:r>
            <w:r>
              <w:rPr>
                <w:noProof/>
                <w:webHidden/>
              </w:rPr>
              <w:fldChar w:fldCharType="begin"/>
            </w:r>
            <w:r>
              <w:rPr>
                <w:noProof/>
                <w:webHidden/>
              </w:rPr>
              <w:instrText xml:space="preserve"> PAGEREF _Toc204251873 \h </w:instrText>
            </w:r>
            <w:r>
              <w:rPr>
                <w:noProof/>
                <w:webHidden/>
              </w:rPr>
            </w:r>
            <w:r>
              <w:rPr>
                <w:noProof/>
                <w:webHidden/>
              </w:rPr>
              <w:fldChar w:fldCharType="separate"/>
            </w:r>
            <w:r>
              <w:rPr>
                <w:noProof/>
                <w:webHidden/>
              </w:rPr>
              <w:t>10</w:t>
            </w:r>
            <w:r>
              <w:rPr>
                <w:noProof/>
                <w:webHidden/>
              </w:rPr>
              <w:fldChar w:fldCharType="end"/>
            </w:r>
          </w:hyperlink>
        </w:p>
        <w:p w14:paraId="6FDBBFB2" w14:textId="53312BC9" w:rsidR="00F670C9" w:rsidRDefault="00F670C9">
          <w:pPr>
            <w:pStyle w:val="TOC3"/>
            <w:rPr>
              <w:rFonts w:asciiTheme="minorHAnsi" w:eastAsiaTheme="minorEastAsia" w:hAnsiTheme="minorHAnsi" w:cstheme="minorBidi"/>
              <w:noProof/>
              <w:kern w:val="2"/>
              <w:sz w:val="24"/>
              <w:szCs w:val="24"/>
              <w:lang w:eastAsia="en-AU"/>
              <w14:ligatures w14:val="standardContextual"/>
            </w:rPr>
          </w:pPr>
          <w:hyperlink w:anchor="_Toc204251874" w:history="1">
            <w:r w:rsidRPr="00172C22">
              <w:rPr>
                <w:rStyle w:val="Hyperlink"/>
                <w:noProof/>
              </w:rPr>
              <w:t>Aims</w:t>
            </w:r>
            <w:r>
              <w:rPr>
                <w:noProof/>
                <w:webHidden/>
              </w:rPr>
              <w:tab/>
            </w:r>
            <w:r>
              <w:rPr>
                <w:noProof/>
                <w:webHidden/>
              </w:rPr>
              <w:fldChar w:fldCharType="begin"/>
            </w:r>
            <w:r>
              <w:rPr>
                <w:noProof/>
                <w:webHidden/>
              </w:rPr>
              <w:instrText xml:space="preserve"> PAGEREF _Toc204251874 \h </w:instrText>
            </w:r>
            <w:r>
              <w:rPr>
                <w:noProof/>
                <w:webHidden/>
              </w:rPr>
            </w:r>
            <w:r>
              <w:rPr>
                <w:noProof/>
                <w:webHidden/>
              </w:rPr>
              <w:fldChar w:fldCharType="separate"/>
            </w:r>
            <w:r>
              <w:rPr>
                <w:noProof/>
                <w:webHidden/>
              </w:rPr>
              <w:t>10</w:t>
            </w:r>
            <w:r>
              <w:rPr>
                <w:noProof/>
                <w:webHidden/>
              </w:rPr>
              <w:fldChar w:fldCharType="end"/>
            </w:r>
          </w:hyperlink>
        </w:p>
        <w:p w14:paraId="5C560B98" w14:textId="3F137DE1" w:rsidR="00F670C9" w:rsidRDefault="00F670C9">
          <w:pPr>
            <w:pStyle w:val="TOC3"/>
            <w:rPr>
              <w:rFonts w:asciiTheme="minorHAnsi" w:eastAsiaTheme="minorEastAsia" w:hAnsiTheme="minorHAnsi" w:cstheme="minorBidi"/>
              <w:noProof/>
              <w:kern w:val="2"/>
              <w:sz w:val="24"/>
              <w:szCs w:val="24"/>
              <w:lang w:eastAsia="en-AU"/>
              <w14:ligatures w14:val="standardContextual"/>
            </w:rPr>
          </w:pPr>
          <w:hyperlink w:anchor="_Toc204251875" w:history="1">
            <w:r w:rsidRPr="00172C22">
              <w:rPr>
                <w:rStyle w:val="Hyperlink"/>
                <w:noProof/>
              </w:rPr>
              <w:t>Guiding principles</w:t>
            </w:r>
            <w:r>
              <w:rPr>
                <w:noProof/>
                <w:webHidden/>
              </w:rPr>
              <w:tab/>
            </w:r>
            <w:r>
              <w:rPr>
                <w:noProof/>
                <w:webHidden/>
              </w:rPr>
              <w:fldChar w:fldCharType="begin"/>
            </w:r>
            <w:r>
              <w:rPr>
                <w:noProof/>
                <w:webHidden/>
              </w:rPr>
              <w:instrText xml:space="preserve"> PAGEREF _Toc204251875 \h </w:instrText>
            </w:r>
            <w:r>
              <w:rPr>
                <w:noProof/>
                <w:webHidden/>
              </w:rPr>
            </w:r>
            <w:r>
              <w:rPr>
                <w:noProof/>
                <w:webHidden/>
              </w:rPr>
              <w:fldChar w:fldCharType="separate"/>
            </w:r>
            <w:r>
              <w:rPr>
                <w:noProof/>
                <w:webHidden/>
              </w:rPr>
              <w:t>11</w:t>
            </w:r>
            <w:r>
              <w:rPr>
                <w:noProof/>
                <w:webHidden/>
              </w:rPr>
              <w:fldChar w:fldCharType="end"/>
            </w:r>
          </w:hyperlink>
        </w:p>
        <w:p w14:paraId="6C07B0D7" w14:textId="4349185D" w:rsidR="00F670C9" w:rsidRDefault="00F670C9">
          <w:pPr>
            <w:pStyle w:val="TOC3"/>
            <w:rPr>
              <w:rFonts w:asciiTheme="minorHAnsi" w:eastAsiaTheme="minorEastAsia" w:hAnsiTheme="minorHAnsi" w:cstheme="minorBidi"/>
              <w:noProof/>
              <w:kern w:val="2"/>
              <w:sz w:val="24"/>
              <w:szCs w:val="24"/>
              <w:lang w:eastAsia="en-AU"/>
              <w14:ligatures w14:val="standardContextual"/>
            </w:rPr>
          </w:pPr>
          <w:hyperlink w:anchor="_Toc204251876" w:history="1">
            <w:r w:rsidRPr="00172C22">
              <w:rPr>
                <w:rStyle w:val="Hyperlink"/>
                <w:noProof/>
              </w:rPr>
              <w:t>The Scope of this Framework</w:t>
            </w:r>
            <w:r>
              <w:rPr>
                <w:noProof/>
                <w:webHidden/>
              </w:rPr>
              <w:tab/>
            </w:r>
            <w:r>
              <w:rPr>
                <w:noProof/>
                <w:webHidden/>
              </w:rPr>
              <w:fldChar w:fldCharType="begin"/>
            </w:r>
            <w:r>
              <w:rPr>
                <w:noProof/>
                <w:webHidden/>
              </w:rPr>
              <w:instrText xml:space="preserve"> PAGEREF _Toc204251876 \h </w:instrText>
            </w:r>
            <w:r>
              <w:rPr>
                <w:noProof/>
                <w:webHidden/>
              </w:rPr>
            </w:r>
            <w:r>
              <w:rPr>
                <w:noProof/>
                <w:webHidden/>
              </w:rPr>
              <w:fldChar w:fldCharType="separate"/>
            </w:r>
            <w:r>
              <w:rPr>
                <w:noProof/>
                <w:webHidden/>
              </w:rPr>
              <w:t>11</w:t>
            </w:r>
            <w:r>
              <w:rPr>
                <w:noProof/>
                <w:webHidden/>
              </w:rPr>
              <w:fldChar w:fldCharType="end"/>
            </w:r>
          </w:hyperlink>
        </w:p>
        <w:p w14:paraId="7E181426" w14:textId="67963CD9" w:rsidR="00F670C9" w:rsidRDefault="00F670C9">
          <w:pPr>
            <w:pStyle w:val="TOC3"/>
            <w:rPr>
              <w:rFonts w:asciiTheme="minorHAnsi" w:eastAsiaTheme="minorEastAsia" w:hAnsiTheme="minorHAnsi" w:cstheme="minorBidi"/>
              <w:noProof/>
              <w:kern w:val="2"/>
              <w:sz w:val="24"/>
              <w:szCs w:val="24"/>
              <w:lang w:eastAsia="en-AU"/>
              <w14:ligatures w14:val="standardContextual"/>
            </w:rPr>
          </w:pPr>
          <w:hyperlink w:anchor="_Toc204251877" w:history="1">
            <w:r w:rsidRPr="00172C22">
              <w:rPr>
                <w:rStyle w:val="Hyperlink"/>
                <w:noProof/>
              </w:rPr>
              <w:t>The role of the Department of Health</w:t>
            </w:r>
            <w:r>
              <w:rPr>
                <w:noProof/>
                <w:webHidden/>
              </w:rPr>
              <w:tab/>
            </w:r>
            <w:r>
              <w:rPr>
                <w:noProof/>
                <w:webHidden/>
              </w:rPr>
              <w:fldChar w:fldCharType="begin"/>
            </w:r>
            <w:r>
              <w:rPr>
                <w:noProof/>
                <w:webHidden/>
              </w:rPr>
              <w:instrText xml:space="preserve"> PAGEREF _Toc204251877 \h </w:instrText>
            </w:r>
            <w:r>
              <w:rPr>
                <w:noProof/>
                <w:webHidden/>
              </w:rPr>
            </w:r>
            <w:r>
              <w:rPr>
                <w:noProof/>
                <w:webHidden/>
              </w:rPr>
              <w:fldChar w:fldCharType="separate"/>
            </w:r>
            <w:r>
              <w:rPr>
                <w:noProof/>
                <w:webHidden/>
              </w:rPr>
              <w:t>12</w:t>
            </w:r>
            <w:r>
              <w:rPr>
                <w:noProof/>
                <w:webHidden/>
              </w:rPr>
              <w:fldChar w:fldCharType="end"/>
            </w:r>
          </w:hyperlink>
        </w:p>
        <w:p w14:paraId="7CC9F34E" w14:textId="2AE933B1" w:rsidR="00F670C9" w:rsidRDefault="00F670C9">
          <w:pPr>
            <w:pStyle w:val="TOC1"/>
            <w:rPr>
              <w:rFonts w:asciiTheme="minorHAnsi" w:eastAsiaTheme="minorEastAsia" w:hAnsiTheme="minorHAnsi" w:cstheme="minorBidi"/>
              <w:b w:val="0"/>
              <w:kern w:val="2"/>
              <w:sz w:val="24"/>
              <w:szCs w:val="24"/>
              <w:lang w:eastAsia="en-AU"/>
              <w14:ligatures w14:val="standardContextual"/>
            </w:rPr>
          </w:pPr>
          <w:hyperlink w:anchor="_Toc204251878" w:history="1">
            <w:r w:rsidRPr="00172C22">
              <w:rPr>
                <w:rStyle w:val="Hyperlink"/>
              </w:rPr>
              <w:t>Core components of Victoria’s Role Delineation Framework</w:t>
            </w:r>
            <w:r>
              <w:rPr>
                <w:webHidden/>
              </w:rPr>
              <w:tab/>
            </w:r>
            <w:r>
              <w:rPr>
                <w:webHidden/>
              </w:rPr>
              <w:fldChar w:fldCharType="begin"/>
            </w:r>
            <w:r>
              <w:rPr>
                <w:webHidden/>
              </w:rPr>
              <w:instrText xml:space="preserve"> PAGEREF _Toc204251878 \h </w:instrText>
            </w:r>
            <w:r>
              <w:rPr>
                <w:webHidden/>
              </w:rPr>
            </w:r>
            <w:r>
              <w:rPr>
                <w:webHidden/>
              </w:rPr>
              <w:fldChar w:fldCharType="separate"/>
            </w:r>
            <w:r>
              <w:rPr>
                <w:webHidden/>
              </w:rPr>
              <w:t>12</w:t>
            </w:r>
            <w:r>
              <w:rPr>
                <w:webHidden/>
              </w:rPr>
              <w:fldChar w:fldCharType="end"/>
            </w:r>
          </w:hyperlink>
        </w:p>
        <w:p w14:paraId="6A880120" w14:textId="7D5867D5" w:rsidR="00F670C9" w:rsidRDefault="00F670C9">
          <w:pPr>
            <w:pStyle w:val="TOC3"/>
            <w:rPr>
              <w:rFonts w:asciiTheme="minorHAnsi" w:eastAsiaTheme="minorEastAsia" w:hAnsiTheme="minorHAnsi" w:cstheme="minorBidi"/>
              <w:noProof/>
              <w:kern w:val="2"/>
              <w:sz w:val="24"/>
              <w:szCs w:val="24"/>
              <w:lang w:eastAsia="en-AU"/>
              <w14:ligatures w14:val="standardContextual"/>
            </w:rPr>
          </w:pPr>
          <w:hyperlink w:anchor="_Toc204251879" w:history="1">
            <w:r w:rsidRPr="00172C22">
              <w:rPr>
                <w:rStyle w:val="Hyperlink"/>
                <w:noProof/>
              </w:rPr>
              <w:t>Peer Characteristics</w:t>
            </w:r>
            <w:r>
              <w:rPr>
                <w:noProof/>
                <w:webHidden/>
              </w:rPr>
              <w:tab/>
            </w:r>
            <w:r>
              <w:rPr>
                <w:noProof/>
                <w:webHidden/>
              </w:rPr>
              <w:fldChar w:fldCharType="begin"/>
            </w:r>
            <w:r>
              <w:rPr>
                <w:noProof/>
                <w:webHidden/>
              </w:rPr>
              <w:instrText xml:space="preserve"> PAGEREF _Toc204251879 \h </w:instrText>
            </w:r>
            <w:r>
              <w:rPr>
                <w:noProof/>
                <w:webHidden/>
              </w:rPr>
            </w:r>
            <w:r>
              <w:rPr>
                <w:noProof/>
                <w:webHidden/>
              </w:rPr>
              <w:fldChar w:fldCharType="separate"/>
            </w:r>
            <w:r>
              <w:rPr>
                <w:noProof/>
                <w:webHidden/>
              </w:rPr>
              <w:t>13</w:t>
            </w:r>
            <w:r>
              <w:rPr>
                <w:noProof/>
                <w:webHidden/>
              </w:rPr>
              <w:fldChar w:fldCharType="end"/>
            </w:r>
          </w:hyperlink>
        </w:p>
        <w:p w14:paraId="7EA02A53" w14:textId="1B3BD631" w:rsidR="00F670C9" w:rsidRDefault="00F670C9">
          <w:pPr>
            <w:pStyle w:val="TOC3"/>
            <w:rPr>
              <w:rFonts w:asciiTheme="minorHAnsi" w:eastAsiaTheme="minorEastAsia" w:hAnsiTheme="minorHAnsi" w:cstheme="minorBidi"/>
              <w:noProof/>
              <w:kern w:val="2"/>
              <w:sz w:val="24"/>
              <w:szCs w:val="24"/>
              <w:lang w:eastAsia="en-AU"/>
              <w14:ligatures w14:val="standardContextual"/>
            </w:rPr>
          </w:pPr>
          <w:hyperlink w:anchor="_Toc204251880" w:history="1">
            <w:r w:rsidRPr="00172C22">
              <w:rPr>
                <w:rStyle w:val="Hyperlink"/>
                <w:noProof/>
              </w:rPr>
              <w:t>Clinical Capability</w:t>
            </w:r>
            <w:r>
              <w:rPr>
                <w:noProof/>
                <w:webHidden/>
              </w:rPr>
              <w:tab/>
            </w:r>
            <w:r>
              <w:rPr>
                <w:noProof/>
                <w:webHidden/>
              </w:rPr>
              <w:fldChar w:fldCharType="begin"/>
            </w:r>
            <w:r>
              <w:rPr>
                <w:noProof/>
                <w:webHidden/>
              </w:rPr>
              <w:instrText xml:space="preserve"> PAGEREF _Toc204251880 \h </w:instrText>
            </w:r>
            <w:r>
              <w:rPr>
                <w:noProof/>
                <w:webHidden/>
              </w:rPr>
            </w:r>
            <w:r>
              <w:rPr>
                <w:noProof/>
                <w:webHidden/>
              </w:rPr>
              <w:fldChar w:fldCharType="separate"/>
            </w:r>
            <w:r>
              <w:rPr>
                <w:noProof/>
                <w:webHidden/>
              </w:rPr>
              <w:t>14</w:t>
            </w:r>
            <w:r>
              <w:rPr>
                <w:noProof/>
                <w:webHidden/>
              </w:rPr>
              <w:fldChar w:fldCharType="end"/>
            </w:r>
          </w:hyperlink>
        </w:p>
        <w:p w14:paraId="61849C19" w14:textId="07F066F3" w:rsidR="00F670C9" w:rsidRDefault="00F670C9">
          <w:pPr>
            <w:pStyle w:val="TOC3"/>
            <w:rPr>
              <w:rFonts w:asciiTheme="minorHAnsi" w:eastAsiaTheme="minorEastAsia" w:hAnsiTheme="minorHAnsi" w:cstheme="minorBidi"/>
              <w:noProof/>
              <w:kern w:val="2"/>
              <w:sz w:val="24"/>
              <w:szCs w:val="24"/>
              <w:lang w:eastAsia="en-AU"/>
              <w14:ligatures w14:val="standardContextual"/>
            </w:rPr>
          </w:pPr>
          <w:hyperlink w:anchor="_Toc204251881" w:history="1">
            <w:r w:rsidRPr="00172C22">
              <w:rPr>
                <w:rStyle w:val="Hyperlink"/>
                <w:noProof/>
              </w:rPr>
              <w:t>Low Volume, Highly Complex Care</w:t>
            </w:r>
            <w:r>
              <w:rPr>
                <w:noProof/>
                <w:webHidden/>
              </w:rPr>
              <w:tab/>
            </w:r>
            <w:r>
              <w:rPr>
                <w:noProof/>
                <w:webHidden/>
              </w:rPr>
              <w:fldChar w:fldCharType="begin"/>
            </w:r>
            <w:r>
              <w:rPr>
                <w:noProof/>
                <w:webHidden/>
              </w:rPr>
              <w:instrText xml:space="preserve"> PAGEREF _Toc204251881 \h </w:instrText>
            </w:r>
            <w:r>
              <w:rPr>
                <w:noProof/>
                <w:webHidden/>
              </w:rPr>
            </w:r>
            <w:r>
              <w:rPr>
                <w:noProof/>
                <w:webHidden/>
              </w:rPr>
              <w:fldChar w:fldCharType="separate"/>
            </w:r>
            <w:r>
              <w:rPr>
                <w:noProof/>
                <w:webHidden/>
              </w:rPr>
              <w:t>15</w:t>
            </w:r>
            <w:r>
              <w:rPr>
                <w:noProof/>
                <w:webHidden/>
              </w:rPr>
              <w:fldChar w:fldCharType="end"/>
            </w:r>
          </w:hyperlink>
        </w:p>
        <w:p w14:paraId="3765654A" w14:textId="6834EEEB" w:rsidR="00F670C9" w:rsidRDefault="00F670C9">
          <w:pPr>
            <w:pStyle w:val="TOC3"/>
            <w:rPr>
              <w:rFonts w:asciiTheme="minorHAnsi" w:eastAsiaTheme="minorEastAsia" w:hAnsiTheme="minorHAnsi" w:cstheme="minorBidi"/>
              <w:noProof/>
              <w:kern w:val="2"/>
              <w:sz w:val="24"/>
              <w:szCs w:val="24"/>
              <w:lang w:eastAsia="en-AU"/>
              <w14:ligatures w14:val="standardContextual"/>
            </w:rPr>
          </w:pPr>
          <w:hyperlink w:anchor="_Toc204251882" w:history="1">
            <w:r w:rsidRPr="00172C22">
              <w:rPr>
                <w:rStyle w:val="Hyperlink"/>
                <w:noProof/>
              </w:rPr>
              <w:t>Health Service Site Roles</w:t>
            </w:r>
            <w:r>
              <w:rPr>
                <w:noProof/>
                <w:webHidden/>
              </w:rPr>
              <w:tab/>
            </w:r>
            <w:r>
              <w:rPr>
                <w:noProof/>
                <w:webHidden/>
              </w:rPr>
              <w:fldChar w:fldCharType="begin"/>
            </w:r>
            <w:r>
              <w:rPr>
                <w:noProof/>
                <w:webHidden/>
              </w:rPr>
              <w:instrText xml:space="preserve"> PAGEREF _Toc204251882 \h </w:instrText>
            </w:r>
            <w:r>
              <w:rPr>
                <w:noProof/>
                <w:webHidden/>
              </w:rPr>
            </w:r>
            <w:r>
              <w:rPr>
                <w:noProof/>
                <w:webHidden/>
              </w:rPr>
              <w:fldChar w:fldCharType="separate"/>
            </w:r>
            <w:r>
              <w:rPr>
                <w:noProof/>
                <w:webHidden/>
              </w:rPr>
              <w:t>15</w:t>
            </w:r>
            <w:r>
              <w:rPr>
                <w:noProof/>
                <w:webHidden/>
              </w:rPr>
              <w:fldChar w:fldCharType="end"/>
            </w:r>
          </w:hyperlink>
        </w:p>
        <w:p w14:paraId="47EBAB8A" w14:textId="38E4BBCF" w:rsidR="00F670C9" w:rsidRDefault="00F670C9">
          <w:pPr>
            <w:pStyle w:val="TOC1"/>
            <w:rPr>
              <w:rFonts w:asciiTheme="minorHAnsi" w:eastAsiaTheme="minorEastAsia" w:hAnsiTheme="minorHAnsi" w:cstheme="minorBidi"/>
              <w:b w:val="0"/>
              <w:kern w:val="2"/>
              <w:sz w:val="24"/>
              <w:szCs w:val="24"/>
              <w:lang w:eastAsia="en-AU"/>
              <w14:ligatures w14:val="standardContextual"/>
            </w:rPr>
          </w:pPr>
          <w:hyperlink w:anchor="_Toc204251883" w:history="1">
            <w:r w:rsidRPr="00172C22">
              <w:rPr>
                <w:rStyle w:val="Hyperlink"/>
              </w:rPr>
              <w:t>Role Responsibilities within Networks and the Broader System</w:t>
            </w:r>
            <w:r>
              <w:rPr>
                <w:webHidden/>
              </w:rPr>
              <w:tab/>
            </w:r>
            <w:r>
              <w:rPr>
                <w:webHidden/>
              </w:rPr>
              <w:fldChar w:fldCharType="begin"/>
            </w:r>
            <w:r>
              <w:rPr>
                <w:webHidden/>
              </w:rPr>
              <w:instrText xml:space="preserve"> PAGEREF _Toc204251883 \h </w:instrText>
            </w:r>
            <w:r>
              <w:rPr>
                <w:webHidden/>
              </w:rPr>
            </w:r>
            <w:r>
              <w:rPr>
                <w:webHidden/>
              </w:rPr>
              <w:fldChar w:fldCharType="separate"/>
            </w:r>
            <w:r>
              <w:rPr>
                <w:webHidden/>
              </w:rPr>
              <w:t>17</w:t>
            </w:r>
            <w:r>
              <w:rPr>
                <w:webHidden/>
              </w:rPr>
              <w:fldChar w:fldCharType="end"/>
            </w:r>
          </w:hyperlink>
        </w:p>
        <w:p w14:paraId="372096F0" w14:textId="50489555" w:rsidR="00F670C9" w:rsidRDefault="00F670C9">
          <w:pPr>
            <w:pStyle w:val="TOC2"/>
            <w:rPr>
              <w:rFonts w:asciiTheme="minorHAnsi" w:eastAsiaTheme="minorEastAsia" w:hAnsiTheme="minorHAnsi" w:cstheme="minorBidi"/>
              <w:kern w:val="2"/>
              <w:sz w:val="24"/>
              <w:szCs w:val="24"/>
              <w:lang w:eastAsia="en-AU"/>
              <w14:ligatures w14:val="standardContextual"/>
            </w:rPr>
          </w:pPr>
          <w:hyperlink w:anchor="_Toc204251884" w:history="1">
            <w:r w:rsidRPr="00172C22">
              <w:rPr>
                <w:rStyle w:val="Hyperlink"/>
                <w:rFonts w:cs="Arial"/>
              </w:rPr>
              <w:t>Collective Responsibilities of All Sites within Local Health Service Networks</w:t>
            </w:r>
            <w:r>
              <w:rPr>
                <w:webHidden/>
              </w:rPr>
              <w:tab/>
            </w:r>
            <w:r>
              <w:rPr>
                <w:webHidden/>
              </w:rPr>
              <w:fldChar w:fldCharType="begin"/>
            </w:r>
            <w:r>
              <w:rPr>
                <w:webHidden/>
              </w:rPr>
              <w:instrText xml:space="preserve"> PAGEREF _Toc204251884 \h </w:instrText>
            </w:r>
            <w:r>
              <w:rPr>
                <w:webHidden/>
              </w:rPr>
            </w:r>
            <w:r>
              <w:rPr>
                <w:webHidden/>
              </w:rPr>
              <w:fldChar w:fldCharType="separate"/>
            </w:r>
            <w:r>
              <w:rPr>
                <w:webHidden/>
              </w:rPr>
              <w:t>18</w:t>
            </w:r>
            <w:r>
              <w:rPr>
                <w:webHidden/>
              </w:rPr>
              <w:fldChar w:fldCharType="end"/>
            </w:r>
          </w:hyperlink>
        </w:p>
        <w:p w14:paraId="784B4BCD" w14:textId="7E17B256" w:rsidR="00F670C9" w:rsidRDefault="00F670C9">
          <w:pPr>
            <w:pStyle w:val="TOC2"/>
            <w:rPr>
              <w:rFonts w:asciiTheme="minorHAnsi" w:eastAsiaTheme="minorEastAsia" w:hAnsiTheme="minorHAnsi" w:cstheme="minorBidi"/>
              <w:kern w:val="2"/>
              <w:sz w:val="24"/>
              <w:szCs w:val="24"/>
              <w:lang w:eastAsia="en-AU"/>
              <w14:ligatures w14:val="standardContextual"/>
            </w:rPr>
          </w:pPr>
          <w:hyperlink w:anchor="_Toc204251885" w:history="1">
            <w:r w:rsidRPr="00172C22">
              <w:rPr>
                <w:rStyle w:val="Hyperlink"/>
                <w:rFonts w:cs="Arial"/>
              </w:rPr>
              <w:t>Key Network and System Responsibilities Aligned to the Role of Each Site</w:t>
            </w:r>
            <w:r>
              <w:rPr>
                <w:webHidden/>
              </w:rPr>
              <w:tab/>
            </w:r>
            <w:r>
              <w:rPr>
                <w:webHidden/>
              </w:rPr>
              <w:fldChar w:fldCharType="begin"/>
            </w:r>
            <w:r>
              <w:rPr>
                <w:webHidden/>
              </w:rPr>
              <w:instrText xml:space="preserve"> PAGEREF _Toc204251885 \h </w:instrText>
            </w:r>
            <w:r>
              <w:rPr>
                <w:webHidden/>
              </w:rPr>
            </w:r>
            <w:r>
              <w:rPr>
                <w:webHidden/>
              </w:rPr>
              <w:fldChar w:fldCharType="separate"/>
            </w:r>
            <w:r>
              <w:rPr>
                <w:webHidden/>
              </w:rPr>
              <w:t>18</w:t>
            </w:r>
            <w:r>
              <w:rPr>
                <w:webHidden/>
              </w:rPr>
              <w:fldChar w:fldCharType="end"/>
            </w:r>
          </w:hyperlink>
        </w:p>
        <w:p w14:paraId="7BA7F6C6" w14:textId="6DD0B665" w:rsidR="00F670C9" w:rsidRDefault="00F670C9">
          <w:pPr>
            <w:pStyle w:val="TOC3"/>
            <w:rPr>
              <w:rFonts w:asciiTheme="minorHAnsi" w:eastAsiaTheme="minorEastAsia" w:hAnsiTheme="minorHAnsi" w:cstheme="minorBidi"/>
              <w:noProof/>
              <w:kern w:val="2"/>
              <w:sz w:val="24"/>
              <w:szCs w:val="24"/>
              <w:lang w:eastAsia="en-AU"/>
              <w14:ligatures w14:val="standardContextual"/>
            </w:rPr>
          </w:pPr>
          <w:hyperlink w:anchor="_Toc204251886" w:history="1">
            <w:r w:rsidRPr="00172C22">
              <w:rPr>
                <w:rStyle w:val="Hyperlink"/>
                <w:noProof/>
              </w:rPr>
              <w:t>Small Hospitals and Health Centres</w:t>
            </w:r>
            <w:r>
              <w:rPr>
                <w:noProof/>
                <w:webHidden/>
              </w:rPr>
              <w:tab/>
            </w:r>
            <w:r>
              <w:rPr>
                <w:noProof/>
                <w:webHidden/>
              </w:rPr>
              <w:fldChar w:fldCharType="begin"/>
            </w:r>
            <w:r>
              <w:rPr>
                <w:noProof/>
                <w:webHidden/>
              </w:rPr>
              <w:instrText xml:space="preserve"> PAGEREF _Toc204251886 \h </w:instrText>
            </w:r>
            <w:r>
              <w:rPr>
                <w:noProof/>
                <w:webHidden/>
              </w:rPr>
            </w:r>
            <w:r>
              <w:rPr>
                <w:noProof/>
                <w:webHidden/>
              </w:rPr>
              <w:fldChar w:fldCharType="separate"/>
            </w:r>
            <w:r>
              <w:rPr>
                <w:noProof/>
                <w:webHidden/>
              </w:rPr>
              <w:t>18</w:t>
            </w:r>
            <w:r>
              <w:rPr>
                <w:noProof/>
                <w:webHidden/>
              </w:rPr>
              <w:fldChar w:fldCharType="end"/>
            </w:r>
          </w:hyperlink>
        </w:p>
        <w:p w14:paraId="75B2FB25" w14:textId="060DB90B" w:rsidR="00F670C9" w:rsidRDefault="00F670C9">
          <w:pPr>
            <w:pStyle w:val="TOC3"/>
            <w:rPr>
              <w:rFonts w:asciiTheme="minorHAnsi" w:eastAsiaTheme="minorEastAsia" w:hAnsiTheme="minorHAnsi" w:cstheme="minorBidi"/>
              <w:noProof/>
              <w:kern w:val="2"/>
              <w:sz w:val="24"/>
              <w:szCs w:val="24"/>
              <w:lang w:eastAsia="en-AU"/>
              <w14:ligatures w14:val="standardContextual"/>
            </w:rPr>
          </w:pPr>
          <w:hyperlink w:anchor="_Toc204251887" w:history="1">
            <w:r w:rsidRPr="00172C22">
              <w:rPr>
                <w:rStyle w:val="Hyperlink"/>
                <w:noProof/>
              </w:rPr>
              <w:t>District and Community Hospitals</w:t>
            </w:r>
            <w:r>
              <w:rPr>
                <w:noProof/>
                <w:webHidden/>
              </w:rPr>
              <w:tab/>
            </w:r>
            <w:r>
              <w:rPr>
                <w:noProof/>
                <w:webHidden/>
              </w:rPr>
              <w:fldChar w:fldCharType="begin"/>
            </w:r>
            <w:r>
              <w:rPr>
                <w:noProof/>
                <w:webHidden/>
              </w:rPr>
              <w:instrText xml:space="preserve"> PAGEREF _Toc204251887 \h </w:instrText>
            </w:r>
            <w:r>
              <w:rPr>
                <w:noProof/>
                <w:webHidden/>
              </w:rPr>
            </w:r>
            <w:r>
              <w:rPr>
                <w:noProof/>
                <w:webHidden/>
              </w:rPr>
              <w:fldChar w:fldCharType="separate"/>
            </w:r>
            <w:r>
              <w:rPr>
                <w:noProof/>
                <w:webHidden/>
              </w:rPr>
              <w:t>19</w:t>
            </w:r>
            <w:r>
              <w:rPr>
                <w:noProof/>
                <w:webHidden/>
              </w:rPr>
              <w:fldChar w:fldCharType="end"/>
            </w:r>
          </w:hyperlink>
        </w:p>
        <w:p w14:paraId="6E59A5F6" w14:textId="180F9F6F" w:rsidR="00F670C9" w:rsidRDefault="00F670C9">
          <w:pPr>
            <w:pStyle w:val="TOC3"/>
            <w:rPr>
              <w:rFonts w:asciiTheme="minorHAnsi" w:eastAsiaTheme="minorEastAsia" w:hAnsiTheme="minorHAnsi" w:cstheme="minorBidi"/>
              <w:noProof/>
              <w:kern w:val="2"/>
              <w:sz w:val="24"/>
              <w:szCs w:val="24"/>
              <w:lang w:eastAsia="en-AU"/>
              <w14:ligatures w14:val="standardContextual"/>
            </w:rPr>
          </w:pPr>
          <w:hyperlink w:anchor="_Toc204251888" w:history="1">
            <w:r w:rsidRPr="00172C22">
              <w:rPr>
                <w:rStyle w:val="Hyperlink"/>
                <w:noProof/>
              </w:rPr>
              <w:t>General Hospitals</w:t>
            </w:r>
            <w:r>
              <w:rPr>
                <w:noProof/>
                <w:webHidden/>
              </w:rPr>
              <w:tab/>
            </w:r>
            <w:r>
              <w:rPr>
                <w:noProof/>
                <w:webHidden/>
              </w:rPr>
              <w:fldChar w:fldCharType="begin"/>
            </w:r>
            <w:r>
              <w:rPr>
                <w:noProof/>
                <w:webHidden/>
              </w:rPr>
              <w:instrText xml:space="preserve"> PAGEREF _Toc204251888 \h </w:instrText>
            </w:r>
            <w:r>
              <w:rPr>
                <w:noProof/>
                <w:webHidden/>
              </w:rPr>
            </w:r>
            <w:r>
              <w:rPr>
                <w:noProof/>
                <w:webHidden/>
              </w:rPr>
              <w:fldChar w:fldCharType="separate"/>
            </w:r>
            <w:r>
              <w:rPr>
                <w:noProof/>
                <w:webHidden/>
              </w:rPr>
              <w:t>19</w:t>
            </w:r>
            <w:r>
              <w:rPr>
                <w:noProof/>
                <w:webHidden/>
              </w:rPr>
              <w:fldChar w:fldCharType="end"/>
            </w:r>
          </w:hyperlink>
        </w:p>
        <w:p w14:paraId="0040C163" w14:textId="2060DC85" w:rsidR="00F670C9" w:rsidRDefault="00F670C9">
          <w:pPr>
            <w:pStyle w:val="TOC3"/>
            <w:rPr>
              <w:rFonts w:asciiTheme="minorHAnsi" w:eastAsiaTheme="minorEastAsia" w:hAnsiTheme="minorHAnsi" w:cstheme="minorBidi"/>
              <w:noProof/>
              <w:kern w:val="2"/>
              <w:sz w:val="24"/>
              <w:szCs w:val="24"/>
              <w:lang w:eastAsia="en-AU"/>
              <w14:ligatures w14:val="standardContextual"/>
            </w:rPr>
          </w:pPr>
          <w:hyperlink w:anchor="_Toc204251889" w:history="1">
            <w:r w:rsidRPr="00172C22">
              <w:rPr>
                <w:rStyle w:val="Hyperlink"/>
                <w:noProof/>
              </w:rPr>
              <w:t>Major Hospitals</w:t>
            </w:r>
            <w:r>
              <w:rPr>
                <w:noProof/>
                <w:webHidden/>
              </w:rPr>
              <w:tab/>
            </w:r>
            <w:r>
              <w:rPr>
                <w:noProof/>
                <w:webHidden/>
              </w:rPr>
              <w:fldChar w:fldCharType="begin"/>
            </w:r>
            <w:r>
              <w:rPr>
                <w:noProof/>
                <w:webHidden/>
              </w:rPr>
              <w:instrText xml:space="preserve"> PAGEREF _Toc204251889 \h </w:instrText>
            </w:r>
            <w:r>
              <w:rPr>
                <w:noProof/>
                <w:webHidden/>
              </w:rPr>
            </w:r>
            <w:r>
              <w:rPr>
                <w:noProof/>
                <w:webHidden/>
              </w:rPr>
              <w:fldChar w:fldCharType="separate"/>
            </w:r>
            <w:r>
              <w:rPr>
                <w:noProof/>
                <w:webHidden/>
              </w:rPr>
              <w:t>20</w:t>
            </w:r>
            <w:r>
              <w:rPr>
                <w:noProof/>
                <w:webHidden/>
              </w:rPr>
              <w:fldChar w:fldCharType="end"/>
            </w:r>
          </w:hyperlink>
        </w:p>
        <w:p w14:paraId="4F479F8C" w14:textId="51CDDFA7" w:rsidR="00F670C9" w:rsidRDefault="00F670C9">
          <w:pPr>
            <w:pStyle w:val="TOC3"/>
            <w:rPr>
              <w:rFonts w:asciiTheme="minorHAnsi" w:eastAsiaTheme="minorEastAsia" w:hAnsiTheme="minorHAnsi" w:cstheme="minorBidi"/>
              <w:noProof/>
              <w:kern w:val="2"/>
              <w:sz w:val="24"/>
              <w:szCs w:val="24"/>
              <w:lang w:eastAsia="en-AU"/>
              <w14:ligatures w14:val="standardContextual"/>
            </w:rPr>
          </w:pPr>
          <w:hyperlink w:anchor="_Toc204251890" w:history="1">
            <w:r w:rsidRPr="00172C22">
              <w:rPr>
                <w:rStyle w:val="Hyperlink"/>
                <w:noProof/>
              </w:rPr>
              <w:t>Principal Hospitals</w:t>
            </w:r>
            <w:r>
              <w:rPr>
                <w:noProof/>
                <w:webHidden/>
              </w:rPr>
              <w:tab/>
            </w:r>
            <w:r>
              <w:rPr>
                <w:noProof/>
                <w:webHidden/>
              </w:rPr>
              <w:fldChar w:fldCharType="begin"/>
            </w:r>
            <w:r>
              <w:rPr>
                <w:noProof/>
                <w:webHidden/>
              </w:rPr>
              <w:instrText xml:space="preserve"> PAGEREF _Toc204251890 \h </w:instrText>
            </w:r>
            <w:r>
              <w:rPr>
                <w:noProof/>
                <w:webHidden/>
              </w:rPr>
            </w:r>
            <w:r>
              <w:rPr>
                <w:noProof/>
                <w:webHidden/>
              </w:rPr>
              <w:fldChar w:fldCharType="separate"/>
            </w:r>
            <w:r>
              <w:rPr>
                <w:noProof/>
                <w:webHidden/>
              </w:rPr>
              <w:t>21</w:t>
            </w:r>
            <w:r>
              <w:rPr>
                <w:noProof/>
                <w:webHidden/>
              </w:rPr>
              <w:fldChar w:fldCharType="end"/>
            </w:r>
          </w:hyperlink>
        </w:p>
        <w:p w14:paraId="09C09AA0" w14:textId="0B51A7DE" w:rsidR="00F670C9" w:rsidRDefault="00F670C9">
          <w:pPr>
            <w:pStyle w:val="TOC3"/>
            <w:rPr>
              <w:rFonts w:asciiTheme="minorHAnsi" w:eastAsiaTheme="minorEastAsia" w:hAnsiTheme="minorHAnsi" w:cstheme="minorBidi"/>
              <w:noProof/>
              <w:kern w:val="2"/>
              <w:sz w:val="24"/>
              <w:szCs w:val="24"/>
              <w:lang w:eastAsia="en-AU"/>
              <w14:ligatures w14:val="standardContextual"/>
            </w:rPr>
          </w:pPr>
          <w:hyperlink w:anchor="_Toc204251891" w:history="1">
            <w:r w:rsidRPr="00172C22">
              <w:rPr>
                <w:rStyle w:val="Hyperlink"/>
                <w:noProof/>
              </w:rPr>
              <w:t>Regional Tertiary Hospitals</w:t>
            </w:r>
            <w:r>
              <w:rPr>
                <w:noProof/>
                <w:webHidden/>
              </w:rPr>
              <w:tab/>
            </w:r>
            <w:r>
              <w:rPr>
                <w:noProof/>
                <w:webHidden/>
              </w:rPr>
              <w:fldChar w:fldCharType="begin"/>
            </w:r>
            <w:r>
              <w:rPr>
                <w:noProof/>
                <w:webHidden/>
              </w:rPr>
              <w:instrText xml:space="preserve"> PAGEREF _Toc204251891 \h </w:instrText>
            </w:r>
            <w:r>
              <w:rPr>
                <w:noProof/>
                <w:webHidden/>
              </w:rPr>
            </w:r>
            <w:r>
              <w:rPr>
                <w:noProof/>
                <w:webHidden/>
              </w:rPr>
              <w:fldChar w:fldCharType="separate"/>
            </w:r>
            <w:r>
              <w:rPr>
                <w:noProof/>
                <w:webHidden/>
              </w:rPr>
              <w:t>21</w:t>
            </w:r>
            <w:r>
              <w:rPr>
                <w:noProof/>
                <w:webHidden/>
              </w:rPr>
              <w:fldChar w:fldCharType="end"/>
            </w:r>
          </w:hyperlink>
        </w:p>
        <w:p w14:paraId="3CF8A90B" w14:textId="5BC54B7B" w:rsidR="00F670C9" w:rsidRDefault="00F670C9">
          <w:pPr>
            <w:pStyle w:val="TOC3"/>
            <w:rPr>
              <w:rFonts w:asciiTheme="minorHAnsi" w:eastAsiaTheme="minorEastAsia" w:hAnsiTheme="minorHAnsi" w:cstheme="minorBidi"/>
              <w:noProof/>
              <w:kern w:val="2"/>
              <w:sz w:val="24"/>
              <w:szCs w:val="24"/>
              <w:lang w:eastAsia="en-AU"/>
              <w14:ligatures w14:val="standardContextual"/>
            </w:rPr>
          </w:pPr>
          <w:hyperlink w:anchor="_Toc204251892" w:history="1">
            <w:r w:rsidRPr="00172C22">
              <w:rPr>
                <w:rStyle w:val="Hyperlink"/>
                <w:noProof/>
              </w:rPr>
              <w:t>Tertiary Hospitals</w:t>
            </w:r>
            <w:r>
              <w:rPr>
                <w:noProof/>
                <w:webHidden/>
              </w:rPr>
              <w:tab/>
            </w:r>
            <w:r>
              <w:rPr>
                <w:noProof/>
                <w:webHidden/>
              </w:rPr>
              <w:fldChar w:fldCharType="begin"/>
            </w:r>
            <w:r>
              <w:rPr>
                <w:noProof/>
                <w:webHidden/>
              </w:rPr>
              <w:instrText xml:space="preserve"> PAGEREF _Toc204251892 \h </w:instrText>
            </w:r>
            <w:r>
              <w:rPr>
                <w:noProof/>
                <w:webHidden/>
              </w:rPr>
            </w:r>
            <w:r>
              <w:rPr>
                <w:noProof/>
                <w:webHidden/>
              </w:rPr>
              <w:fldChar w:fldCharType="separate"/>
            </w:r>
            <w:r>
              <w:rPr>
                <w:noProof/>
                <w:webHidden/>
              </w:rPr>
              <w:t>21</w:t>
            </w:r>
            <w:r>
              <w:rPr>
                <w:noProof/>
                <w:webHidden/>
              </w:rPr>
              <w:fldChar w:fldCharType="end"/>
            </w:r>
          </w:hyperlink>
        </w:p>
        <w:p w14:paraId="2A79D853" w14:textId="2C2AC278" w:rsidR="00F670C9" w:rsidRDefault="00F670C9">
          <w:pPr>
            <w:pStyle w:val="TOC3"/>
            <w:rPr>
              <w:rFonts w:asciiTheme="minorHAnsi" w:eastAsiaTheme="minorEastAsia" w:hAnsiTheme="minorHAnsi" w:cstheme="minorBidi"/>
              <w:noProof/>
              <w:kern w:val="2"/>
              <w:sz w:val="24"/>
              <w:szCs w:val="24"/>
              <w:lang w:eastAsia="en-AU"/>
              <w14:ligatures w14:val="standardContextual"/>
            </w:rPr>
          </w:pPr>
          <w:hyperlink w:anchor="_Toc204251893" w:history="1">
            <w:r w:rsidRPr="00172C22">
              <w:rPr>
                <w:rStyle w:val="Hyperlink"/>
                <w:noProof/>
              </w:rPr>
              <w:t>Women’s and Children’s Hospitals</w:t>
            </w:r>
            <w:r>
              <w:rPr>
                <w:noProof/>
                <w:webHidden/>
              </w:rPr>
              <w:tab/>
            </w:r>
            <w:r>
              <w:rPr>
                <w:noProof/>
                <w:webHidden/>
              </w:rPr>
              <w:fldChar w:fldCharType="begin"/>
            </w:r>
            <w:r>
              <w:rPr>
                <w:noProof/>
                <w:webHidden/>
              </w:rPr>
              <w:instrText xml:space="preserve"> PAGEREF _Toc204251893 \h </w:instrText>
            </w:r>
            <w:r>
              <w:rPr>
                <w:noProof/>
                <w:webHidden/>
              </w:rPr>
            </w:r>
            <w:r>
              <w:rPr>
                <w:noProof/>
                <w:webHidden/>
              </w:rPr>
              <w:fldChar w:fldCharType="separate"/>
            </w:r>
            <w:r>
              <w:rPr>
                <w:noProof/>
                <w:webHidden/>
              </w:rPr>
              <w:t>22</w:t>
            </w:r>
            <w:r>
              <w:rPr>
                <w:noProof/>
                <w:webHidden/>
              </w:rPr>
              <w:fldChar w:fldCharType="end"/>
            </w:r>
          </w:hyperlink>
        </w:p>
        <w:p w14:paraId="1F6CAD04" w14:textId="7A948DE9" w:rsidR="00F670C9" w:rsidRDefault="00F670C9">
          <w:pPr>
            <w:pStyle w:val="TOC3"/>
            <w:rPr>
              <w:rFonts w:asciiTheme="minorHAnsi" w:eastAsiaTheme="minorEastAsia" w:hAnsiTheme="minorHAnsi" w:cstheme="minorBidi"/>
              <w:noProof/>
              <w:kern w:val="2"/>
              <w:sz w:val="24"/>
              <w:szCs w:val="24"/>
              <w:lang w:eastAsia="en-AU"/>
              <w14:ligatures w14:val="standardContextual"/>
            </w:rPr>
          </w:pPr>
          <w:hyperlink w:anchor="_Toc204251894" w:history="1">
            <w:r w:rsidRPr="00172C22">
              <w:rPr>
                <w:rStyle w:val="Hyperlink"/>
                <w:noProof/>
              </w:rPr>
              <w:t>Specialist Hospitals</w:t>
            </w:r>
            <w:r>
              <w:rPr>
                <w:noProof/>
                <w:webHidden/>
              </w:rPr>
              <w:tab/>
            </w:r>
            <w:r>
              <w:rPr>
                <w:noProof/>
                <w:webHidden/>
              </w:rPr>
              <w:fldChar w:fldCharType="begin"/>
            </w:r>
            <w:r>
              <w:rPr>
                <w:noProof/>
                <w:webHidden/>
              </w:rPr>
              <w:instrText xml:space="preserve"> PAGEREF _Toc204251894 \h </w:instrText>
            </w:r>
            <w:r>
              <w:rPr>
                <w:noProof/>
                <w:webHidden/>
              </w:rPr>
            </w:r>
            <w:r>
              <w:rPr>
                <w:noProof/>
                <w:webHidden/>
              </w:rPr>
              <w:fldChar w:fldCharType="separate"/>
            </w:r>
            <w:r>
              <w:rPr>
                <w:noProof/>
                <w:webHidden/>
              </w:rPr>
              <w:t>22</w:t>
            </w:r>
            <w:r>
              <w:rPr>
                <w:noProof/>
                <w:webHidden/>
              </w:rPr>
              <w:fldChar w:fldCharType="end"/>
            </w:r>
          </w:hyperlink>
        </w:p>
        <w:p w14:paraId="27362329" w14:textId="3B8B7D41" w:rsidR="00F670C9" w:rsidRDefault="00F670C9">
          <w:pPr>
            <w:pStyle w:val="TOC3"/>
            <w:rPr>
              <w:rFonts w:asciiTheme="minorHAnsi" w:eastAsiaTheme="minorEastAsia" w:hAnsiTheme="minorHAnsi" w:cstheme="minorBidi"/>
              <w:noProof/>
              <w:kern w:val="2"/>
              <w:sz w:val="24"/>
              <w:szCs w:val="24"/>
              <w:lang w:eastAsia="en-AU"/>
              <w14:ligatures w14:val="standardContextual"/>
            </w:rPr>
          </w:pPr>
          <w:hyperlink w:anchor="_Toc204251895" w:history="1">
            <w:r w:rsidRPr="00172C22">
              <w:rPr>
                <w:rStyle w:val="Hyperlink"/>
                <w:noProof/>
              </w:rPr>
              <w:t>Sub-Acute Hospitals</w:t>
            </w:r>
            <w:r>
              <w:rPr>
                <w:noProof/>
                <w:webHidden/>
              </w:rPr>
              <w:tab/>
            </w:r>
            <w:r>
              <w:rPr>
                <w:noProof/>
                <w:webHidden/>
              </w:rPr>
              <w:fldChar w:fldCharType="begin"/>
            </w:r>
            <w:r>
              <w:rPr>
                <w:noProof/>
                <w:webHidden/>
              </w:rPr>
              <w:instrText xml:space="preserve"> PAGEREF _Toc204251895 \h </w:instrText>
            </w:r>
            <w:r>
              <w:rPr>
                <w:noProof/>
                <w:webHidden/>
              </w:rPr>
            </w:r>
            <w:r>
              <w:rPr>
                <w:noProof/>
                <w:webHidden/>
              </w:rPr>
              <w:fldChar w:fldCharType="separate"/>
            </w:r>
            <w:r>
              <w:rPr>
                <w:noProof/>
                <w:webHidden/>
              </w:rPr>
              <w:t>23</w:t>
            </w:r>
            <w:r>
              <w:rPr>
                <w:noProof/>
                <w:webHidden/>
              </w:rPr>
              <w:fldChar w:fldCharType="end"/>
            </w:r>
          </w:hyperlink>
        </w:p>
        <w:p w14:paraId="62EF91EB" w14:textId="06F692ED" w:rsidR="00F670C9" w:rsidRDefault="00F670C9">
          <w:pPr>
            <w:pStyle w:val="TOC3"/>
            <w:rPr>
              <w:rFonts w:asciiTheme="minorHAnsi" w:eastAsiaTheme="minorEastAsia" w:hAnsiTheme="minorHAnsi" w:cstheme="minorBidi"/>
              <w:noProof/>
              <w:kern w:val="2"/>
              <w:sz w:val="24"/>
              <w:szCs w:val="24"/>
              <w:lang w:eastAsia="en-AU"/>
              <w14:ligatures w14:val="standardContextual"/>
            </w:rPr>
          </w:pPr>
          <w:hyperlink w:anchor="_Toc204251896" w:history="1">
            <w:r w:rsidRPr="00172C22">
              <w:rPr>
                <w:rStyle w:val="Hyperlink"/>
                <w:noProof/>
              </w:rPr>
              <w:t>Early Parenting Centres</w:t>
            </w:r>
            <w:r>
              <w:rPr>
                <w:noProof/>
                <w:webHidden/>
              </w:rPr>
              <w:tab/>
            </w:r>
            <w:r>
              <w:rPr>
                <w:noProof/>
                <w:webHidden/>
              </w:rPr>
              <w:fldChar w:fldCharType="begin"/>
            </w:r>
            <w:r>
              <w:rPr>
                <w:noProof/>
                <w:webHidden/>
              </w:rPr>
              <w:instrText xml:space="preserve"> PAGEREF _Toc204251896 \h </w:instrText>
            </w:r>
            <w:r>
              <w:rPr>
                <w:noProof/>
                <w:webHidden/>
              </w:rPr>
            </w:r>
            <w:r>
              <w:rPr>
                <w:noProof/>
                <w:webHidden/>
              </w:rPr>
              <w:fldChar w:fldCharType="separate"/>
            </w:r>
            <w:r>
              <w:rPr>
                <w:noProof/>
                <w:webHidden/>
              </w:rPr>
              <w:t>23</w:t>
            </w:r>
            <w:r>
              <w:rPr>
                <w:noProof/>
                <w:webHidden/>
              </w:rPr>
              <w:fldChar w:fldCharType="end"/>
            </w:r>
          </w:hyperlink>
        </w:p>
        <w:p w14:paraId="1BBDBCCA" w14:textId="06E69618" w:rsidR="00F670C9" w:rsidRDefault="00F670C9">
          <w:pPr>
            <w:pStyle w:val="TOC3"/>
            <w:rPr>
              <w:rFonts w:asciiTheme="minorHAnsi" w:eastAsiaTheme="minorEastAsia" w:hAnsiTheme="minorHAnsi" w:cstheme="minorBidi"/>
              <w:noProof/>
              <w:kern w:val="2"/>
              <w:sz w:val="24"/>
              <w:szCs w:val="24"/>
              <w:lang w:eastAsia="en-AU"/>
              <w14:ligatures w14:val="standardContextual"/>
            </w:rPr>
          </w:pPr>
          <w:hyperlink w:anchor="_Toc204251897" w:history="1">
            <w:r w:rsidRPr="00172C22">
              <w:rPr>
                <w:rStyle w:val="Hyperlink"/>
                <w:noProof/>
              </w:rPr>
              <w:t>Public Surgery Centres</w:t>
            </w:r>
            <w:r>
              <w:rPr>
                <w:noProof/>
                <w:webHidden/>
              </w:rPr>
              <w:tab/>
            </w:r>
            <w:r>
              <w:rPr>
                <w:noProof/>
                <w:webHidden/>
              </w:rPr>
              <w:fldChar w:fldCharType="begin"/>
            </w:r>
            <w:r>
              <w:rPr>
                <w:noProof/>
                <w:webHidden/>
              </w:rPr>
              <w:instrText xml:space="preserve"> PAGEREF _Toc204251897 \h </w:instrText>
            </w:r>
            <w:r>
              <w:rPr>
                <w:noProof/>
                <w:webHidden/>
              </w:rPr>
            </w:r>
            <w:r>
              <w:rPr>
                <w:noProof/>
                <w:webHidden/>
              </w:rPr>
              <w:fldChar w:fldCharType="separate"/>
            </w:r>
            <w:r>
              <w:rPr>
                <w:noProof/>
                <w:webHidden/>
              </w:rPr>
              <w:t>23</w:t>
            </w:r>
            <w:r>
              <w:rPr>
                <w:noProof/>
                <w:webHidden/>
              </w:rPr>
              <w:fldChar w:fldCharType="end"/>
            </w:r>
          </w:hyperlink>
        </w:p>
        <w:p w14:paraId="590051BF" w14:textId="1F633814" w:rsidR="00F670C9" w:rsidRDefault="00F670C9">
          <w:pPr>
            <w:pStyle w:val="TOC1"/>
            <w:rPr>
              <w:rFonts w:asciiTheme="minorHAnsi" w:eastAsiaTheme="minorEastAsia" w:hAnsiTheme="minorHAnsi" w:cstheme="minorBidi"/>
              <w:b w:val="0"/>
              <w:kern w:val="2"/>
              <w:sz w:val="24"/>
              <w:szCs w:val="24"/>
              <w:lang w:eastAsia="en-AU"/>
              <w14:ligatures w14:val="standardContextual"/>
            </w:rPr>
          </w:pPr>
          <w:hyperlink w:anchor="_Toc204251898" w:history="1">
            <w:r w:rsidRPr="00172C22">
              <w:rPr>
                <w:rStyle w:val="Hyperlink"/>
              </w:rPr>
              <w:t>Appendices</w:t>
            </w:r>
            <w:r>
              <w:rPr>
                <w:webHidden/>
              </w:rPr>
              <w:tab/>
            </w:r>
            <w:r>
              <w:rPr>
                <w:webHidden/>
              </w:rPr>
              <w:fldChar w:fldCharType="begin"/>
            </w:r>
            <w:r>
              <w:rPr>
                <w:webHidden/>
              </w:rPr>
              <w:instrText xml:space="preserve"> PAGEREF _Toc204251898 \h </w:instrText>
            </w:r>
            <w:r>
              <w:rPr>
                <w:webHidden/>
              </w:rPr>
            </w:r>
            <w:r>
              <w:rPr>
                <w:webHidden/>
              </w:rPr>
              <w:fldChar w:fldCharType="separate"/>
            </w:r>
            <w:r>
              <w:rPr>
                <w:webHidden/>
              </w:rPr>
              <w:t>24</w:t>
            </w:r>
            <w:r>
              <w:rPr>
                <w:webHidden/>
              </w:rPr>
              <w:fldChar w:fldCharType="end"/>
            </w:r>
          </w:hyperlink>
        </w:p>
        <w:p w14:paraId="7C4CE759" w14:textId="79EFC699" w:rsidR="00F670C9" w:rsidRDefault="00F670C9">
          <w:pPr>
            <w:pStyle w:val="TOC2"/>
            <w:rPr>
              <w:rFonts w:asciiTheme="minorHAnsi" w:eastAsiaTheme="minorEastAsia" w:hAnsiTheme="minorHAnsi" w:cstheme="minorBidi"/>
              <w:kern w:val="2"/>
              <w:sz w:val="24"/>
              <w:szCs w:val="24"/>
              <w:lang w:eastAsia="en-AU"/>
              <w14:ligatures w14:val="standardContextual"/>
            </w:rPr>
          </w:pPr>
          <w:hyperlink w:anchor="_Toc204251899" w:history="1">
            <w:r w:rsidRPr="00172C22">
              <w:rPr>
                <w:rStyle w:val="Hyperlink"/>
                <w:rFonts w:cs="Arial"/>
              </w:rPr>
              <w:t>Appendix 1: Health Services Plan Recommendations Related to this Framework</w:t>
            </w:r>
            <w:r>
              <w:rPr>
                <w:webHidden/>
              </w:rPr>
              <w:tab/>
            </w:r>
            <w:r>
              <w:rPr>
                <w:webHidden/>
              </w:rPr>
              <w:fldChar w:fldCharType="begin"/>
            </w:r>
            <w:r>
              <w:rPr>
                <w:webHidden/>
              </w:rPr>
              <w:instrText xml:space="preserve"> PAGEREF _Toc204251899 \h </w:instrText>
            </w:r>
            <w:r>
              <w:rPr>
                <w:webHidden/>
              </w:rPr>
            </w:r>
            <w:r>
              <w:rPr>
                <w:webHidden/>
              </w:rPr>
              <w:fldChar w:fldCharType="separate"/>
            </w:r>
            <w:r>
              <w:rPr>
                <w:webHidden/>
              </w:rPr>
              <w:t>24</w:t>
            </w:r>
            <w:r>
              <w:rPr>
                <w:webHidden/>
              </w:rPr>
              <w:fldChar w:fldCharType="end"/>
            </w:r>
          </w:hyperlink>
        </w:p>
        <w:p w14:paraId="2D542ECE" w14:textId="1F232623" w:rsidR="00F670C9" w:rsidRDefault="00F670C9">
          <w:pPr>
            <w:pStyle w:val="TOC3"/>
            <w:rPr>
              <w:rFonts w:asciiTheme="minorHAnsi" w:eastAsiaTheme="minorEastAsia" w:hAnsiTheme="minorHAnsi" w:cstheme="minorBidi"/>
              <w:noProof/>
              <w:kern w:val="2"/>
              <w:sz w:val="24"/>
              <w:szCs w:val="24"/>
              <w:lang w:eastAsia="en-AU"/>
              <w14:ligatures w14:val="standardContextual"/>
            </w:rPr>
          </w:pPr>
          <w:hyperlink w:anchor="_Toc204251900" w:history="1">
            <w:r w:rsidRPr="00172C22">
              <w:rPr>
                <w:rStyle w:val="Hyperlink"/>
                <w:noProof/>
              </w:rPr>
              <w:t>Recommendation 3.1: Victoria adopt a role delineation framework setting out the roles and responsibilities for each health service site</w:t>
            </w:r>
            <w:r>
              <w:rPr>
                <w:noProof/>
                <w:webHidden/>
              </w:rPr>
              <w:tab/>
            </w:r>
            <w:r>
              <w:rPr>
                <w:noProof/>
                <w:webHidden/>
              </w:rPr>
              <w:fldChar w:fldCharType="begin"/>
            </w:r>
            <w:r>
              <w:rPr>
                <w:noProof/>
                <w:webHidden/>
              </w:rPr>
              <w:instrText xml:space="preserve"> PAGEREF _Toc204251900 \h </w:instrText>
            </w:r>
            <w:r>
              <w:rPr>
                <w:noProof/>
                <w:webHidden/>
              </w:rPr>
            </w:r>
            <w:r>
              <w:rPr>
                <w:noProof/>
                <w:webHidden/>
              </w:rPr>
              <w:fldChar w:fldCharType="separate"/>
            </w:r>
            <w:r>
              <w:rPr>
                <w:noProof/>
                <w:webHidden/>
              </w:rPr>
              <w:t>24</w:t>
            </w:r>
            <w:r>
              <w:rPr>
                <w:noProof/>
                <w:webHidden/>
              </w:rPr>
              <w:fldChar w:fldCharType="end"/>
            </w:r>
          </w:hyperlink>
        </w:p>
        <w:p w14:paraId="119456DA" w14:textId="1C4BD4A8" w:rsidR="00F670C9" w:rsidRDefault="00F670C9">
          <w:pPr>
            <w:pStyle w:val="TOC2"/>
            <w:rPr>
              <w:rFonts w:asciiTheme="minorHAnsi" w:eastAsiaTheme="minorEastAsia" w:hAnsiTheme="minorHAnsi" w:cstheme="minorBidi"/>
              <w:kern w:val="2"/>
              <w:sz w:val="24"/>
              <w:szCs w:val="24"/>
              <w:lang w:eastAsia="en-AU"/>
              <w14:ligatures w14:val="standardContextual"/>
            </w:rPr>
          </w:pPr>
          <w:hyperlink w:anchor="_Toc204251901" w:history="1">
            <w:r w:rsidRPr="00172C22">
              <w:rPr>
                <w:rStyle w:val="Hyperlink"/>
                <w:rFonts w:cs="Arial"/>
              </w:rPr>
              <w:t>Appendix 2: Designated Low Volume, Highly Complex Care in Victoria</w:t>
            </w:r>
            <w:r>
              <w:rPr>
                <w:webHidden/>
              </w:rPr>
              <w:tab/>
            </w:r>
            <w:r>
              <w:rPr>
                <w:webHidden/>
              </w:rPr>
              <w:fldChar w:fldCharType="begin"/>
            </w:r>
            <w:r>
              <w:rPr>
                <w:webHidden/>
              </w:rPr>
              <w:instrText xml:space="preserve"> PAGEREF _Toc204251901 \h </w:instrText>
            </w:r>
            <w:r>
              <w:rPr>
                <w:webHidden/>
              </w:rPr>
            </w:r>
            <w:r>
              <w:rPr>
                <w:webHidden/>
              </w:rPr>
              <w:fldChar w:fldCharType="separate"/>
            </w:r>
            <w:r>
              <w:rPr>
                <w:webHidden/>
              </w:rPr>
              <w:t>25</w:t>
            </w:r>
            <w:r>
              <w:rPr>
                <w:webHidden/>
              </w:rPr>
              <w:fldChar w:fldCharType="end"/>
            </w:r>
          </w:hyperlink>
        </w:p>
        <w:p w14:paraId="02D49DA6" w14:textId="76514961" w:rsidR="00F670C9" w:rsidRDefault="00F670C9">
          <w:pPr>
            <w:pStyle w:val="TOC2"/>
            <w:rPr>
              <w:rFonts w:asciiTheme="minorHAnsi" w:eastAsiaTheme="minorEastAsia" w:hAnsiTheme="minorHAnsi" w:cstheme="minorBidi"/>
              <w:kern w:val="2"/>
              <w:sz w:val="24"/>
              <w:szCs w:val="24"/>
              <w:lang w:eastAsia="en-AU"/>
              <w14:ligatures w14:val="standardContextual"/>
            </w:rPr>
          </w:pPr>
          <w:hyperlink w:anchor="_Toc204251902" w:history="1">
            <w:r w:rsidRPr="00172C22">
              <w:rPr>
                <w:rStyle w:val="Hyperlink"/>
                <w:rFonts w:cs="Arial"/>
              </w:rPr>
              <w:t>Appendix 3: Defining and Assigning Victoria’s Health Service Site Roles</w:t>
            </w:r>
            <w:r>
              <w:rPr>
                <w:webHidden/>
              </w:rPr>
              <w:tab/>
            </w:r>
            <w:r>
              <w:rPr>
                <w:webHidden/>
              </w:rPr>
              <w:fldChar w:fldCharType="begin"/>
            </w:r>
            <w:r>
              <w:rPr>
                <w:webHidden/>
              </w:rPr>
              <w:instrText xml:space="preserve"> PAGEREF _Toc204251902 \h </w:instrText>
            </w:r>
            <w:r>
              <w:rPr>
                <w:webHidden/>
              </w:rPr>
            </w:r>
            <w:r>
              <w:rPr>
                <w:webHidden/>
              </w:rPr>
              <w:fldChar w:fldCharType="separate"/>
            </w:r>
            <w:r>
              <w:rPr>
                <w:webHidden/>
              </w:rPr>
              <w:t>27</w:t>
            </w:r>
            <w:r>
              <w:rPr>
                <w:webHidden/>
              </w:rPr>
              <w:fldChar w:fldCharType="end"/>
            </w:r>
          </w:hyperlink>
        </w:p>
        <w:p w14:paraId="31B0A27A" w14:textId="3B00377E" w:rsidR="00F670C9" w:rsidRDefault="00F670C9">
          <w:pPr>
            <w:pStyle w:val="TOC3"/>
            <w:rPr>
              <w:rFonts w:asciiTheme="minorHAnsi" w:eastAsiaTheme="minorEastAsia" w:hAnsiTheme="minorHAnsi" w:cstheme="minorBidi"/>
              <w:noProof/>
              <w:kern w:val="2"/>
              <w:sz w:val="24"/>
              <w:szCs w:val="24"/>
              <w:lang w:eastAsia="en-AU"/>
              <w14:ligatures w14:val="standardContextual"/>
            </w:rPr>
          </w:pPr>
          <w:hyperlink w:anchor="_Toc204251903" w:history="1">
            <w:r w:rsidRPr="00172C22">
              <w:rPr>
                <w:rStyle w:val="Hyperlink"/>
                <w:noProof/>
              </w:rPr>
              <w:t>Definition and assignment of roles providing a broad range of services to all Victorian communities</w:t>
            </w:r>
            <w:r>
              <w:rPr>
                <w:noProof/>
                <w:webHidden/>
              </w:rPr>
              <w:tab/>
            </w:r>
            <w:r>
              <w:rPr>
                <w:noProof/>
                <w:webHidden/>
              </w:rPr>
              <w:fldChar w:fldCharType="begin"/>
            </w:r>
            <w:r>
              <w:rPr>
                <w:noProof/>
                <w:webHidden/>
              </w:rPr>
              <w:instrText xml:space="preserve"> PAGEREF _Toc204251903 \h </w:instrText>
            </w:r>
            <w:r>
              <w:rPr>
                <w:noProof/>
                <w:webHidden/>
              </w:rPr>
            </w:r>
            <w:r>
              <w:rPr>
                <w:noProof/>
                <w:webHidden/>
              </w:rPr>
              <w:fldChar w:fldCharType="separate"/>
            </w:r>
            <w:r>
              <w:rPr>
                <w:noProof/>
                <w:webHidden/>
              </w:rPr>
              <w:t>27</w:t>
            </w:r>
            <w:r>
              <w:rPr>
                <w:noProof/>
                <w:webHidden/>
              </w:rPr>
              <w:fldChar w:fldCharType="end"/>
            </w:r>
          </w:hyperlink>
        </w:p>
        <w:p w14:paraId="6055EC80" w14:textId="21F6AD45" w:rsidR="00F670C9" w:rsidRDefault="00F670C9">
          <w:pPr>
            <w:pStyle w:val="TOC3"/>
            <w:rPr>
              <w:rFonts w:asciiTheme="minorHAnsi" w:eastAsiaTheme="minorEastAsia" w:hAnsiTheme="minorHAnsi" w:cstheme="minorBidi"/>
              <w:noProof/>
              <w:kern w:val="2"/>
              <w:sz w:val="24"/>
              <w:szCs w:val="24"/>
              <w:lang w:eastAsia="en-AU"/>
              <w14:ligatures w14:val="standardContextual"/>
            </w:rPr>
          </w:pPr>
          <w:hyperlink w:anchor="_Toc204251904" w:history="1">
            <w:r w:rsidRPr="00172C22">
              <w:rPr>
                <w:rStyle w:val="Hyperlink"/>
                <w:noProof/>
              </w:rPr>
              <w:t>Definition and assignment of roles offering targeted clinical care in a specialised area or serving defined population cohorts</w:t>
            </w:r>
            <w:r>
              <w:rPr>
                <w:noProof/>
                <w:webHidden/>
              </w:rPr>
              <w:tab/>
            </w:r>
            <w:r>
              <w:rPr>
                <w:noProof/>
                <w:webHidden/>
              </w:rPr>
              <w:fldChar w:fldCharType="begin"/>
            </w:r>
            <w:r>
              <w:rPr>
                <w:noProof/>
                <w:webHidden/>
              </w:rPr>
              <w:instrText xml:space="preserve"> PAGEREF _Toc204251904 \h </w:instrText>
            </w:r>
            <w:r>
              <w:rPr>
                <w:noProof/>
                <w:webHidden/>
              </w:rPr>
            </w:r>
            <w:r>
              <w:rPr>
                <w:noProof/>
                <w:webHidden/>
              </w:rPr>
              <w:fldChar w:fldCharType="separate"/>
            </w:r>
            <w:r>
              <w:rPr>
                <w:noProof/>
                <w:webHidden/>
              </w:rPr>
              <w:t>29</w:t>
            </w:r>
            <w:r>
              <w:rPr>
                <w:noProof/>
                <w:webHidden/>
              </w:rPr>
              <w:fldChar w:fldCharType="end"/>
            </w:r>
          </w:hyperlink>
        </w:p>
        <w:p w14:paraId="5B5ED499" w14:textId="5590AD97" w:rsidR="00F670C9" w:rsidRDefault="00F670C9">
          <w:pPr>
            <w:pStyle w:val="TOC2"/>
            <w:rPr>
              <w:rFonts w:asciiTheme="minorHAnsi" w:eastAsiaTheme="minorEastAsia" w:hAnsiTheme="minorHAnsi" w:cstheme="minorBidi"/>
              <w:kern w:val="2"/>
              <w:sz w:val="24"/>
              <w:szCs w:val="24"/>
              <w:lang w:eastAsia="en-AU"/>
              <w14:ligatures w14:val="standardContextual"/>
            </w:rPr>
          </w:pPr>
          <w:hyperlink w:anchor="_Toc204251905" w:history="1">
            <w:r w:rsidRPr="00172C22">
              <w:rPr>
                <w:rStyle w:val="Hyperlink"/>
                <w:rFonts w:cs="Arial"/>
              </w:rPr>
              <w:t>Appendix 4: Key Characteristics of Victoria’s Health Service Site Roles</w:t>
            </w:r>
            <w:r>
              <w:rPr>
                <w:webHidden/>
              </w:rPr>
              <w:tab/>
            </w:r>
            <w:r>
              <w:rPr>
                <w:webHidden/>
              </w:rPr>
              <w:fldChar w:fldCharType="begin"/>
            </w:r>
            <w:r>
              <w:rPr>
                <w:webHidden/>
              </w:rPr>
              <w:instrText xml:space="preserve"> PAGEREF _Toc204251905 \h </w:instrText>
            </w:r>
            <w:r>
              <w:rPr>
                <w:webHidden/>
              </w:rPr>
            </w:r>
            <w:r>
              <w:rPr>
                <w:webHidden/>
              </w:rPr>
              <w:fldChar w:fldCharType="separate"/>
            </w:r>
            <w:r>
              <w:rPr>
                <w:webHidden/>
              </w:rPr>
              <w:t>31</w:t>
            </w:r>
            <w:r>
              <w:rPr>
                <w:webHidden/>
              </w:rPr>
              <w:fldChar w:fldCharType="end"/>
            </w:r>
          </w:hyperlink>
        </w:p>
        <w:p w14:paraId="600ED336" w14:textId="3851D07C" w:rsidR="00F670C9" w:rsidRDefault="00F670C9">
          <w:pPr>
            <w:pStyle w:val="TOC2"/>
            <w:rPr>
              <w:rFonts w:asciiTheme="minorHAnsi" w:eastAsiaTheme="minorEastAsia" w:hAnsiTheme="minorHAnsi" w:cstheme="minorBidi"/>
              <w:kern w:val="2"/>
              <w:sz w:val="24"/>
              <w:szCs w:val="24"/>
              <w:lang w:eastAsia="en-AU"/>
              <w14:ligatures w14:val="standardContextual"/>
            </w:rPr>
          </w:pPr>
          <w:hyperlink w:anchor="_Toc204251906" w:history="1">
            <w:r w:rsidRPr="00172C22">
              <w:rPr>
                <w:rStyle w:val="Hyperlink"/>
                <w:rFonts w:cs="Arial"/>
              </w:rPr>
              <w:t>Appendix 5: Sector Consultation and Feedback</w:t>
            </w:r>
            <w:r>
              <w:rPr>
                <w:webHidden/>
              </w:rPr>
              <w:tab/>
            </w:r>
            <w:r>
              <w:rPr>
                <w:webHidden/>
              </w:rPr>
              <w:fldChar w:fldCharType="begin"/>
            </w:r>
            <w:r>
              <w:rPr>
                <w:webHidden/>
              </w:rPr>
              <w:instrText xml:space="preserve"> PAGEREF _Toc204251906 \h </w:instrText>
            </w:r>
            <w:r>
              <w:rPr>
                <w:webHidden/>
              </w:rPr>
            </w:r>
            <w:r>
              <w:rPr>
                <w:webHidden/>
              </w:rPr>
              <w:fldChar w:fldCharType="separate"/>
            </w:r>
            <w:r>
              <w:rPr>
                <w:webHidden/>
              </w:rPr>
              <w:t>44</w:t>
            </w:r>
            <w:r>
              <w:rPr>
                <w:webHidden/>
              </w:rPr>
              <w:fldChar w:fldCharType="end"/>
            </w:r>
          </w:hyperlink>
        </w:p>
        <w:p w14:paraId="33C9B275" w14:textId="76DC4546" w:rsidR="00F670C9" w:rsidRDefault="00F670C9">
          <w:pPr>
            <w:pStyle w:val="TOC2"/>
            <w:rPr>
              <w:rFonts w:asciiTheme="minorHAnsi" w:eastAsiaTheme="minorEastAsia" w:hAnsiTheme="minorHAnsi" w:cstheme="minorBidi"/>
              <w:kern w:val="2"/>
              <w:sz w:val="24"/>
              <w:szCs w:val="24"/>
              <w:lang w:eastAsia="en-AU"/>
              <w14:ligatures w14:val="standardContextual"/>
            </w:rPr>
          </w:pPr>
          <w:hyperlink w:anchor="_Toc204251907" w:history="1">
            <w:r w:rsidRPr="00172C22">
              <w:rPr>
                <w:rStyle w:val="Hyperlink"/>
                <w:rFonts w:cs="Arial"/>
              </w:rPr>
              <w:t>Appendix 6: References</w:t>
            </w:r>
            <w:r>
              <w:rPr>
                <w:webHidden/>
              </w:rPr>
              <w:tab/>
            </w:r>
            <w:r>
              <w:rPr>
                <w:webHidden/>
              </w:rPr>
              <w:fldChar w:fldCharType="begin"/>
            </w:r>
            <w:r>
              <w:rPr>
                <w:webHidden/>
              </w:rPr>
              <w:instrText xml:space="preserve"> PAGEREF _Toc204251907 \h </w:instrText>
            </w:r>
            <w:r>
              <w:rPr>
                <w:webHidden/>
              </w:rPr>
            </w:r>
            <w:r>
              <w:rPr>
                <w:webHidden/>
              </w:rPr>
              <w:fldChar w:fldCharType="separate"/>
            </w:r>
            <w:r>
              <w:rPr>
                <w:webHidden/>
              </w:rPr>
              <w:t>45</w:t>
            </w:r>
            <w:r>
              <w:rPr>
                <w:webHidden/>
              </w:rPr>
              <w:fldChar w:fldCharType="end"/>
            </w:r>
          </w:hyperlink>
        </w:p>
        <w:p w14:paraId="5480213C" w14:textId="5BD0054C" w:rsidR="00BF194A" w:rsidRPr="008E7073" w:rsidRDefault="00BF194A">
          <w:pPr>
            <w:rPr>
              <w:rFonts w:cs="Arial"/>
            </w:rPr>
          </w:pPr>
          <w:r w:rsidRPr="008E7073">
            <w:rPr>
              <w:rFonts w:cs="Arial"/>
              <w:b/>
              <w:bCs/>
              <w:noProof/>
            </w:rPr>
            <w:fldChar w:fldCharType="end"/>
          </w:r>
        </w:p>
      </w:sdtContent>
    </w:sdt>
    <w:p w14:paraId="6D0B956F" w14:textId="4C0B5462" w:rsidR="00BF194A" w:rsidRPr="008E7073" w:rsidRDefault="00AD784C" w:rsidP="00BF194A">
      <w:pPr>
        <w:pStyle w:val="TOC1"/>
        <w:rPr>
          <w:rFonts w:eastAsiaTheme="minorEastAsia" w:cs="Arial"/>
          <w:sz w:val="22"/>
          <w:szCs w:val="22"/>
          <w:lang w:eastAsia="en-AU"/>
        </w:rPr>
      </w:pPr>
      <w:r w:rsidRPr="008E7073">
        <w:rPr>
          <w:rFonts w:cs="Arial"/>
        </w:rPr>
        <w:fldChar w:fldCharType="begin"/>
      </w:r>
      <w:r w:rsidRPr="008E7073">
        <w:rPr>
          <w:rFonts w:cs="Arial"/>
        </w:rPr>
        <w:instrText xml:space="preserve"> TOC \h \z \t "Heading 1,1,Heading 2,2" </w:instrText>
      </w:r>
      <w:r w:rsidRPr="008E7073">
        <w:rPr>
          <w:rFonts w:cs="Arial"/>
        </w:rPr>
        <w:fldChar w:fldCharType="separate"/>
      </w:r>
    </w:p>
    <w:p w14:paraId="17CCD8A9" w14:textId="5274CF2E" w:rsidR="00454A7D" w:rsidRPr="008E7073" w:rsidRDefault="00454A7D">
      <w:pPr>
        <w:pStyle w:val="TOC2"/>
        <w:rPr>
          <w:rFonts w:eastAsiaTheme="minorEastAsia" w:cs="Arial"/>
          <w:sz w:val="22"/>
          <w:szCs w:val="22"/>
          <w:lang w:eastAsia="en-AU"/>
        </w:rPr>
      </w:pPr>
    </w:p>
    <w:p w14:paraId="28A08444" w14:textId="77777777" w:rsidR="00FB1F6E" w:rsidRPr="008E7073" w:rsidRDefault="00AD784C" w:rsidP="00D079AA">
      <w:pPr>
        <w:pStyle w:val="Body"/>
        <w:rPr>
          <w:rFonts w:cs="Arial"/>
        </w:rPr>
      </w:pPr>
      <w:r w:rsidRPr="008E7073">
        <w:rPr>
          <w:rFonts w:cs="Arial"/>
        </w:rPr>
        <w:fldChar w:fldCharType="end"/>
      </w:r>
    </w:p>
    <w:p w14:paraId="30FEF960" w14:textId="77777777" w:rsidR="00FB1F6E" w:rsidRPr="008E7073" w:rsidRDefault="00FB1F6E">
      <w:pPr>
        <w:spacing w:after="0" w:line="240" w:lineRule="auto"/>
        <w:rPr>
          <w:rFonts w:eastAsia="Times" w:cs="Arial"/>
        </w:rPr>
      </w:pPr>
      <w:r w:rsidRPr="008E7073">
        <w:rPr>
          <w:rFonts w:cs="Arial"/>
        </w:rPr>
        <w:br w:type="page"/>
      </w:r>
    </w:p>
    <w:p w14:paraId="7A83B3F4" w14:textId="77777777" w:rsidR="00332150" w:rsidRPr="008E7073" w:rsidRDefault="00332150" w:rsidP="00332150">
      <w:pPr>
        <w:pStyle w:val="Heading1"/>
      </w:pPr>
      <w:bookmarkStart w:id="1" w:name="_Toc197692442"/>
      <w:bookmarkStart w:id="2" w:name="_Toc204251869"/>
      <w:bookmarkStart w:id="3" w:name="_Toc66711980"/>
      <w:r w:rsidRPr="008E7073">
        <w:lastRenderedPageBreak/>
        <w:t>Glossary – Definition of Key Terms</w:t>
      </w:r>
      <w:bookmarkEnd w:id="1"/>
      <w:bookmarkEnd w:id="2"/>
    </w:p>
    <w:p w14:paraId="299BA029" w14:textId="77777777" w:rsidR="00332150" w:rsidRPr="002806B4" w:rsidRDefault="00332150" w:rsidP="00332150">
      <w:pPr>
        <w:spacing w:line="270" w:lineRule="atLeast"/>
        <w:rPr>
          <w:rFonts w:eastAsia="Times" w:cs="Arial"/>
          <w:szCs w:val="21"/>
        </w:rPr>
      </w:pPr>
      <w:r w:rsidRPr="002806B4">
        <w:rPr>
          <w:rFonts w:eastAsia="Times" w:cs="Arial"/>
          <w:b/>
          <w:szCs w:val="21"/>
        </w:rPr>
        <w:t xml:space="preserve">Acute care </w:t>
      </w:r>
      <w:r w:rsidRPr="002806B4">
        <w:rPr>
          <w:rFonts w:eastAsia="Times" w:cs="Arial"/>
          <w:szCs w:val="21"/>
        </w:rPr>
        <w:t>- Victorian acute care includes admitted and non-admitted services such as critical care, surgical services, Health service site in the Home, specialist clinics, trauma and emergency services.</w:t>
      </w:r>
    </w:p>
    <w:p w14:paraId="525C1CEF" w14:textId="77777777" w:rsidR="00332150" w:rsidRPr="002806B4" w:rsidRDefault="00332150" w:rsidP="00332150">
      <w:pPr>
        <w:spacing w:line="270" w:lineRule="atLeast"/>
        <w:rPr>
          <w:rFonts w:eastAsia="Times" w:cs="Arial"/>
          <w:szCs w:val="21"/>
        </w:rPr>
      </w:pPr>
      <w:r w:rsidRPr="002806B4">
        <w:rPr>
          <w:rFonts w:eastAsia="Times" w:cs="Arial"/>
          <w:b/>
          <w:szCs w:val="21"/>
        </w:rPr>
        <w:t xml:space="preserve">Agreed referral pathways – </w:t>
      </w:r>
      <w:r w:rsidRPr="002806B4">
        <w:rPr>
          <w:rFonts w:eastAsia="Times" w:cs="Arial"/>
          <w:szCs w:val="21"/>
        </w:rPr>
        <w:t xml:space="preserve">a process where public health services have established and agreed patient referral pathways with primary health providers and health services within a given geographical area. These agreed referral pathways will take into account both informed patient choice and the role of private providers in the health system. For example, statewide services for endovascular clot retrieval for stroke are centralised to two designated centres via agreed referral pathways or agreed movement of patients for higher level care as per clinical service capability levels. </w:t>
      </w:r>
    </w:p>
    <w:p w14:paraId="32CEE713" w14:textId="77777777" w:rsidR="00332150" w:rsidRPr="002806B4" w:rsidRDefault="00332150" w:rsidP="00332150">
      <w:pPr>
        <w:spacing w:line="270" w:lineRule="atLeast"/>
        <w:rPr>
          <w:rFonts w:eastAsia="Times" w:cs="Arial"/>
          <w:b/>
          <w:szCs w:val="21"/>
        </w:rPr>
      </w:pPr>
      <w:r w:rsidRPr="002806B4">
        <w:rPr>
          <w:rFonts w:eastAsia="Times" w:cs="Arial"/>
          <w:b/>
          <w:szCs w:val="21"/>
        </w:rPr>
        <w:t xml:space="preserve">Capability framework </w:t>
      </w:r>
      <w:r w:rsidRPr="002806B4">
        <w:rPr>
          <w:rFonts w:eastAsia="Times" w:cs="Arial"/>
          <w:szCs w:val="21"/>
        </w:rPr>
        <w:t>- a tool that describes the requirements within specific clinical streams to provide progressively higher (more complex) levels of care in terms of the scope of service, skills, experience and capacity of the workforce, the infrastructure and equipment requirements and clinical support services.</w:t>
      </w:r>
      <w:r w:rsidRPr="002806B4">
        <w:rPr>
          <w:rFonts w:eastAsia="Times" w:cs="Arial"/>
          <w:b/>
          <w:szCs w:val="21"/>
        </w:rPr>
        <w:t xml:space="preserve"> </w:t>
      </w:r>
    </w:p>
    <w:p w14:paraId="46838D1B" w14:textId="77777777" w:rsidR="00332150" w:rsidRPr="002806B4" w:rsidRDefault="00332150" w:rsidP="00332150">
      <w:pPr>
        <w:spacing w:line="270" w:lineRule="atLeast"/>
        <w:rPr>
          <w:rFonts w:eastAsia="Times" w:cs="Arial"/>
          <w:szCs w:val="21"/>
        </w:rPr>
      </w:pPr>
      <w:r w:rsidRPr="002806B4">
        <w:rPr>
          <w:rFonts w:eastAsia="Times" w:cs="Arial"/>
          <w:b/>
          <w:szCs w:val="21"/>
        </w:rPr>
        <w:t>Consumer</w:t>
      </w:r>
      <w:r w:rsidRPr="002806B4">
        <w:rPr>
          <w:rFonts w:eastAsia="Times" w:cs="Arial"/>
          <w:szCs w:val="21"/>
        </w:rPr>
        <w:t xml:space="preserve"> – refers to patients, residents, clients, families, supporters, those with lived and living experience, carers, advocates, representatives, volunteers, and communities who may be past, current, or potential users of the service.</w:t>
      </w:r>
    </w:p>
    <w:p w14:paraId="3FC93068" w14:textId="77777777" w:rsidR="00332150" w:rsidRPr="002806B4" w:rsidRDefault="00332150" w:rsidP="00332150">
      <w:pPr>
        <w:spacing w:line="270" w:lineRule="atLeast"/>
        <w:rPr>
          <w:rFonts w:eastAsia="Times" w:cs="Arial"/>
          <w:szCs w:val="21"/>
        </w:rPr>
      </w:pPr>
      <w:r w:rsidRPr="002806B4">
        <w:rPr>
          <w:rFonts w:eastAsia="Times" w:cs="Arial"/>
          <w:b/>
          <w:szCs w:val="21"/>
        </w:rPr>
        <w:t xml:space="preserve">Health service </w:t>
      </w:r>
      <w:r w:rsidRPr="002806B4">
        <w:rPr>
          <w:rFonts w:eastAsia="Times" w:cs="Arial"/>
          <w:szCs w:val="21"/>
        </w:rPr>
        <w:t>- a registered funded agency, multipurpose service or health service establishment, as defined by the Health Services Act 1988, in regard to services provided within a health service site or health setting.</w:t>
      </w:r>
    </w:p>
    <w:p w14:paraId="2452D954" w14:textId="77777777" w:rsidR="00332150" w:rsidRPr="002806B4" w:rsidRDefault="00332150" w:rsidP="00332150">
      <w:pPr>
        <w:spacing w:line="270" w:lineRule="atLeast"/>
        <w:rPr>
          <w:rFonts w:eastAsia="Times" w:cs="Arial"/>
          <w:szCs w:val="21"/>
        </w:rPr>
      </w:pPr>
      <w:r w:rsidRPr="002806B4">
        <w:rPr>
          <w:rFonts w:eastAsia="Times" w:cs="Arial"/>
          <w:b/>
          <w:szCs w:val="21"/>
        </w:rPr>
        <w:t>Health service site</w:t>
      </w:r>
      <w:r w:rsidRPr="002806B4">
        <w:rPr>
          <w:rFonts w:eastAsia="Times" w:cs="Arial"/>
          <w:b/>
          <w:color w:val="FF0000"/>
          <w:szCs w:val="21"/>
        </w:rPr>
        <w:t xml:space="preserve"> </w:t>
      </w:r>
      <w:r w:rsidRPr="002806B4">
        <w:rPr>
          <w:rFonts w:eastAsia="Times" w:cs="Arial"/>
          <w:b/>
          <w:szCs w:val="21"/>
        </w:rPr>
        <w:t xml:space="preserve">- </w:t>
      </w:r>
      <w:r w:rsidRPr="002806B4">
        <w:rPr>
          <w:rFonts w:eastAsia="Times" w:cs="Arial"/>
          <w:szCs w:val="21"/>
        </w:rPr>
        <w:t>a</w:t>
      </w:r>
      <w:r w:rsidRPr="002806B4">
        <w:rPr>
          <w:rFonts w:eastAsia="Times" w:cs="Arial"/>
          <w:color w:val="000000" w:themeColor="text1"/>
          <w:szCs w:val="21"/>
        </w:rPr>
        <w:t xml:space="preserve"> Victorian public health service site that provides admitted care and is a registered </w:t>
      </w:r>
      <w:r w:rsidRPr="002806B4">
        <w:rPr>
          <w:rFonts w:eastAsia="Times" w:cs="Arial"/>
          <w:szCs w:val="21"/>
        </w:rPr>
        <w:t>funded agency where healthcare services are delivered. This includes health service sites, health centres, community clinics, and smaller rural facilities. The terms “campus”, “service” or “hospital” may be used in other Department documents to describe similar concepts.</w:t>
      </w:r>
    </w:p>
    <w:p w14:paraId="1968334D" w14:textId="77777777" w:rsidR="00332150" w:rsidRPr="002806B4" w:rsidRDefault="00332150" w:rsidP="00332150">
      <w:pPr>
        <w:spacing w:line="270" w:lineRule="atLeast"/>
        <w:rPr>
          <w:rFonts w:eastAsia="Times" w:cs="Arial"/>
          <w:szCs w:val="21"/>
        </w:rPr>
      </w:pPr>
      <w:r w:rsidRPr="002806B4">
        <w:rPr>
          <w:rFonts w:eastAsia="Times" w:cs="Arial"/>
          <w:b/>
          <w:bCs/>
          <w:szCs w:val="21"/>
        </w:rPr>
        <w:t>Local Health Service Network</w:t>
      </w:r>
      <w:r w:rsidRPr="002806B4">
        <w:rPr>
          <w:rFonts w:eastAsia="Times" w:cs="Arial"/>
          <w:szCs w:val="21"/>
        </w:rPr>
        <w:t xml:space="preserve"> - a collaborative grouping of public health services designed to enhance the delivery of healthcare by fostering coordinated care within defined geographic regions and collective accountability for patient experience and outcomes. </w:t>
      </w:r>
    </w:p>
    <w:p w14:paraId="4D84C4E6" w14:textId="77777777" w:rsidR="00332150" w:rsidRPr="002806B4" w:rsidRDefault="00332150" w:rsidP="00332150">
      <w:pPr>
        <w:spacing w:line="270" w:lineRule="atLeast"/>
        <w:rPr>
          <w:rFonts w:eastAsia="Times" w:cs="Arial"/>
          <w:szCs w:val="21"/>
        </w:rPr>
      </w:pPr>
      <w:r w:rsidRPr="002806B4">
        <w:rPr>
          <w:rFonts w:eastAsia="Times" w:cs="Arial"/>
          <w:b/>
          <w:szCs w:val="21"/>
        </w:rPr>
        <w:t>Role delineation</w:t>
      </w:r>
      <w:r w:rsidRPr="002806B4">
        <w:rPr>
          <w:rFonts w:eastAsia="Times" w:cs="Arial"/>
          <w:szCs w:val="21"/>
        </w:rPr>
        <w:t xml:space="preserve">- defines a common language for the roles and responsibilities of public </w:t>
      </w:r>
      <w:r w:rsidRPr="002806B4">
        <w:rPr>
          <w:rFonts w:eastAsia="VIC" w:cs="Arial"/>
          <w:szCs w:val="21"/>
        </w:rPr>
        <w:t xml:space="preserve">health service sites within Networks and </w:t>
      </w:r>
      <w:r w:rsidRPr="002806B4">
        <w:rPr>
          <w:rFonts w:eastAsia="Times" w:cs="Arial"/>
          <w:szCs w:val="21"/>
        </w:rPr>
        <w:t>across the health system more broadly.  It supports the planning and delivery of services that are efficient, safe, and equitable across different levels of care. In Victoria, role delineation is described and specified by the service profile and peer and clinical capability characteristics of each health service site.</w:t>
      </w:r>
    </w:p>
    <w:p w14:paraId="40B19517" w14:textId="77777777" w:rsidR="00454A7D" w:rsidRPr="008E7073" w:rsidRDefault="00454A7D">
      <w:pPr>
        <w:spacing w:after="0" w:line="240" w:lineRule="auto"/>
        <w:rPr>
          <w:rFonts w:eastAsia="MS Gothic" w:cs="Arial"/>
          <w:bCs/>
          <w:color w:val="53565A"/>
          <w:kern w:val="32"/>
          <w:sz w:val="44"/>
          <w:szCs w:val="44"/>
        </w:rPr>
      </w:pPr>
      <w:r w:rsidRPr="008E7073">
        <w:rPr>
          <w:rFonts w:cs="Arial"/>
        </w:rPr>
        <w:br w:type="page"/>
      </w:r>
    </w:p>
    <w:p w14:paraId="3DAC4E33" w14:textId="77777777" w:rsidR="00332150" w:rsidRPr="008E7073" w:rsidRDefault="00332150" w:rsidP="00332150">
      <w:pPr>
        <w:pStyle w:val="Heading1"/>
        <w:rPr>
          <w:color w:val="53565A"/>
        </w:rPr>
      </w:pPr>
      <w:bookmarkStart w:id="4" w:name="_Toc197692443"/>
      <w:bookmarkStart w:id="5" w:name="_Toc204251870"/>
      <w:bookmarkStart w:id="6" w:name="_Toc66711981"/>
      <w:bookmarkStart w:id="7" w:name="_Hlk66712316"/>
      <w:bookmarkEnd w:id="3"/>
      <w:r w:rsidRPr="008E7073">
        <w:lastRenderedPageBreak/>
        <w:t>Introduction</w:t>
      </w:r>
      <w:bookmarkEnd w:id="4"/>
      <w:bookmarkEnd w:id="5"/>
    </w:p>
    <w:p w14:paraId="1640CDC7" w14:textId="77777777" w:rsidR="00332150" w:rsidRPr="002806B4" w:rsidRDefault="00332150" w:rsidP="00332150">
      <w:pPr>
        <w:pStyle w:val="Body"/>
        <w:rPr>
          <w:rFonts w:cs="Arial"/>
          <w:szCs w:val="21"/>
        </w:rPr>
      </w:pPr>
      <w:r w:rsidRPr="002806B4">
        <w:rPr>
          <w:rFonts w:cs="Arial"/>
          <w:szCs w:val="21"/>
        </w:rPr>
        <w:t>Victoria is committed to continuously improving its health care system to ensure all Victorians receive the right care, at the right time, in the right place.</w:t>
      </w:r>
    </w:p>
    <w:p w14:paraId="4F22F733" w14:textId="77777777" w:rsidR="00332150" w:rsidRPr="002806B4" w:rsidRDefault="00332150" w:rsidP="00332150">
      <w:pPr>
        <w:pStyle w:val="Body"/>
        <w:rPr>
          <w:rFonts w:cs="Arial"/>
          <w:szCs w:val="21"/>
        </w:rPr>
      </w:pPr>
      <w:r w:rsidRPr="002806B4">
        <w:rPr>
          <w:rFonts w:cs="Arial"/>
          <w:szCs w:val="21"/>
        </w:rPr>
        <w:t xml:space="preserve">To achieve a more collaborative, integrated and safe health care system in Victoria, the Victorian Government accepted the recommendation made in the </w:t>
      </w:r>
      <w:r w:rsidRPr="002806B4">
        <w:rPr>
          <w:rFonts w:cs="Arial"/>
          <w:i/>
          <w:szCs w:val="21"/>
        </w:rPr>
        <w:t>Health Services Plan</w:t>
      </w:r>
      <w:r w:rsidRPr="002806B4">
        <w:rPr>
          <w:rStyle w:val="FootnoteReference"/>
          <w:rFonts w:cs="Arial"/>
          <w:szCs w:val="21"/>
        </w:rPr>
        <w:footnoteReference w:id="1"/>
      </w:r>
      <w:r w:rsidRPr="002806B4">
        <w:rPr>
          <w:rFonts w:cs="Arial"/>
          <w:i/>
          <w:szCs w:val="21"/>
        </w:rPr>
        <w:t xml:space="preserve"> </w:t>
      </w:r>
      <w:r w:rsidRPr="002806B4">
        <w:rPr>
          <w:rFonts w:cs="Arial"/>
          <w:szCs w:val="21"/>
        </w:rPr>
        <w:t xml:space="preserve">to develop a Victorian Role Delineation Framework (the Framework) that outlines clear roles and responsibilities of all health service sites. </w:t>
      </w:r>
    </w:p>
    <w:p w14:paraId="0B724A4E" w14:textId="77777777" w:rsidR="00332150" w:rsidRPr="002806B4" w:rsidRDefault="00332150" w:rsidP="00332150">
      <w:pPr>
        <w:pStyle w:val="Body"/>
        <w:rPr>
          <w:rFonts w:cs="Arial"/>
          <w:szCs w:val="21"/>
        </w:rPr>
      </w:pPr>
      <w:r w:rsidRPr="002806B4">
        <w:rPr>
          <w:rFonts w:cs="Arial"/>
          <w:szCs w:val="21"/>
        </w:rPr>
        <w:t>The Framework will describe the different types of health service sites within the Victorian health system, outlining their roles and responsibilities within the health system and network. This will help inform communities of what services they can reasonably expect from their local health service site.</w:t>
      </w:r>
    </w:p>
    <w:p w14:paraId="3A993F98" w14:textId="77777777" w:rsidR="00332150" w:rsidRPr="002806B4" w:rsidRDefault="00332150" w:rsidP="00332150">
      <w:pPr>
        <w:pStyle w:val="Body"/>
        <w:rPr>
          <w:rFonts w:cs="Arial"/>
          <w:szCs w:val="21"/>
        </w:rPr>
      </w:pPr>
      <w:r w:rsidRPr="002806B4">
        <w:rPr>
          <w:rFonts w:cs="Arial"/>
          <w:szCs w:val="21"/>
        </w:rPr>
        <w:t>Role delineation supports individual health service sites as integral parts of a networked system. It recognises that each site contributes significantly to a patient’s journey and their care. Each health service site delivers a defined level of service to their local population while sharing responsibility for the overall patient experience.</w:t>
      </w:r>
    </w:p>
    <w:p w14:paraId="242978F8" w14:textId="77777777" w:rsidR="00332150" w:rsidRPr="002806B4" w:rsidRDefault="00332150" w:rsidP="00332150">
      <w:pPr>
        <w:pStyle w:val="Body"/>
        <w:rPr>
          <w:rFonts w:cs="Arial"/>
          <w:szCs w:val="21"/>
        </w:rPr>
      </w:pPr>
      <w:r w:rsidRPr="002806B4">
        <w:rPr>
          <w:rFonts w:cs="Arial"/>
          <w:szCs w:val="21"/>
        </w:rPr>
        <w:t xml:space="preserve">The Framework aims to support seamless and consistent patient experience across the health system, ensuring that Victorians receive the best care at the most appropriate location in a timely manner. This approach encourages health service sites to collaborate effectively, providing acute and complex care at higher capability sites and lower complexity care at sites closer to home, with each site being clear on its role and responsibility in contributing to or managing each patient’s journey. </w:t>
      </w:r>
    </w:p>
    <w:p w14:paraId="66129842" w14:textId="77777777" w:rsidR="00332150" w:rsidRPr="002806B4" w:rsidRDefault="00332150" w:rsidP="00332150">
      <w:pPr>
        <w:pStyle w:val="Body"/>
        <w:rPr>
          <w:rFonts w:cs="Arial"/>
          <w:szCs w:val="21"/>
        </w:rPr>
      </w:pPr>
      <w:r w:rsidRPr="002806B4">
        <w:rPr>
          <w:rFonts w:cs="Arial"/>
          <w:szCs w:val="21"/>
        </w:rPr>
        <w:t>Every health service site plays a crucial role in supporting their local community, while being an integral part of the broader Victorian public healthcare system.</w:t>
      </w:r>
    </w:p>
    <w:p w14:paraId="591B85A0" w14:textId="77777777" w:rsidR="00332150" w:rsidRPr="008E7073" w:rsidRDefault="00332150" w:rsidP="00B94C5E">
      <w:pPr>
        <w:pStyle w:val="Heading1"/>
      </w:pPr>
    </w:p>
    <w:p w14:paraId="02555EA9" w14:textId="77777777" w:rsidR="00332150" w:rsidRPr="008E7073" w:rsidRDefault="00332150" w:rsidP="00B94C5E">
      <w:pPr>
        <w:pStyle w:val="Heading1"/>
      </w:pPr>
    </w:p>
    <w:p w14:paraId="182471A6" w14:textId="77777777" w:rsidR="00332150" w:rsidRDefault="00332150" w:rsidP="00332150">
      <w:pPr>
        <w:pStyle w:val="Body"/>
        <w:rPr>
          <w:rFonts w:cs="Arial"/>
        </w:rPr>
      </w:pPr>
    </w:p>
    <w:p w14:paraId="4015FC3B" w14:textId="77777777" w:rsidR="004919E8" w:rsidRDefault="004919E8" w:rsidP="00332150">
      <w:pPr>
        <w:pStyle w:val="Body"/>
        <w:rPr>
          <w:rFonts w:cs="Arial"/>
        </w:rPr>
      </w:pPr>
    </w:p>
    <w:p w14:paraId="06AB8C87" w14:textId="77777777" w:rsidR="004919E8" w:rsidRDefault="004919E8" w:rsidP="00332150">
      <w:pPr>
        <w:pStyle w:val="Body"/>
        <w:rPr>
          <w:rFonts w:cs="Arial"/>
        </w:rPr>
      </w:pPr>
    </w:p>
    <w:p w14:paraId="48E37DAF" w14:textId="77777777" w:rsidR="004919E8" w:rsidRPr="008E7073" w:rsidRDefault="004919E8" w:rsidP="00332150">
      <w:pPr>
        <w:pStyle w:val="Body"/>
        <w:rPr>
          <w:rFonts w:cs="Arial"/>
        </w:rPr>
      </w:pPr>
    </w:p>
    <w:p w14:paraId="677352EC" w14:textId="31A788DE" w:rsidR="00ED7762" w:rsidRPr="008E7073" w:rsidRDefault="0027176D" w:rsidP="00B94C5E">
      <w:pPr>
        <w:pStyle w:val="Heading1"/>
      </w:pPr>
      <w:bookmarkStart w:id="8" w:name="_Toc204251871"/>
      <w:bookmarkStart w:id="9" w:name="_Hlk63948051"/>
      <w:bookmarkEnd w:id="6"/>
      <w:r w:rsidRPr="008E7073">
        <w:lastRenderedPageBreak/>
        <w:t>Victorian Role Delineation Framework</w:t>
      </w:r>
      <w:bookmarkEnd w:id="8"/>
    </w:p>
    <w:p w14:paraId="018B78DC" w14:textId="77777777" w:rsidR="0027176D" w:rsidRPr="002806B4" w:rsidRDefault="0027176D" w:rsidP="0027176D">
      <w:pPr>
        <w:pStyle w:val="Body"/>
        <w:rPr>
          <w:rFonts w:cs="Arial"/>
          <w:szCs w:val="21"/>
        </w:rPr>
      </w:pPr>
      <w:bookmarkStart w:id="10" w:name="_Toc66711982"/>
      <w:bookmarkEnd w:id="9"/>
      <w:r w:rsidRPr="002806B4">
        <w:rPr>
          <w:rFonts w:cs="Arial"/>
          <w:szCs w:val="21"/>
        </w:rPr>
        <w:t>The Victorian Role Delineation Framework is based on three core components that classify health service sites according to their service characteristics and the communities they serve. These three components are:</w:t>
      </w:r>
    </w:p>
    <w:p w14:paraId="5EA84AD0" w14:textId="77777777" w:rsidR="0027176D" w:rsidRPr="002806B4" w:rsidRDefault="0027176D" w:rsidP="003A2850">
      <w:pPr>
        <w:pStyle w:val="Body"/>
        <w:numPr>
          <w:ilvl w:val="0"/>
          <w:numId w:val="7"/>
        </w:numPr>
        <w:contextualSpacing/>
        <w:rPr>
          <w:rFonts w:cs="Arial"/>
          <w:szCs w:val="21"/>
        </w:rPr>
      </w:pPr>
      <w:r w:rsidRPr="002806B4">
        <w:rPr>
          <w:rFonts w:cs="Arial"/>
          <w:szCs w:val="21"/>
        </w:rPr>
        <w:t xml:space="preserve">Peer characteristics </w:t>
      </w:r>
    </w:p>
    <w:p w14:paraId="794B04EC" w14:textId="77777777" w:rsidR="0027176D" w:rsidRPr="002806B4" w:rsidRDefault="0027176D" w:rsidP="003A2850">
      <w:pPr>
        <w:pStyle w:val="Body"/>
        <w:numPr>
          <w:ilvl w:val="0"/>
          <w:numId w:val="7"/>
        </w:numPr>
        <w:contextualSpacing/>
        <w:rPr>
          <w:rFonts w:cs="Arial"/>
          <w:szCs w:val="21"/>
        </w:rPr>
      </w:pPr>
      <w:r w:rsidRPr="002806B4">
        <w:rPr>
          <w:rFonts w:cs="Arial"/>
          <w:szCs w:val="21"/>
        </w:rPr>
        <w:t>Clinical capability</w:t>
      </w:r>
    </w:p>
    <w:p w14:paraId="4E08C499" w14:textId="77777777" w:rsidR="0027176D" w:rsidRPr="002806B4" w:rsidRDefault="0027176D" w:rsidP="003A2850">
      <w:pPr>
        <w:pStyle w:val="Body"/>
        <w:numPr>
          <w:ilvl w:val="0"/>
          <w:numId w:val="7"/>
        </w:numPr>
        <w:rPr>
          <w:rFonts w:cs="Arial"/>
          <w:szCs w:val="21"/>
        </w:rPr>
      </w:pPr>
      <w:r w:rsidRPr="002806B4">
        <w:rPr>
          <w:rFonts w:cs="Arial"/>
          <w:szCs w:val="21"/>
        </w:rPr>
        <w:t>The provision of statewide services and low volume, highly complex care</w:t>
      </w:r>
    </w:p>
    <w:p w14:paraId="416B0CF4" w14:textId="77777777" w:rsidR="0027176D" w:rsidRPr="002806B4" w:rsidRDefault="0027176D" w:rsidP="0027176D">
      <w:pPr>
        <w:pStyle w:val="Body"/>
        <w:rPr>
          <w:rFonts w:cs="Arial"/>
          <w:szCs w:val="21"/>
        </w:rPr>
      </w:pPr>
      <w:r w:rsidRPr="002806B4">
        <w:rPr>
          <w:rFonts w:cs="Arial"/>
          <w:szCs w:val="21"/>
        </w:rPr>
        <w:t>Collectively, these three components give rise to the different roles that health service sites play within the health system, and the responsibilities they have as an integral part of networked care delivery. Additionally, the delineation of system roles provides both consumers and clinicians with transparency of the types of services and levels of care complexity available at different sites, which in turn supports the development of formal referral pathways.</w:t>
      </w:r>
    </w:p>
    <w:p w14:paraId="42DCD1A5" w14:textId="77777777" w:rsidR="0027176D" w:rsidRPr="002806B4" w:rsidRDefault="0027176D" w:rsidP="0027176D">
      <w:pPr>
        <w:pStyle w:val="Body"/>
        <w:rPr>
          <w:rFonts w:cs="Arial"/>
          <w:szCs w:val="21"/>
        </w:rPr>
      </w:pPr>
      <w:r w:rsidRPr="002806B4">
        <w:rPr>
          <w:rFonts w:cs="Arial"/>
          <w:szCs w:val="21"/>
        </w:rPr>
        <w:t>Differentiating between the different roles that health service sites play in the system meets a number of objectives including:</w:t>
      </w:r>
    </w:p>
    <w:p w14:paraId="2C637B16" w14:textId="77777777" w:rsidR="0027176D" w:rsidRPr="002806B4" w:rsidRDefault="0027176D" w:rsidP="003A2850">
      <w:pPr>
        <w:pStyle w:val="Body"/>
        <w:numPr>
          <w:ilvl w:val="0"/>
          <w:numId w:val="8"/>
        </w:numPr>
        <w:rPr>
          <w:rFonts w:cs="Arial"/>
          <w:szCs w:val="21"/>
        </w:rPr>
      </w:pPr>
      <w:r w:rsidRPr="002806B4">
        <w:rPr>
          <w:rFonts w:cs="Arial"/>
          <w:szCs w:val="21"/>
        </w:rPr>
        <w:t>identifying the range and complexity of health care services associated with different system roles, which can then support the quality and sustainability of appropriate service delivery;</w:t>
      </w:r>
    </w:p>
    <w:p w14:paraId="7F75D427" w14:textId="77777777" w:rsidR="0027176D" w:rsidRPr="002806B4" w:rsidRDefault="0027176D" w:rsidP="003A2850">
      <w:pPr>
        <w:pStyle w:val="Body"/>
        <w:numPr>
          <w:ilvl w:val="0"/>
          <w:numId w:val="8"/>
        </w:numPr>
        <w:rPr>
          <w:rFonts w:cs="Arial"/>
          <w:szCs w:val="21"/>
        </w:rPr>
      </w:pPr>
      <w:r w:rsidRPr="002806B4">
        <w:rPr>
          <w:rFonts w:cs="Arial"/>
          <w:szCs w:val="21"/>
        </w:rPr>
        <w:t>assisting with strategic service planning for both a geographic area and individual health services; and,</w:t>
      </w:r>
    </w:p>
    <w:p w14:paraId="6658E236" w14:textId="77777777" w:rsidR="0027176D" w:rsidRPr="002806B4" w:rsidRDefault="0027176D" w:rsidP="003A2850">
      <w:pPr>
        <w:pStyle w:val="Body"/>
        <w:numPr>
          <w:ilvl w:val="0"/>
          <w:numId w:val="8"/>
        </w:numPr>
        <w:rPr>
          <w:rFonts w:cs="Arial"/>
          <w:szCs w:val="21"/>
        </w:rPr>
      </w:pPr>
      <w:r w:rsidRPr="002806B4">
        <w:rPr>
          <w:rFonts w:cs="Arial"/>
          <w:szCs w:val="21"/>
        </w:rPr>
        <w:t xml:space="preserve">providing a platform to inform service development. </w:t>
      </w:r>
    </w:p>
    <w:p w14:paraId="7AEB302B" w14:textId="77777777" w:rsidR="0027176D" w:rsidRPr="002806B4" w:rsidRDefault="0027176D" w:rsidP="0027176D">
      <w:pPr>
        <w:pStyle w:val="Body"/>
        <w:rPr>
          <w:rFonts w:cs="Arial"/>
          <w:szCs w:val="21"/>
        </w:rPr>
      </w:pPr>
      <w:r w:rsidRPr="002806B4">
        <w:rPr>
          <w:rFonts w:cs="Arial"/>
          <w:szCs w:val="21"/>
        </w:rPr>
        <w:t xml:space="preserve">This supports all Victorians to receive the right care, at the right time, in the right place to deliver quality outcomes as close to home as possible. </w:t>
      </w:r>
    </w:p>
    <w:p w14:paraId="3164595D" w14:textId="1B4F0A13" w:rsidR="00ED7762" w:rsidRPr="008E7073" w:rsidRDefault="0027176D" w:rsidP="00B94C5E">
      <w:pPr>
        <w:pStyle w:val="Heading2"/>
        <w:rPr>
          <w:rFonts w:cs="Arial"/>
        </w:rPr>
      </w:pPr>
      <w:bookmarkStart w:id="11" w:name="_Toc204251872"/>
      <w:bookmarkEnd w:id="10"/>
      <w:r w:rsidRPr="008E7073">
        <w:rPr>
          <w:rFonts w:cs="Arial"/>
        </w:rPr>
        <w:t>The Purpose of this Framework</w:t>
      </w:r>
      <w:bookmarkEnd w:id="11"/>
    </w:p>
    <w:p w14:paraId="3FA8242D" w14:textId="77777777" w:rsidR="00670BDD" w:rsidRDefault="0081424E" w:rsidP="0027176D">
      <w:pPr>
        <w:pStyle w:val="Body"/>
        <w:rPr>
          <w:rFonts w:cs="Arial"/>
          <w:szCs w:val="21"/>
        </w:rPr>
      </w:pPr>
      <w:bookmarkStart w:id="12" w:name="_Toc256778633"/>
      <w:r w:rsidRPr="0081424E">
        <w:rPr>
          <w:rFonts w:cs="Arial"/>
          <w:szCs w:val="21"/>
        </w:rPr>
        <w:t>The purpose of the Victorian Role Delineation Framework is to define the different roles of health service sites within the Victorian health system and to outline at a high level the responsibilities each role has in supporting networked care within our health services system. The Framework builds on the principles of the Australian Health and Welfare Australian Peer Groups, which were developed in 1999 and last updated in 2015, and customises the approach to the current Victorian health service system.</w:t>
      </w:r>
      <w:r>
        <w:rPr>
          <w:rFonts w:cs="Arial"/>
          <w:szCs w:val="21"/>
        </w:rPr>
        <w:t xml:space="preserve"> </w:t>
      </w:r>
    </w:p>
    <w:p w14:paraId="176B37B3" w14:textId="3CEF33EF" w:rsidR="0027176D" w:rsidRPr="00812F4C" w:rsidRDefault="0027176D" w:rsidP="0027176D">
      <w:pPr>
        <w:pStyle w:val="Body"/>
        <w:rPr>
          <w:rFonts w:cs="Arial"/>
          <w:szCs w:val="21"/>
        </w:rPr>
      </w:pPr>
      <w:r w:rsidRPr="00812F4C">
        <w:rPr>
          <w:rFonts w:cs="Arial"/>
          <w:szCs w:val="21"/>
        </w:rPr>
        <w:t>The development of this Framework responds to a key recommendation of the Health Services Plan. In turn, the Victorian Role Delineation Framework provides a foundation to support the implementation of other central recommendations of the Health Services Plan.</w:t>
      </w:r>
    </w:p>
    <w:p w14:paraId="0744828E" w14:textId="77777777" w:rsidR="0027176D" w:rsidRPr="00812F4C" w:rsidRDefault="0027176D" w:rsidP="0027176D">
      <w:pPr>
        <w:pStyle w:val="Body"/>
        <w:rPr>
          <w:rFonts w:cs="Arial"/>
          <w:szCs w:val="21"/>
        </w:rPr>
      </w:pPr>
      <w:r w:rsidRPr="00812F4C">
        <w:rPr>
          <w:rFonts w:cs="Arial"/>
          <w:szCs w:val="21"/>
        </w:rPr>
        <w:t>The Framework supports the Health Services Plan recommendation to formally organise Victoria’s health service sites into Local Health Service Networks. These Networks represent discrete geographies comprising a complement of health service sites, which through effective collaboration, ensure that the majority of health needs of local populations are met locally within each Network.</w:t>
      </w:r>
    </w:p>
    <w:p w14:paraId="6A5141B9" w14:textId="77777777" w:rsidR="0027176D" w:rsidRPr="00812F4C" w:rsidRDefault="0027176D" w:rsidP="0027176D">
      <w:pPr>
        <w:pStyle w:val="Body"/>
        <w:rPr>
          <w:rFonts w:cs="Arial"/>
          <w:szCs w:val="21"/>
        </w:rPr>
      </w:pPr>
      <w:r w:rsidRPr="00812F4C">
        <w:rPr>
          <w:rFonts w:cs="Arial"/>
          <w:szCs w:val="21"/>
        </w:rPr>
        <w:t>The Role Delineation Framework will support the establishment of Local Health Service Networks by defining at a high level the scope, scale and complexity of care that each health service site can deliver and the types and scale of communities that each health service site can serve. Additionally, the Framework articulates the responsibilities of each health service site for care delivery and collaboration within their Network.</w:t>
      </w:r>
    </w:p>
    <w:p w14:paraId="4A5342A1" w14:textId="77777777" w:rsidR="0027176D" w:rsidRPr="00812F4C" w:rsidRDefault="0027176D" w:rsidP="0027176D">
      <w:pPr>
        <w:pStyle w:val="Body"/>
        <w:rPr>
          <w:rFonts w:cs="Arial"/>
          <w:szCs w:val="21"/>
        </w:rPr>
      </w:pPr>
      <w:r w:rsidRPr="00812F4C">
        <w:rPr>
          <w:rFonts w:cs="Arial"/>
          <w:szCs w:val="21"/>
        </w:rPr>
        <w:lastRenderedPageBreak/>
        <w:t>The Framework also supports the recommendation to establish formal relationships between Networks and providers of high complexity tertiary care and specialist women’s and children’s care where it is not available locally. This recommendation recognises that highly specialised care is typically provided at a discrete number of sites with sufficient service volumes to ensure safe and sustainable care. By identifying the complexity of care available within each Network and by identifying those Victorian health service sites capable of delivering the most complex care the Framework will facilitate the establishment of these formalised relationships.</w:t>
      </w:r>
    </w:p>
    <w:p w14:paraId="3303A87D" w14:textId="61D7AD4F" w:rsidR="00152329" w:rsidRPr="008E7073" w:rsidRDefault="0027176D" w:rsidP="00B94C5E">
      <w:pPr>
        <w:pStyle w:val="Heading3"/>
        <w:rPr>
          <w:rFonts w:cs="Arial"/>
          <w:b/>
        </w:rPr>
      </w:pPr>
      <w:bookmarkStart w:id="13" w:name="_Toc204251873"/>
      <w:bookmarkEnd w:id="12"/>
      <w:r w:rsidRPr="008E7073">
        <w:rPr>
          <w:rFonts w:cs="Arial"/>
        </w:rPr>
        <w:t>Benefits of Role Delineation</w:t>
      </w:r>
      <w:bookmarkEnd w:id="13"/>
      <w:r w:rsidRPr="008E7073">
        <w:rPr>
          <w:rFonts w:cs="Arial"/>
        </w:rPr>
        <w:t xml:space="preserve"> </w:t>
      </w:r>
    </w:p>
    <w:p w14:paraId="3F688C5D" w14:textId="77777777" w:rsidR="0027176D" w:rsidRPr="00352533" w:rsidRDefault="0027176D" w:rsidP="0027176D">
      <w:pPr>
        <w:pStyle w:val="Body"/>
        <w:rPr>
          <w:rFonts w:cs="Arial"/>
          <w:szCs w:val="21"/>
        </w:rPr>
      </w:pPr>
      <w:r w:rsidRPr="00352533">
        <w:rPr>
          <w:rFonts w:cs="Arial"/>
          <w:szCs w:val="21"/>
        </w:rPr>
        <w:t xml:space="preserve">The Role Delineation Framework will provide benefits aligned to quality and safety, clinical service planning and in strengthening referral pathways within and between Networks. </w:t>
      </w:r>
    </w:p>
    <w:p w14:paraId="3A502311" w14:textId="4A312CC7" w:rsidR="00152329" w:rsidRPr="008E7073" w:rsidRDefault="0027176D" w:rsidP="00B94C5E">
      <w:pPr>
        <w:pStyle w:val="Heading4"/>
        <w:rPr>
          <w:rFonts w:cs="Arial"/>
        </w:rPr>
      </w:pPr>
      <w:r w:rsidRPr="008E7073">
        <w:rPr>
          <w:rFonts w:cs="Arial"/>
        </w:rPr>
        <w:t xml:space="preserve">Supports </w:t>
      </w:r>
      <w:r w:rsidR="00E07A5A">
        <w:rPr>
          <w:rFonts w:cs="Arial"/>
        </w:rPr>
        <w:t>Q</w:t>
      </w:r>
      <w:r w:rsidRPr="008E7073">
        <w:rPr>
          <w:rFonts w:cs="Arial"/>
        </w:rPr>
        <w:t>uality and safety</w:t>
      </w:r>
    </w:p>
    <w:p w14:paraId="7BEA5907" w14:textId="77777777" w:rsidR="0027176D" w:rsidRPr="00352533" w:rsidRDefault="0027176D" w:rsidP="0027176D">
      <w:pPr>
        <w:pStyle w:val="Body"/>
        <w:rPr>
          <w:rFonts w:cs="Arial"/>
          <w:szCs w:val="21"/>
        </w:rPr>
      </w:pPr>
      <w:r w:rsidRPr="00352533">
        <w:rPr>
          <w:rFonts w:cs="Arial"/>
          <w:szCs w:val="21"/>
        </w:rPr>
        <w:t xml:space="preserve">Role delineation supports the provision of high quality and safe care as it stratifies health service sites by the breadth and complexity of health care that can be safely and sustainably delivered in alignment with role. </w:t>
      </w:r>
    </w:p>
    <w:p w14:paraId="08CC41C3" w14:textId="4B878858" w:rsidR="0027176D" w:rsidRPr="008E7073" w:rsidRDefault="0027176D" w:rsidP="0027176D">
      <w:pPr>
        <w:pStyle w:val="Heading4"/>
        <w:rPr>
          <w:rFonts w:cs="Arial"/>
        </w:rPr>
      </w:pPr>
      <w:r w:rsidRPr="008E7073">
        <w:rPr>
          <w:rFonts w:cs="Arial"/>
        </w:rPr>
        <w:t>Assists in Planning and Support Strengthened Referral Pathways</w:t>
      </w:r>
    </w:p>
    <w:p w14:paraId="35E74F60" w14:textId="77777777" w:rsidR="00535DB6" w:rsidRPr="00352533" w:rsidRDefault="00535DB6" w:rsidP="00535DB6">
      <w:pPr>
        <w:pStyle w:val="Body"/>
        <w:rPr>
          <w:rFonts w:cs="Arial"/>
          <w:szCs w:val="21"/>
        </w:rPr>
      </w:pPr>
      <w:r w:rsidRPr="00352533">
        <w:rPr>
          <w:rFonts w:cs="Arial"/>
          <w:szCs w:val="21"/>
        </w:rPr>
        <w:t>The ability to compare a health service site’s activity and clinical capability against its peers supports clinical service planning. Role delineation assists health service sites to define their scope of clinical care now and into the future based on changes in population, clinical practice, workforce, emerging technology and changes in best practice. This supports system-wide, network, site and clinical program planning and supports the equitable and sustainable distribution of public health services.</w:t>
      </w:r>
    </w:p>
    <w:p w14:paraId="05DCE7B3" w14:textId="77777777" w:rsidR="00535DB6" w:rsidRPr="00352533" w:rsidRDefault="00535DB6" w:rsidP="00535DB6">
      <w:pPr>
        <w:pStyle w:val="Body"/>
        <w:rPr>
          <w:rFonts w:cs="Arial"/>
          <w:szCs w:val="21"/>
        </w:rPr>
      </w:pPr>
      <w:r w:rsidRPr="00352533">
        <w:rPr>
          <w:rFonts w:cs="Arial"/>
          <w:szCs w:val="21"/>
        </w:rPr>
        <w:t>Network-wide service planning will result in agreed regional referral pathways to strengthen access to clinical resources, skills and capacity within a connected system by considering the mix of services available, the capability of different health service sites and the most efficient and effective use of workforce and technology. Health service sites will collaborate within networks to ensure local populations have access to the appropriate care as close to home as possible, considering the patients’ complexity and requirements for specialised clinical management.</w:t>
      </w:r>
    </w:p>
    <w:p w14:paraId="06B17EFE" w14:textId="77777777" w:rsidR="00535DB6" w:rsidRPr="00352533" w:rsidRDefault="00535DB6" w:rsidP="00535DB6">
      <w:pPr>
        <w:pStyle w:val="Body"/>
        <w:rPr>
          <w:rFonts w:cs="Arial"/>
          <w:szCs w:val="21"/>
        </w:rPr>
      </w:pPr>
      <w:r w:rsidRPr="00352533">
        <w:rPr>
          <w:rFonts w:cs="Arial"/>
          <w:szCs w:val="21"/>
        </w:rPr>
        <w:t xml:space="preserve">In some cases, where care needs are beyond what is available locally, formal relationships between local and higher acuity health service sites will define referral pathways including mutual obligations for patient transfers both to sites of higher acuity, and back to local health service sites. This will provide clarity for patients and service providers regarding when and where transfer to higher levels of care is required, and conversely how soon a patient can return closer to home to continue their care. </w:t>
      </w:r>
    </w:p>
    <w:p w14:paraId="62619C41" w14:textId="77777777" w:rsidR="00535DB6" w:rsidRPr="00352533" w:rsidRDefault="00535DB6" w:rsidP="00535DB6">
      <w:pPr>
        <w:pStyle w:val="Body"/>
        <w:rPr>
          <w:rFonts w:cs="Arial"/>
          <w:szCs w:val="21"/>
        </w:rPr>
      </w:pPr>
      <w:r w:rsidRPr="00352533">
        <w:rPr>
          <w:rFonts w:cs="Arial"/>
          <w:szCs w:val="21"/>
        </w:rPr>
        <w:t xml:space="preserve">Formalising these pathways and defining site capabilities ensures consistency of relationships for patients and clinicians and enables optimal, equitable and timely care to be delivered across the system. It will support health services to connect and take responsibility for a patient’s journey wherever care is delivered. </w:t>
      </w:r>
    </w:p>
    <w:p w14:paraId="202B6BDE" w14:textId="73C27D22" w:rsidR="00535DB6" w:rsidRPr="008E7073" w:rsidRDefault="00535DB6" w:rsidP="00535DB6">
      <w:pPr>
        <w:pStyle w:val="Heading3"/>
        <w:rPr>
          <w:rFonts w:cs="Arial"/>
          <w:b/>
        </w:rPr>
      </w:pPr>
      <w:bookmarkStart w:id="14" w:name="_Toc204251874"/>
      <w:r w:rsidRPr="008E7073">
        <w:rPr>
          <w:rFonts w:cs="Arial"/>
        </w:rPr>
        <w:t>Aims</w:t>
      </w:r>
      <w:bookmarkEnd w:id="14"/>
    </w:p>
    <w:p w14:paraId="090DEB1D" w14:textId="77777777" w:rsidR="00535DB6" w:rsidRPr="00352533" w:rsidRDefault="00535DB6" w:rsidP="00535DB6">
      <w:pPr>
        <w:pStyle w:val="Body"/>
        <w:rPr>
          <w:rFonts w:cs="Arial"/>
          <w:szCs w:val="21"/>
        </w:rPr>
      </w:pPr>
      <w:r w:rsidRPr="00352533">
        <w:rPr>
          <w:rFonts w:cs="Arial"/>
          <w:szCs w:val="21"/>
        </w:rPr>
        <w:t>The Framework aims to:</w:t>
      </w:r>
    </w:p>
    <w:p w14:paraId="7601714D" w14:textId="77777777" w:rsidR="00535DB6" w:rsidRPr="00352533" w:rsidRDefault="00535DB6" w:rsidP="003A2850">
      <w:pPr>
        <w:pStyle w:val="Body"/>
        <w:numPr>
          <w:ilvl w:val="0"/>
          <w:numId w:val="9"/>
        </w:numPr>
        <w:rPr>
          <w:rFonts w:cs="Arial"/>
          <w:szCs w:val="21"/>
        </w:rPr>
      </w:pPr>
      <w:r w:rsidRPr="00352533">
        <w:rPr>
          <w:rFonts w:cs="Arial"/>
          <w:szCs w:val="21"/>
        </w:rPr>
        <w:t>enable safe, high-quality care for patients by supporting the provision of public health services at the right time, in the right place;</w:t>
      </w:r>
    </w:p>
    <w:p w14:paraId="306498E6" w14:textId="77777777" w:rsidR="00535DB6" w:rsidRPr="00352533" w:rsidRDefault="00535DB6" w:rsidP="003A2850">
      <w:pPr>
        <w:pStyle w:val="Body"/>
        <w:numPr>
          <w:ilvl w:val="0"/>
          <w:numId w:val="9"/>
        </w:numPr>
        <w:rPr>
          <w:rFonts w:cs="Arial"/>
          <w:szCs w:val="21"/>
        </w:rPr>
      </w:pPr>
      <w:r w:rsidRPr="00352533">
        <w:rPr>
          <w:rFonts w:cs="Arial"/>
          <w:szCs w:val="21"/>
        </w:rPr>
        <w:lastRenderedPageBreak/>
        <w:t>support clinicians to partner across the care continuum and with patients, families and carers, to plan for a patient’s health care journey; and,</w:t>
      </w:r>
    </w:p>
    <w:p w14:paraId="1E4A8832" w14:textId="77777777" w:rsidR="00535DB6" w:rsidRPr="00352533" w:rsidRDefault="00535DB6" w:rsidP="003A2850">
      <w:pPr>
        <w:pStyle w:val="Body"/>
        <w:numPr>
          <w:ilvl w:val="0"/>
          <w:numId w:val="9"/>
        </w:numPr>
        <w:rPr>
          <w:rFonts w:cs="Arial"/>
          <w:szCs w:val="21"/>
        </w:rPr>
      </w:pPr>
      <w:r w:rsidRPr="00352533">
        <w:rPr>
          <w:rFonts w:cs="Arial"/>
          <w:szCs w:val="21"/>
        </w:rPr>
        <w:t>support planning and service provision locally, regionally and state-wide, considering community need, capacity and capability together.</w:t>
      </w:r>
    </w:p>
    <w:p w14:paraId="61DA102D" w14:textId="6F5A8D26" w:rsidR="00535DB6" w:rsidRPr="008E7073" w:rsidRDefault="00535DB6" w:rsidP="00535DB6">
      <w:pPr>
        <w:pStyle w:val="Heading3"/>
        <w:rPr>
          <w:rFonts w:cs="Arial"/>
          <w:b/>
        </w:rPr>
      </w:pPr>
      <w:bookmarkStart w:id="15" w:name="_Toc204251875"/>
      <w:r w:rsidRPr="008E7073">
        <w:rPr>
          <w:rFonts w:cs="Arial"/>
        </w:rPr>
        <w:t>Guiding principles</w:t>
      </w:r>
      <w:bookmarkEnd w:id="15"/>
    </w:p>
    <w:p w14:paraId="7F67F526" w14:textId="77777777" w:rsidR="00535DB6" w:rsidRPr="00352533" w:rsidRDefault="00535DB6" w:rsidP="00535DB6">
      <w:pPr>
        <w:pStyle w:val="Bullet1"/>
        <w:numPr>
          <w:ilvl w:val="0"/>
          <w:numId w:val="0"/>
        </w:numPr>
        <w:rPr>
          <w:rFonts w:cs="Arial"/>
          <w:szCs w:val="21"/>
        </w:rPr>
      </w:pPr>
      <w:r w:rsidRPr="00352533">
        <w:rPr>
          <w:rFonts w:cs="Arial"/>
          <w:szCs w:val="21"/>
        </w:rPr>
        <w:t>The development of the Framework has been guided by the following principles:</w:t>
      </w:r>
    </w:p>
    <w:p w14:paraId="5234BBC6" w14:textId="77777777" w:rsidR="00535DB6" w:rsidRPr="00352533" w:rsidRDefault="00535DB6" w:rsidP="003A2850">
      <w:pPr>
        <w:pStyle w:val="Body"/>
        <w:numPr>
          <w:ilvl w:val="0"/>
          <w:numId w:val="9"/>
        </w:numPr>
        <w:rPr>
          <w:rFonts w:cs="Arial"/>
          <w:szCs w:val="21"/>
        </w:rPr>
      </w:pPr>
      <w:r w:rsidRPr="00352533">
        <w:rPr>
          <w:rFonts w:cs="Arial"/>
          <w:szCs w:val="21"/>
        </w:rPr>
        <w:t>Patients will receive health care as close to home as is safe and appropriate.</w:t>
      </w:r>
    </w:p>
    <w:p w14:paraId="4C147644" w14:textId="77777777" w:rsidR="00535DB6" w:rsidRPr="00352533" w:rsidRDefault="00535DB6" w:rsidP="003A2850">
      <w:pPr>
        <w:pStyle w:val="Body"/>
        <w:numPr>
          <w:ilvl w:val="0"/>
          <w:numId w:val="9"/>
        </w:numPr>
        <w:rPr>
          <w:rFonts w:cs="Arial"/>
          <w:szCs w:val="21"/>
        </w:rPr>
      </w:pPr>
      <w:r w:rsidRPr="00352533">
        <w:rPr>
          <w:rFonts w:cs="Arial"/>
          <w:szCs w:val="21"/>
        </w:rPr>
        <w:t xml:space="preserve">Public health service planning, design and delivery considers the continuum of care and the specific roles of sites. </w:t>
      </w:r>
    </w:p>
    <w:p w14:paraId="4809F8A7" w14:textId="77777777" w:rsidR="00535DB6" w:rsidRPr="00352533" w:rsidRDefault="00535DB6" w:rsidP="003A2850">
      <w:pPr>
        <w:pStyle w:val="Body"/>
        <w:numPr>
          <w:ilvl w:val="0"/>
          <w:numId w:val="9"/>
        </w:numPr>
        <w:rPr>
          <w:rFonts w:cs="Arial"/>
          <w:szCs w:val="21"/>
        </w:rPr>
      </w:pPr>
      <w:r w:rsidRPr="00352533">
        <w:rPr>
          <w:rFonts w:cs="Arial"/>
          <w:szCs w:val="21"/>
        </w:rPr>
        <w:t>Clinical capability for clinical streams at each health service site is clearly identified.</w:t>
      </w:r>
    </w:p>
    <w:p w14:paraId="4194F25D" w14:textId="77777777" w:rsidR="00535DB6" w:rsidRPr="00352533" w:rsidRDefault="00535DB6" w:rsidP="003A2850">
      <w:pPr>
        <w:pStyle w:val="Body"/>
        <w:numPr>
          <w:ilvl w:val="0"/>
          <w:numId w:val="9"/>
        </w:numPr>
        <w:rPr>
          <w:rFonts w:cs="Arial"/>
          <w:szCs w:val="21"/>
        </w:rPr>
      </w:pPr>
      <w:r w:rsidRPr="00352533">
        <w:rPr>
          <w:rFonts w:cs="Arial"/>
          <w:szCs w:val="21"/>
        </w:rPr>
        <w:t xml:space="preserve">Clinical pathways are developed, agreed, and clearly communicated to the community who uses that service. </w:t>
      </w:r>
    </w:p>
    <w:p w14:paraId="0A22AF82" w14:textId="77777777" w:rsidR="00535DB6" w:rsidRPr="00352533" w:rsidRDefault="00535DB6" w:rsidP="003A2850">
      <w:pPr>
        <w:pStyle w:val="Body"/>
        <w:numPr>
          <w:ilvl w:val="0"/>
          <w:numId w:val="9"/>
        </w:numPr>
        <w:rPr>
          <w:rFonts w:cs="Arial"/>
          <w:szCs w:val="21"/>
        </w:rPr>
      </w:pPr>
      <w:r w:rsidRPr="00352533">
        <w:rPr>
          <w:rFonts w:cs="Arial"/>
          <w:szCs w:val="21"/>
        </w:rPr>
        <w:t xml:space="preserve">Health service sites will work together to support patients and local communities. </w:t>
      </w:r>
    </w:p>
    <w:p w14:paraId="3EC0A1AB" w14:textId="2C5EE35B" w:rsidR="00535DB6" w:rsidRPr="008E7073" w:rsidRDefault="00535DB6" w:rsidP="00535DB6">
      <w:pPr>
        <w:pStyle w:val="Heading3"/>
        <w:rPr>
          <w:rFonts w:cs="Arial"/>
          <w:b/>
        </w:rPr>
      </w:pPr>
      <w:bookmarkStart w:id="16" w:name="_Toc204251876"/>
      <w:r w:rsidRPr="008E7073">
        <w:rPr>
          <w:rFonts w:cs="Arial"/>
        </w:rPr>
        <w:t>The Scope of th</w:t>
      </w:r>
      <w:r w:rsidR="009F505B">
        <w:rPr>
          <w:rFonts w:cs="Arial"/>
        </w:rPr>
        <w:t>is</w:t>
      </w:r>
      <w:r w:rsidRPr="008E7073">
        <w:rPr>
          <w:rFonts w:cs="Arial"/>
        </w:rPr>
        <w:t xml:space="preserve"> Framework</w:t>
      </w:r>
      <w:bookmarkEnd w:id="16"/>
    </w:p>
    <w:p w14:paraId="07A685D9" w14:textId="77777777" w:rsidR="00535DB6" w:rsidRPr="00352533" w:rsidRDefault="00535DB6" w:rsidP="00535DB6">
      <w:pPr>
        <w:pStyle w:val="Body"/>
        <w:rPr>
          <w:rFonts w:cs="Arial"/>
          <w:szCs w:val="21"/>
        </w:rPr>
      </w:pPr>
      <w:r w:rsidRPr="00352533">
        <w:rPr>
          <w:rFonts w:cs="Arial"/>
          <w:szCs w:val="21"/>
        </w:rPr>
        <w:t xml:space="preserve">The Victorian Role Delineation Framework is applied to Victorian public health service sites. </w:t>
      </w:r>
    </w:p>
    <w:p w14:paraId="1A699BE5" w14:textId="77777777" w:rsidR="00535DB6" w:rsidRPr="00352533" w:rsidRDefault="00535DB6" w:rsidP="00535DB6">
      <w:pPr>
        <w:pStyle w:val="Body"/>
        <w:rPr>
          <w:rFonts w:cs="Arial"/>
          <w:szCs w:val="21"/>
        </w:rPr>
      </w:pPr>
      <w:r w:rsidRPr="00352533">
        <w:rPr>
          <w:rFonts w:cs="Arial"/>
          <w:szCs w:val="21"/>
        </w:rPr>
        <w:t>Whilst some health services have clinical interdependencies between their sites, the aim of the framework is to support care in the right place. This requires that the Framework is applied to each health service site individually, rather than holistically to those organisations that encompass multiple sites. It recognises that these organisations will triage care to the most appropriate location based on its service profile and clinical capability and to best support patient access. While the Framework recognises that multisite organisations may have access to higher clinical capability across their network, it supports the delivery of the right care in the right place to minimise the need for patient transfer and to minimise the complexity of the patient journey.</w:t>
      </w:r>
    </w:p>
    <w:p w14:paraId="608E4D4C" w14:textId="77777777" w:rsidR="00535DB6" w:rsidRDefault="00535DB6" w:rsidP="00535DB6">
      <w:pPr>
        <w:pStyle w:val="Body"/>
        <w:rPr>
          <w:rFonts w:cs="Arial"/>
          <w:szCs w:val="21"/>
        </w:rPr>
      </w:pPr>
      <w:r w:rsidRPr="00352533">
        <w:rPr>
          <w:rFonts w:cs="Arial"/>
          <w:szCs w:val="21"/>
        </w:rPr>
        <w:t xml:space="preserve">The Framework does not replace, override or amend current legislation, mandatory standards or accreditation processes. This includes schedules to the Safe Patient Care (Nurse to Patient and Midwife to Patient Ratios) Act 2015, in which health service sites are categorised into levels for the purposes of staffing ratios. The Framework assumes that health service sites provide care in accordance with </w:t>
      </w:r>
      <w:hyperlink r:id="rId13" w:history="1">
        <w:r w:rsidRPr="00352533">
          <w:rPr>
            <w:rFonts w:cs="Arial"/>
            <w:szCs w:val="21"/>
          </w:rPr>
          <w:t>National Safety and Quality Health Service (NSQHS) Standards</w:t>
        </w:r>
      </w:hyperlink>
      <w:r w:rsidRPr="00352533">
        <w:rPr>
          <w:rFonts w:cs="Arial"/>
          <w:szCs w:val="21"/>
          <w:vertAlign w:val="superscript"/>
        </w:rPr>
        <w:footnoteReference w:id="2"/>
      </w:r>
      <w:r w:rsidRPr="00352533">
        <w:rPr>
          <w:rFonts w:cs="Arial"/>
          <w:szCs w:val="21"/>
        </w:rPr>
        <w:t xml:space="preserve"> and should be viewed in conjunction with other key documents, in particular the Victorian Health Services Performance Monitoring Framework</w:t>
      </w:r>
      <w:r w:rsidRPr="00352533">
        <w:rPr>
          <w:rFonts w:cs="Arial"/>
          <w:szCs w:val="21"/>
          <w:vertAlign w:val="superscript"/>
        </w:rPr>
        <w:footnoteReference w:id="3"/>
      </w:r>
      <w:r w:rsidRPr="00352533">
        <w:rPr>
          <w:rFonts w:cs="Arial"/>
          <w:szCs w:val="21"/>
          <w:vertAlign w:val="superscript"/>
        </w:rPr>
        <w:t>,</w:t>
      </w:r>
      <w:r w:rsidRPr="00352533">
        <w:rPr>
          <w:rFonts w:cs="Arial"/>
          <w:szCs w:val="21"/>
        </w:rPr>
        <w:t xml:space="preserve"> the Department of Health Policy and Funding Guidelines</w:t>
      </w:r>
      <w:r w:rsidRPr="00352533">
        <w:rPr>
          <w:rFonts w:cs="Arial"/>
          <w:szCs w:val="21"/>
          <w:vertAlign w:val="superscript"/>
        </w:rPr>
        <w:footnoteReference w:id="4"/>
      </w:r>
      <w:r w:rsidRPr="00352533">
        <w:rPr>
          <w:rFonts w:cs="Arial"/>
          <w:szCs w:val="21"/>
        </w:rPr>
        <w:t xml:space="preserve"> and the Victorian clinical governance framework</w:t>
      </w:r>
      <w:r w:rsidRPr="00352533">
        <w:rPr>
          <w:rFonts w:cs="Arial"/>
          <w:szCs w:val="21"/>
          <w:vertAlign w:val="superscript"/>
        </w:rPr>
        <w:footnoteReference w:id="5"/>
      </w:r>
      <w:r w:rsidRPr="00352533">
        <w:rPr>
          <w:rFonts w:cs="Arial"/>
          <w:szCs w:val="21"/>
        </w:rPr>
        <w:t>.</w:t>
      </w:r>
    </w:p>
    <w:p w14:paraId="0A7003EB" w14:textId="5877DBD0" w:rsidR="00835628" w:rsidRPr="00352533" w:rsidRDefault="00835628" w:rsidP="00535DB6">
      <w:pPr>
        <w:pStyle w:val="Body"/>
        <w:rPr>
          <w:rFonts w:cs="Arial"/>
          <w:szCs w:val="21"/>
        </w:rPr>
      </w:pPr>
      <w:r w:rsidRPr="004F4A7D">
        <w:rPr>
          <w:rFonts w:cs="Arial"/>
          <w:szCs w:val="21"/>
        </w:rPr>
        <w:t>The Framework does not delineate health service site roles for mental health service provision, as these are defined in the Victorian Mental Health and Wellbeing Act 2022, under which mental health services are designated.</w:t>
      </w:r>
    </w:p>
    <w:p w14:paraId="4E3D5C76" w14:textId="3BB70684" w:rsidR="00B74E91" w:rsidRPr="008E7073" w:rsidRDefault="00B74E91" w:rsidP="00B74E91">
      <w:pPr>
        <w:pStyle w:val="Heading3"/>
        <w:rPr>
          <w:rFonts w:cs="Arial"/>
          <w:b/>
        </w:rPr>
      </w:pPr>
      <w:bookmarkStart w:id="17" w:name="_Toc204251877"/>
      <w:r w:rsidRPr="008E7073">
        <w:rPr>
          <w:rFonts w:cs="Arial"/>
        </w:rPr>
        <w:lastRenderedPageBreak/>
        <w:t>The role of the Department of Health</w:t>
      </w:r>
      <w:bookmarkEnd w:id="17"/>
      <w:r w:rsidRPr="008E7073">
        <w:rPr>
          <w:rFonts w:cs="Arial"/>
        </w:rPr>
        <w:t xml:space="preserve"> </w:t>
      </w:r>
    </w:p>
    <w:p w14:paraId="4A0D706B" w14:textId="3252294B" w:rsidR="00B74E91" w:rsidRPr="00352533" w:rsidRDefault="00B74E91" w:rsidP="00B74E91">
      <w:pPr>
        <w:pStyle w:val="Body"/>
        <w:rPr>
          <w:rFonts w:cs="Arial"/>
          <w:szCs w:val="21"/>
        </w:rPr>
      </w:pPr>
      <w:r w:rsidRPr="00352533">
        <w:rPr>
          <w:rFonts w:cs="Arial"/>
          <w:szCs w:val="21"/>
        </w:rPr>
        <w:t xml:space="preserve">As system steward, the Department of Health (department) will work with health services to confirm the role </w:t>
      </w:r>
      <w:r w:rsidR="0072362C">
        <w:rPr>
          <w:rFonts w:cs="Arial"/>
          <w:szCs w:val="21"/>
        </w:rPr>
        <w:t xml:space="preserve">of </w:t>
      </w:r>
      <w:r w:rsidRPr="00352533">
        <w:rPr>
          <w:rFonts w:cs="Arial"/>
          <w:szCs w:val="21"/>
        </w:rPr>
        <w:t>their sites in the system, oversee statewide system planning based on role delineation and administer the Clinical Service Capability Frameworks, in partnership with Safer Care Victoria (SCV). SCV is Victoria’s leading authority for quality and safety in healthcare and works alongside the department to drive safety improvements across the state.</w:t>
      </w:r>
    </w:p>
    <w:p w14:paraId="235C7C0E" w14:textId="4B9B933D" w:rsidR="00B74E91" w:rsidRPr="008E7073" w:rsidRDefault="00B74E91" w:rsidP="00B74E91">
      <w:pPr>
        <w:pStyle w:val="Heading4"/>
        <w:rPr>
          <w:rFonts w:cs="Arial"/>
        </w:rPr>
      </w:pPr>
      <w:r w:rsidRPr="008E7073">
        <w:rPr>
          <w:rFonts w:cs="Arial"/>
        </w:rPr>
        <w:t>The Framework is foundational and will be revised over time as the system evolves</w:t>
      </w:r>
    </w:p>
    <w:p w14:paraId="20335790" w14:textId="77777777" w:rsidR="00B74E91" w:rsidRPr="00352533" w:rsidRDefault="00B74E91" w:rsidP="00B74E91">
      <w:pPr>
        <w:pStyle w:val="Body"/>
        <w:rPr>
          <w:rFonts w:cs="Arial"/>
          <w:szCs w:val="21"/>
        </w:rPr>
      </w:pPr>
      <w:r w:rsidRPr="00352533">
        <w:rPr>
          <w:rFonts w:cs="Arial"/>
          <w:szCs w:val="21"/>
        </w:rPr>
        <w:t>This Framework represents a foundational, new common language for describing the Victorian health service system. It reflects the existing characteristics of Victoria’s health service sites to describe at a high level the care that is currently available to consumers.</w:t>
      </w:r>
    </w:p>
    <w:p w14:paraId="1D14175C" w14:textId="512D9C71" w:rsidR="00B74E91" w:rsidRPr="00352533" w:rsidRDefault="00B74E91" w:rsidP="00152329">
      <w:pPr>
        <w:pStyle w:val="Body"/>
        <w:rPr>
          <w:rFonts w:cs="Arial"/>
          <w:szCs w:val="21"/>
        </w:rPr>
      </w:pPr>
      <w:r w:rsidRPr="00352533">
        <w:rPr>
          <w:rFonts w:cs="Arial"/>
          <w:szCs w:val="21"/>
        </w:rPr>
        <w:t>It is recognised, however, that role delineation is not static but rather will continue to evolve as Victoria’s population and demographics shift and as clinical practice advances. Similarly, the department will evolve this Framework over time and will continue to support Networks to confirm the roles of each health service site based on contemporary demographic and health service activity metrics.</w:t>
      </w:r>
    </w:p>
    <w:p w14:paraId="44B3CC66" w14:textId="06619C24" w:rsidR="0037346A" w:rsidRPr="008E7073" w:rsidRDefault="0037346A" w:rsidP="0037346A">
      <w:pPr>
        <w:pStyle w:val="Heading1"/>
      </w:pPr>
      <w:bookmarkStart w:id="18" w:name="_Toc204251878"/>
      <w:r w:rsidRPr="008E7073">
        <w:t>Core components of Victoria’s Role Delineation Framework</w:t>
      </w:r>
      <w:bookmarkEnd w:id="18"/>
    </w:p>
    <w:p w14:paraId="6F5DF0DA" w14:textId="77777777" w:rsidR="0037346A" w:rsidRPr="00352533" w:rsidRDefault="0037346A" w:rsidP="0037346A">
      <w:pPr>
        <w:pStyle w:val="Body"/>
        <w:rPr>
          <w:rFonts w:cs="Arial"/>
          <w:szCs w:val="21"/>
        </w:rPr>
      </w:pPr>
      <w:r w:rsidRPr="00352533">
        <w:rPr>
          <w:rFonts w:cs="Arial"/>
          <w:szCs w:val="21"/>
        </w:rPr>
        <w:t xml:space="preserve">The core components of Victoria’s Role Delineation Framework are shown in </w:t>
      </w:r>
      <w:r w:rsidRPr="00352533">
        <w:rPr>
          <w:rFonts w:cs="Arial"/>
          <w:szCs w:val="21"/>
        </w:rPr>
        <w:fldChar w:fldCharType="begin"/>
      </w:r>
      <w:r w:rsidRPr="00352533">
        <w:rPr>
          <w:rFonts w:cs="Arial"/>
          <w:szCs w:val="21"/>
        </w:rPr>
        <w:instrText xml:space="preserve"> REF _Ref175152233  \* MERGEFORMAT </w:instrText>
      </w:r>
      <w:r w:rsidRPr="00352533">
        <w:rPr>
          <w:rFonts w:cs="Arial"/>
          <w:szCs w:val="21"/>
        </w:rPr>
        <w:fldChar w:fldCharType="separate"/>
      </w:r>
      <w:r w:rsidRPr="00352533">
        <w:rPr>
          <w:rFonts w:cs="Arial"/>
          <w:szCs w:val="21"/>
        </w:rPr>
        <w:t>Figure 1</w:t>
      </w:r>
      <w:r w:rsidRPr="00352533">
        <w:rPr>
          <w:rFonts w:cs="Arial"/>
          <w:szCs w:val="21"/>
        </w:rPr>
        <w:fldChar w:fldCharType="end"/>
      </w:r>
      <w:r w:rsidRPr="00352533">
        <w:rPr>
          <w:rFonts w:cs="Arial"/>
          <w:szCs w:val="21"/>
        </w:rPr>
        <w:t xml:space="preserve"> and encompass three domains of service delivery:</w:t>
      </w:r>
    </w:p>
    <w:p w14:paraId="01EDBD21" w14:textId="77777777" w:rsidR="0037346A" w:rsidRPr="00352533" w:rsidRDefault="0037346A" w:rsidP="0037346A">
      <w:pPr>
        <w:pStyle w:val="Body"/>
        <w:rPr>
          <w:rFonts w:cs="Arial"/>
          <w:szCs w:val="21"/>
        </w:rPr>
      </w:pPr>
      <w:r w:rsidRPr="00352533">
        <w:rPr>
          <w:rFonts w:cs="Arial"/>
          <w:b/>
          <w:bCs/>
          <w:szCs w:val="21"/>
        </w:rPr>
        <w:t>Peer characteristics</w:t>
      </w:r>
      <w:r w:rsidRPr="00352533">
        <w:rPr>
          <w:rFonts w:cs="Arial"/>
          <w:szCs w:val="21"/>
        </w:rPr>
        <w:t xml:space="preserve"> consider whole of health service site clinical operations, comparing sites by the types, volumes and breadth of services that they deliver as well as the patient cohorts that they serve.</w:t>
      </w:r>
    </w:p>
    <w:p w14:paraId="187D5E0D" w14:textId="77777777" w:rsidR="0037346A" w:rsidRPr="00352533" w:rsidRDefault="0037346A" w:rsidP="0037346A">
      <w:pPr>
        <w:pStyle w:val="Body"/>
        <w:rPr>
          <w:rFonts w:cs="Arial"/>
          <w:szCs w:val="21"/>
        </w:rPr>
      </w:pPr>
      <w:r w:rsidRPr="00352533">
        <w:rPr>
          <w:rFonts w:cs="Arial"/>
          <w:b/>
          <w:bCs/>
          <w:szCs w:val="21"/>
        </w:rPr>
        <w:t xml:space="preserve">Clinical capability </w:t>
      </w:r>
      <w:r w:rsidRPr="00352533">
        <w:rPr>
          <w:rFonts w:cs="Arial"/>
          <w:szCs w:val="21"/>
        </w:rPr>
        <w:t>considers the complexity of care available across clinical streams as agreed via the Clinical Service Capability Frameworks. This supports quality and safety by defining service delivery according to capability and giving rise to specific referral pathways for clinical services across different levels of complexity.</w:t>
      </w:r>
    </w:p>
    <w:p w14:paraId="1C8DE202" w14:textId="77777777" w:rsidR="0037346A" w:rsidRDefault="0037346A" w:rsidP="0037346A">
      <w:pPr>
        <w:pStyle w:val="Body"/>
        <w:rPr>
          <w:rFonts w:cs="Arial"/>
          <w:szCs w:val="21"/>
        </w:rPr>
      </w:pPr>
      <w:r w:rsidRPr="00352533">
        <w:rPr>
          <w:rFonts w:cs="Arial"/>
          <w:szCs w:val="21"/>
        </w:rPr>
        <w:t xml:space="preserve">The provision of </w:t>
      </w:r>
      <w:r w:rsidRPr="00352533">
        <w:rPr>
          <w:rFonts w:cs="Arial"/>
          <w:b/>
          <w:bCs/>
          <w:szCs w:val="21"/>
        </w:rPr>
        <w:t>low volume, high complexity care</w:t>
      </w:r>
      <w:r w:rsidRPr="00352533">
        <w:rPr>
          <w:rFonts w:cs="Arial"/>
          <w:szCs w:val="21"/>
        </w:rPr>
        <w:t xml:space="preserve"> considers the role that health service sites play in the delivery of services such as transplantation, major trauma and specialist genetics services. These services are delivered in a small number of health service sites in the state to ensure consistent, high quality and sustainable care.</w:t>
      </w:r>
    </w:p>
    <w:p w14:paraId="28F5842B" w14:textId="77777777" w:rsidR="00AD437D" w:rsidRPr="001950CD" w:rsidRDefault="00AD437D" w:rsidP="00AD437D">
      <w:pPr>
        <w:pStyle w:val="Bullet1"/>
        <w:numPr>
          <w:ilvl w:val="0"/>
          <w:numId w:val="0"/>
        </w:numPr>
        <w:rPr>
          <w:rFonts w:cs="Arial"/>
          <w:szCs w:val="21"/>
        </w:rPr>
      </w:pPr>
      <w:r w:rsidRPr="00352533">
        <w:rPr>
          <w:rFonts w:cs="Arial"/>
          <w:szCs w:val="21"/>
        </w:rPr>
        <w:t>Taken together, these three core components support the assignment of roles to each health service site based on their similarities, articulating how a health service site relates to its peers within the Victorian health system. This allows for the meaningful articulation of the responsibilities each health service site has within its Network and within the broader system.</w:t>
      </w:r>
    </w:p>
    <w:p w14:paraId="16A133E7" w14:textId="77777777" w:rsidR="005304F4" w:rsidRDefault="005304F4" w:rsidP="00186E1F">
      <w:pPr>
        <w:pStyle w:val="Caption"/>
        <w:rPr>
          <w:rFonts w:cs="Arial"/>
          <w:b/>
          <w:bCs/>
          <w:i w:val="0"/>
          <w:iCs w:val="0"/>
          <w:color w:val="000000" w:themeColor="text1"/>
          <w:sz w:val="21"/>
          <w:szCs w:val="21"/>
        </w:rPr>
      </w:pPr>
    </w:p>
    <w:p w14:paraId="56FA5BCF" w14:textId="77777777" w:rsidR="005304F4" w:rsidRDefault="005304F4" w:rsidP="00186E1F">
      <w:pPr>
        <w:pStyle w:val="Caption"/>
        <w:rPr>
          <w:rFonts w:cs="Arial"/>
          <w:b/>
          <w:bCs/>
          <w:i w:val="0"/>
          <w:iCs w:val="0"/>
          <w:color w:val="000000" w:themeColor="text1"/>
          <w:sz w:val="21"/>
          <w:szCs w:val="21"/>
        </w:rPr>
      </w:pPr>
    </w:p>
    <w:p w14:paraId="03377788" w14:textId="77777777" w:rsidR="005304F4" w:rsidRDefault="005304F4" w:rsidP="00186E1F">
      <w:pPr>
        <w:pStyle w:val="Caption"/>
        <w:rPr>
          <w:rFonts w:cs="Arial"/>
          <w:b/>
          <w:bCs/>
          <w:i w:val="0"/>
          <w:iCs w:val="0"/>
          <w:color w:val="000000" w:themeColor="text1"/>
          <w:sz w:val="21"/>
          <w:szCs w:val="21"/>
        </w:rPr>
      </w:pPr>
    </w:p>
    <w:p w14:paraId="20E5EA8A" w14:textId="77777777" w:rsidR="005304F4" w:rsidRDefault="005304F4" w:rsidP="00186E1F">
      <w:pPr>
        <w:pStyle w:val="Caption"/>
        <w:rPr>
          <w:rFonts w:cs="Arial"/>
          <w:b/>
          <w:bCs/>
          <w:i w:val="0"/>
          <w:iCs w:val="0"/>
          <w:color w:val="000000" w:themeColor="text1"/>
          <w:sz w:val="21"/>
          <w:szCs w:val="21"/>
        </w:rPr>
      </w:pPr>
    </w:p>
    <w:p w14:paraId="14BCD654" w14:textId="01F14B64" w:rsidR="00186E1F" w:rsidRPr="00352533" w:rsidRDefault="00186E1F" w:rsidP="00186E1F">
      <w:pPr>
        <w:pStyle w:val="Caption"/>
        <w:rPr>
          <w:rFonts w:cs="Arial"/>
          <w:b/>
          <w:bCs/>
          <w:i w:val="0"/>
          <w:iCs w:val="0"/>
          <w:color w:val="000000" w:themeColor="text1"/>
          <w:sz w:val="21"/>
          <w:szCs w:val="21"/>
        </w:rPr>
      </w:pPr>
      <w:r w:rsidRPr="00352533">
        <w:rPr>
          <w:rFonts w:cs="Arial"/>
          <w:b/>
          <w:bCs/>
          <w:i w:val="0"/>
          <w:iCs w:val="0"/>
          <w:color w:val="000000" w:themeColor="text1"/>
          <w:sz w:val="21"/>
          <w:szCs w:val="21"/>
        </w:rPr>
        <w:lastRenderedPageBreak/>
        <w:t xml:space="preserve">Figure </w:t>
      </w:r>
      <w:r w:rsidRPr="00352533">
        <w:rPr>
          <w:rFonts w:cs="Arial"/>
          <w:b/>
          <w:bCs/>
          <w:i w:val="0"/>
          <w:iCs w:val="0"/>
          <w:color w:val="000000" w:themeColor="text1"/>
          <w:sz w:val="21"/>
          <w:szCs w:val="21"/>
        </w:rPr>
        <w:fldChar w:fldCharType="begin"/>
      </w:r>
      <w:r w:rsidRPr="00352533">
        <w:rPr>
          <w:rFonts w:cs="Arial"/>
          <w:b/>
          <w:bCs/>
          <w:i w:val="0"/>
          <w:iCs w:val="0"/>
          <w:color w:val="000000" w:themeColor="text1"/>
          <w:sz w:val="21"/>
          <w:szCs w:val="21"/>
        </w:rPr>
        <w:instrText>SEQ Figure \* ARABIC</w:instrText>
      </w:r>
      <w:r w:rsidRPr="00352533">
        <w:rPr>
          <w:rFonts w:cs="Arial"/>
          <w:b/>
          <w:bCs/>
          <w:i w:val="0"/>
          <w:iCs w:val="0"/>
          <w:color w:val="000000" w:themeColor="text1"/>
          <w:sz w:val="21"/>
          <w:szCs w:val="21"/>
        </w:rPr>
        <w:fldChar w:fldCharType="separate"/>
      </w:r>
      <w:r w:rsidRPr="00352533">
        <w:rPr>
          <w:rFonts w:cs="Arial"/>
          <w:b/>
          <w:bCs/>
          <w:i w:val="0"/>
          <w:iCs w:val="0"/>
          <w:noProof/>
          <w:color w:val="000000" w:themeColor="text1"/>
          <w:sz w:val="21"/>
          <w:szCs w:val="21"/>
        </w:rPr>
        <w:t>1</w:t>
      </w:r>
      <w:r w:rsidRPr="00352533">
        <w:rPr>
          <w:rFonts w:cs="Arial"/>
          <w:b/>
          <w:bCs/>
          <w:i w:val="0"/>
          <w:iCs w:val="0"/>
          <w:color w:val="000000" w:themeColor="text1"/>
          <w:sz w:val="21"/>
          <w:szCs w:val="21"/>
        </w:rPr>
        <w:fldChar w:fldCharType="end"/>
      </w:r>
      <w:r w:rsidR="00CF3339">
        <w:rPr>
          <w:rFonts w:cs="Arial"/>
          <w:b/>
          <w:bCs/>
          <w:i w:val="0"/>
          <w:iCs w:val="0"/>
          <w:color w:val="000000" w:themeColor="text1"/>
          <w:sz w:val="21"/>
          <w:szCs w:val="21"/>
        </w:rPr>
        <w:t>:</w:t>
      </w:r>
      <w:r w:rsidRPr="00352533">
        <w:rPr>
          <w:rFonts w:cs="Arial"/>
          <w:b/>
          <w:bCs/>
          <w:i w:val="0"/>
          <w:iCs w:val="0"/>
          <w:color w:val="000000" w:themeColor="text1"/>
          <w:sz w:val="21"/>
          <w:szCs w:val="21"/>
        </w:rPr>
        <w:t xml:space="preserve"> Components of Victoria's role delineation framework</w:t>
      </w:r>
    </w:p>
    <w:p w14:paraId="73784659" w14:textId="2B55B515" w:rsidR="0037346A" w:rsidRPr="008E7073" w:rsidRDefault="00C65A42" w:rsidP="00B94C5E">
      <w:pPr>
        <w:pStyle w:val="Heading5"/>
        <w:rPr>
          <w:rFonts w:cs="Arial"/>
        </w:rPr>
      </w:pPr>
      <w:r w:rsidRPr="008E7073">
        <w:rPr>
          <w:rFonts w:cs="Arial"/>
          <w:noProof/>
        </w:rPr>
        <w:drawing>
          <wp:inline distT="0" distB="0" distL="0" distR="0" wp14:anchorId="1210AA4B" wp14:editId="34FFAC9F">
            <wp:extent cx="5385426" cy="1820174"/>
            <wp:effectExtent l="0" t="0" r="6350" b="8890"/>
            <wp:docPr id="1162344420" name="Picture 1" descr="Diagram of the three components of Victoria’s role delineation framework: peer characteristics, clinical stream capability levels and low volume, highly complex care, integrating to form the health service site roles and responsibil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344420" name="Picture 1" descr="Diagram of the three components of Victoria’s role delineation framework: peer characteristics, clinical stream capability levels and low volume, highly complex care, integrating to form the health service site roles and responsibilities.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9715" cy="1828383"/>
                    </a:xfrm>
                    <a:prstGeom prst="rect">
                      <a:avLst/>
                    </a:prstGeom>
                    <a:noFill/>
                  </pic:spPr>
                </pic:pic>
              </a:graphicData>
            </a:graphic>
          </wp:inline>
        </w:drawing>
      </w:r>
    </w:p>
    <w:p w14:paraId="4DDB725B" w14:textId="77777777" w:rsidR="006271CD" w:rsidRPr="00352533" w:rsidRDefault="006271CD" w:rsidP="00C65A42">
      <w:pPr>
        <w:pStyle w:val="Bullet1"/>
        <w:numPr>
          <w:ilvl w:val="0"/>
          <w:numId w:val="0"/>
        </w:numPr>
        <w:rPr>
          <w:rFonts w:cs="Arial"/>
          <w:szCs w:val="21"/>
        </w:rPr>
      </w:pPr>
    </w:p>
    <w:p w14:paraId="6DC972C0" w14:textId="2FE02F9E" w:rsidR="004B520F" w:rsidRPr="008E7073" w:rsidRDefault="004B520F" w:rsidP="004B520F">
      <w:pPr>
        <w:pStyle w:val="Heading3"/>
        <w:rPr>
          <w:rFonts w:cs="Arial"/>
          <w:b/>
        </w:rPr>
      </w:pPr>
      <w:bookmarkStart w:id="19" w:name="_Toc204251879"/>
      <w:r w:rsidRPr="008E7073">
        <w:rPr>
          <w:rFonts w:cs="Arial"/>
        </w:rPr>
        <w:t>Peer Characteristics</w:t>
      </w:r>
      <w:bookmarkEnd w:id="19"/>
    </w:p>
    <w:p w14:paraId="771E1DEF" w14:textId="5B3961C3" w:rsidR="00223FFD" w:rsidRDefault="009D58FE" w:rsidP="004B520F">
      <w:pPr>
        <w:pStyle w:val="Body"/>
        <w:rPr>
          <w:rFonts w:cs="Arial"/>
        </w:rPr>
      </w:pPr>
      <w:r w:rsidRPr="125887DF">
        <w:rPr>
          <w:rFonts w:cs="Arial"/>
        </w:rPr>
        <w:t xml:space="preserve">The ability to delineate different health service sites on the basis of peer characteristics has been well established and adopted through the </w:t>
      </w:r>
      <w:r w:rsidR="773FC3B9" w:rsidRPr="125887DF">
        <w:rPr>
          <w:rFonts w:cs="Arial"/>
        </w:rPr>
        <w:t>Australian Institute of Health and Welfare (</w:t>
      </w:r>
      <w:r w:rsidRPr="125887DF">
        <w:rPr>
          <w:rFonts w:cs="Arial"/>
        </w:rPr>
        <w:t>AIHW</w:t>
      </w:r>
      <w:r w:rsidR="6E0BFD17" w:rsidRPr="125887DF">
        <w:rPr>
          <w:rFonts w:cs="Arial"/>
        </w:rPr>
        <w:t>)</w:t>
      </w:r>
      <w:r w:rsidRPr="125887DF">
        <w:rPr>
          <w:rFonts w:cs="Arial"/>
        </w:rPr>
        <w:t xml:space="preserve"> peer groups, developed in 1999. The AIHW defines groups of similar health service sites based on shared characteristics to allow a better understanding of the organisation and provision of services. </w:t>
      </w:r>
    </w:p>
    <w:p w14:paraId="6E745B0F" w14:textId="1801F8DF" w:rsidR="004B520F" w:rsidRPr="00352533" w:rsidRDefault="004B520F" w:rsidP="004B520F">
      <w:pPr>
        <w:pStyle w:val="Body"/>
        <w:rPr>
          <w:rFonts w:cs="Arial"/>
        </w:rPr>
      </w:pPr>
      <w:r w:rsidRPr="125887DF">
        <w:rPr>
          <w:rFonts w:cs="Arial"/>
        </w:rPr>
        <w:t>The Victorian Role Delineation Framework refines and extends the AIHW approach to tailor it specifically to Victoria’s health service system. A series of metrics are used in the Framework to identify health service sites with like characteristics related to the types of services that they deliver, along with the volumes and breadth of these services, which give an indication of clinical operational scale. Geographic span of service delivery is also considered, capturing the role that each health service site plays in meeting the needs of local, regional and statewide catchment populations.</w:t>
      </w:r>
    </w:p>
    <w:p w14:paraId="00D63AE0" w14:textId="77777777" w:rsidR="004B520F" w:rsidRPr="00352533" w:rsidRDefault="004B520F" w:rsidP="004B520F">
      <w:pPr>
        <w:pStyle w:val="Body"/>
        <w:rPr>
          <w:rFonts w:cs="Arial"/>
          <w:szCs w:val="21"/>
        </w:rPr>
      </w:pPr>
      <w:r w:rsidRPr="00352533">
        <w:rPr>
          <w:rFonts w:cs="Arial"/>
          <w:szCs w:val="21"/>
        </w:rPr>
        <w:t>Additionally, consideration is given to the patient cohorts that are serviced by a health service site. These may be population cohorts such as women and children or clinical stream cohorts such as those requiring elective procedural care or specialist care such as sub-acute, cancer, cardiac, dental or eye and ear care.</w:t>
      </w:r>
    </w:p>
    <w:p w14:paraId="359D508F" w14:textId="77777777" w:rsidR="004B520F" w:rsidRPr="00352533" w:rsidRDefault="004B520F" w:rsidP="004B520F">
      <w:pPr>
        <w:pStyle w:val="Body"/>
        <w:rPr>
          <w:rFonts w:cs="Arial"/>
          <w:szCs w:val="21"/>
        </w:rPr>
      </w:pPr>
      <w:r w:rsidRPr="00352533">
        <w:rPr>
          <w:rFonts w:cs="Arial"/>
          <w:szCs w:val="21"/>
        </w:rPr>
        <w:t>The key peer characteristics considered in the Framework are outlined below.</w:t>
      </w:r>
    </w:p>
    <w:p w14:paraId="6F2845BB" w14:textId="77777777" w:rsidR="004B520F" w:rsidRPr="00352533" w:rsidRDefault="004B520F" w:rsidP="003A2850">
      <w:pPr>
        <w:pStyle w:val="Body"/>
        <w:numPr>
          <w:ilvl w:val="0"/>
          <w:numId w:val="10"/>
        </w:numPr>
        <w:spacing w:after="60"/>
        <w:ind w:left="714" w:hanging="357"/>
        <w:contextualSpacing/>
        <w:rPr>
          <w:rFonts w:cs="Arial"/>
          <w:szCs w:val="21"/>
        </w:rPr>
      </w:pPr>
      <w:r w:rsidRPr="00352533">
        <w:rPr>
          <w:rFonts w:cs="Arial"/>
          <w:szCs w:val="21"/>
        </w:rPr>
        <w:t xml:space="preserve">Number of inpatient separations </w:t>
      </w:r>
    </w:p>
    <w:p w14:paraId="7707FCAF" w14:textId="77777777" w:rsidR="004B520F" w:rsidRPr="00352533" w:rsidRDefault="004B520F" w:rsidP="003A2850">
      <w:pPr>
        <w:pStyle w:val="Body"/>
        <w:numPr>
          <w:ilvl w:val="0"/>
          <w:numId w:val="10"/>
        </w:numPr>
        <w:spacing w:after="60"/>
        <w:ind w:left="714" w:hanging="357"/>
        <w:contextualSpacing/>
        <w:rPr>
          <w:rFonts w:cs="Arial"/>
          <w:szCs w:val="21"/>
        </w:rPr>
      </w:pPr>
      <w:r w:rsidRPr="00352533">
        <w:rPr>
          <w:rFonts w:cs="Arial"/>
          <w:szCs w:val="21"/>
        </w:rPr>
        <w:t xml:space="preserve">Number of emergency and urgent care presentations </w:t>
      </w:r>
    </w:p>
    <w:p w14:paraId="0875B931" w14:textId="77777777" w:rsidR="004B520F" w:rsidRPr="00352533" w:rsidRDefault="004B520F" w:rsidP="003A2850">
      <w:pPr>
        <w:pStyle w:val="Body"/>
        <w:numPr>
          <w:ilvl w:val="0"/>
          <w:numId w:val="10"/>
        </w:numPr>
        <w:spacing w:after="60"/>
        <w:ind w:left="714" w:hanging="357"/>
        <w:contextualSpacing/>
        <w:rPr>
          <w:rFonts w:cs="Arial"/>
          <w:szCs w:val="21"/>
        </w:rPr>
      </w:pPr>
      <w:r w:rsidRPr="00352533">
        <w:rPr>
          <w:rFonts w:cs="Arial"/>
          <w:szCs w:val="21"/>
        </w:rPr>
        <w:t>Breadth of diagnosis related groups serviced</w:t>
      </w:r>
    </w:p>
    <w:p w14:paraId="274E4AC5" w14:textId="77777777" w:rsidR="004B520F" w:rsidRPr="00352533" w:rsidRDefault="004B520F" w:rsidP="003A2850">
      <w:pPr>
        <w:pStyle w:val="Body"/>
        <w:numPr>
          <w:ilvl w:val="0"/>
          <w:numId w:val="10"/>
        </w:numPr>
        <w:spacing w:after="60"/>
        <w:ind w:left="714" w:hanging="357"/>
        <w:contextualSpacing/>
        <w:rPr>
          <w:rFonts w:cs="Arial"/>
          <w:szCs w:val="21"/>
        </w:rPr>
      </w:pPr>
      <w:r w:rsidRPr="00352533">
        <w:rPr>
          <w:rFonts w:cs="Arial"/>
          <w:szCs w:val="21"/>
        </w:rPr>
        <w:t xml:space="preserve">Amount of intensive care provided </w:t>
      </w:r>
    </w:p>
    <w:p w14:paraId="0197235D" w14:textId="77777777" w:rsidR="004B520F" w:rsidRPr="00352533" w:rsidRDefault="004B520F" w:rsidP="003A2850">
      <w:pPr>
        <w:pStyle w:val="Body"/>
        <w:numPr>
          <w:ilvl w:val="0"/>
          <w:numId w:val="10"/>
        </w:numPr>
        <w:spacing w:after="60"/>
        <w:ind w:left="714" w:hanging="357"/>
        <w:contextualSpacing/>
        <w:rPr>
          <w:rFonts w:cs="Arial"/>
          <w:szCs w:val="21"/>
        </w:rPr>
      </w:pPr>
      <w:r w:rsidRPr="00352533">
        <w:rPr>
          <w:rFonts w:cs="Arial"/>
          <w:szCs w:val="21"/>
        </w:rPr>
        <w:t xml:space="preserve">Ratio of high cost planned admissions </w:t>
      </w:r>
    </w:p>
    <w:p w14:paraId="1E345851" w14:textId="77777777" w:rsidR="004B520F" w:rsidRPr="00352533" w:rsidRDefault="004B520F" w:rsidP="003A2850">
      <w:pPr>
        <w:pStyle w:val="Body"/>
        <w:numPr>
          <w:ilvl w:val="0"/>
          <w:numId w:val="10"/>
        </w:numPr>
        <w:ind w:left="714" w:hanging="357"/>
        <w:rPr>
          <w:rFonts w:cs="Arial"/>
          <w:szCs w:val="21"/>
        </w:rPr>
      </w:pPr>
      <w:r w:rsidRPr="00352533">
        <w:rPr>
          <w:rFonts w:cs="Arial"/>
          <w:szCs w:val="21"/>
        </w:rPr>
        <w:t xml:space="preserve">Geographic coverage of admitted care </w:t>
      </w:r>
    </w:p>
    <w:p w14:paraId="592CD160" w14:textId="77777777" w:rsidR="004B520F" w:rsidRPr="00352533" w:rsidRDefault="004B520F" w:rsidP="004B520F">
      <w:pPr>
        <w:pStyle w:val="Body"/>
        <w:rPr>
          <w:rFonts w:cs="Arial"/>
          <w:szCs w:val="21"/>
        </w:rPr>
      </w:pPr>
      <w:r w:rsidRPr="00352533">
        <w:rPr>
          <w:rFonts w:cs="Arial"/>
          <w:szCs w:val="21"/>
        </w:rPr>
        <w:t>Further details on these peer characteristics are available in Appendix 4.</w:t>
      </w:r>
    </w:p>
    <w:p w14:paraId="27692CD3" w14:textId="77777777" w:rsidR="004B520F" w:rsidRPr="00352533" w:rsidRDefault="004B520F" w:rsidP="004B520F">
      <w:pPr>
        <w:pStyle w:val="Body"/>
        <w:rPr>
          <w:rFonts w:cs="Arial"/>
          <w:szCs w:val="21"/>
        </w:rPr>
      </w:pPr>
      <w:r w:rsidRPr="00352533">
        <w:rPr>
          <w:rFonts w:cs="Arial"/>
          <w:szCs w:val="21"/>
        </w:rPr>
        <w:t>The peer characteristics focus on admitted care services owing to the accessibility of these metrics. Non-admitted services represent a significant and important aspect of care delivery for many of Victoria’s health service sites; however, not all health services are obliged to report this activity to the Department of Health. This gives an incomplete picture of these services and makes it harder to use them to define the roles of different health service sites. Over time, should centralised collection of these activities become more robust, they will be incorporated into future iterations of this Framework.</w:t>
      </w:r>
    </w:p>
    <w:p w14:paraId="43B1219C" w14:textId="527BF8AA" w:rsidR="004B520F" w:rsidRPr="008E7073" w:rsidRDefault="004B520F" w:rsidP="004B520F">
      <w:pPr>
        <w:pStyle w:val="Heading3"/>
        <w:rPr>
          <w:rFonts w:cs="Arial"/>
          <w:b/>
        </w:rPr>
      </w:pPr>
      <w:bookmarkStart w:id="20" w:name="_Toc204251880"/>
      <w:r w:rsidRPr="008E7073">
        <w:rPr>
          <w:rFonts w:cs="Arial"/>
        </w:rPr>
        <w:lastRenderedPageBreak/>
        <w:t>Clinical Capability</w:t>
      </w:r>
      <w:bookmarkEnd w:id="20"/>
    </w:p>
    <w:p w14:paraId="4A8B7FE4" w14:textId="77777777" w:rsidR="004B520F" w:rsidRPr="00352533" w:rsidRDefault="004B520F" w:rsidP="004B520F">
      <w:pPr>
        <w:pStyle w:val="Body"/>
        <w:rPr>
          <w:rFonts w:cs="Arial"/>
          <w:szCs w:val="21"/>
        </w:rPr>
      </w:pPr>
      <w:r w:rsidRPr="00352533">
        <w:rPr>
          <w:rFonts w:cs="Arial"/>
          <w:szCs w:val="21"/>
        </w:rPr>
        <w:t xml:space="preserve">Clinical capability aligned to clinical service streams are articulated in the Framework by the capability levels as agreed via the Clinical Service Capability Frameworks (Capability Frameworks). Capability Frameworks are comprehensive guidelines developed for Victoria's health system to support the delivery of safe and high-quality care. </w:t>
      </w:r>
    </w:p>
    <w:p w14:paraId="64B62FF2" w14:textId="58F2D711" w:rsidR="004B520F" w:rsidRPr="00352533" w:rsidRDefault="004B520F" w:rsidP="004B520F">
      <w:pPr>
        <w:pStyle w:val="Body"/>
        <w:rPr>
          <w:rFonts w:cs="Arial"/>
          <w:szCs w:val="21"/>
        </w:rPr>
      </w:pPr>
      <w:r w:rsidRPr="00352533">
        <w:rPr>
          <w:rFonts w:cs="Arial"/>
          <w:szCs w:val="21"/>
        </w:rPr>
        <w:t xml:space="preserve">Capability Frameworks outline the minimum requirements </w:t>
      </w:r>
      <w:r w:rsidR="00547C6E">
        <w:rPr>
          <w:rFonts w:cs="Arial"/>
          <w:szCs w:val="21"/>
        </w:rPr>
        <w:t>that must be met</w:t>
      </w:r>
      <w:r w:rsidR="004A0FD0">
        <w:rPr>
          <w:rFonts w:cs="Arial"/>
          <w:szCs w:val="21"/>
        </w:rPr>
        <w:t xml:space="preserve"> </w:t>
      </w:r>
      <w:r w:rsidRPr="00352533">
        <w:rPr>
          <w:rFonts w:cs="Arial"/>
          <w:szCs w:val="21"/>
        </w:rPr>
        <w:t xml:space="preserve">for clinical streams to function safely and effectively and categorise these services into different levels of capability. Victoria is committed to developing a comprehensive suite of Capability Frameworks over time to support the delivery of optimal care across its health services. Some of these frameworks, including Maternity and Newborn and Perioperative, have already been established and embedded. Other core areas of clinical practice including critical care, emergency and urgent care, medicine, pharmacy and diagnostic services are prioritised for development. </w:t>
      </w:r>
    </w:p>
    <w:p w14:paraId="3C5A3E77" w14:textId="77777777" w:rsidR="004B520F" w:rsidRPr="00352533" w:rsidRDefault="004B520F" w:rsidP="004B520F">
      <w:pPr>
        <w:pStyle w:val="Body"/>
        <w:rPr>
          <w:rFonts w:cs="Arial"/>
          <w:szCs w:val="21"/>
        </w:rPr>
      </w:pPr>
      <w:r w:rsidRPr="00352533">
        <w:rPr>
          <w:rFonts w:cs="Arial"/>
          <w:szCs w:val="21"/>
        </w:rPr>
        <w:t>Capability Frameworks provide the detailed descriptors and assessment of the core clinical streams that underpin public health service, including the following core elements:</w:t>
      </w:r>
    </w:p>
    <w:p w14:paraId="6D1B361E" w14:textId="77777777" w:rsidR="004B520F" w:rsidRPr="00352533" w:rsidRDefault="004B520F" w:rsidP="003A2850">
      <w:pPr>
        <w:pStyle w:val="Body"/>
        <w:numPr>
          <w:ilvl w:val="0"/>
          <w:numId w:val="9"/>
        </w:numPr>
        <w:spacing w:after="60"/>
        <w:rPr>
          <w:rFonts w:cs="Arial"/>
          <w:szCs w:val="21"/>
        </w:rPr>
      </w:pPr>
      <w:r w:rsidRPr="00352533">
        <w:rPr>
          <w:rFonts w:cs="Arial"/>
          <w:szCs w:val="21"/>
        </w:rPr>
        <w:t>Clinical service description</w:t>
      </w:r>
    </w:p>
    <w:p w14:paraId="47F80366" w14:textId="77777777" w:rsidR="004B520F" w:rsidRPr="00352533" w:rsidRDefault="004B520F" w:rsidP="003A2850">
      <w:pPr>
        <w:pStyle w:val="Body"/>
        <w:numPr>
          <w:ilvl w:val="0"/>
          <w:numId w:val="9"/>
        </w:numPr>
        <w:spacing w:after="60"/>
        <w:rPr>
          <w:rFonts w:cs="Arial"/>
          <w:szCs w:val="21"/>
        </w:rPr>
      </w:pPr>
      <w:r w:rsidRPr="00352533">
        <w:rPr>
          <w:rFonts w:cs="Arial"/>
          <w:szCs w:val="21"/>
        </w:rPr>
        <w:t>Clinical governance</w:t>
      </w:r>
    </w:p>
    <w:p w14:paraId="10A74C7B" w14:textId="77777777" w:rsidR="004B520F" w:rsidRPr="00352533" w:rsidRDefault="004B520F" w:rsidP="003A2850">
      <w:pPr>
        <w:pStyle w:val="Body"/>
        <w:numPr>
          <w:ilvl w:val="0"/>
          <w:numId w:val="9"/>
        </w:numPr>
        <w:spacing w:after="60"/>
        <w:rPr>
          <w:rFonts w:cs="Arial"/>
          <w:szCs w:val="21"/>
        </w:rPr>
      </w:pPr>
      <w:r w:rsidRPr="00352533">
        <w:rPr>
          <w:rFonts w:cs="Arial"/>
          <w:szCs w:val="21"/>
        </w:rPr>
        <w:t>Clinical workforce</w:t>
      </w:r>
    </w:p>
    <w:p w14:paraId="7D2DB7C9" w14:textId="77777777" w:rsidR="004B520F" w:rsidRPr="00352533" w:rsidRDefault="004B520F" w:rsidP="003A2850">
      <w:pPr>
        <w:pStyle w:val="Body"/>
        <w:numPr>
          <w:ilvl w:val="0"/>
          <w:numId w:val="9"/>
        </w:numPr>
        <w:spacing w:after="60"/>
        <w:rPr>
          <w:rFonts w:cs="Arial"/>
          <w:szCs w:val="21"/>
        </w:rPr>
      </w:pPr>
      <w:r w:rsidRPr="00352533">
        <w:rPr>
          <w:rFonts w:cs="Arial"/>
          <w:szCs w:val="21"/>
        </w:rPr>
        <w:t>Clinical support services</w:t>
      </w:r>
    </w:p>
    <w:p w14:paraId="5DF0A78F" w14:textId="77777777" w:rsidR="004B520F" w:rsidRPr="00352533" w:rsidRDefault="004B520F" w:rsidP="003A2850">
      <w:pPr>
        <w:pStyle w:val="Body"/>
        <w:numPr>
          <w:ilvl w:val="0"/>
          <w:numId w:val="9"/>
        </w:numPr>
        <w:rPr>
          <w:rFonts w:cs="Arial"/>
          <w:szCs w:val="21"/>
        </w:rPr>
      </w:pPr>
      <w:r w:rsidRPr="00352533">
        <w:rPr>
          <w:rFonts w:cs="Arial"/>
          <w:szCs w:val="21"/>
        </w:rPr>
        <w:t>Equipment and Infrastructure</w:t>
      </w:r>
    </w:p>
    <w:p w14:paraId="7458F76E" w14:textId="77777777" w:rsidR="00D03501" w:rsidRDefault="004B520F" w:rsidP="004B520F">
      <w:pPr>
        <w:pStyle w:val="Body"/>
        <w:rPr>
          <w:rFonts w:cs="Arial"/>
          <w:szCs w:val="21"/>
        </w:rPr>
      </w:pPr>
      <w:r w:rsidRPr="00352533">
        <w:rPr>
          <w:rFonts w:cs="Arial"/>
          <w:szCs w:val="21"/>
        </w:rPr>
        <w:t>Capability Frameworks typically have six levels starting from level 1 which describes the least clinical complexity through to level 6 describing the most clinical complexity.</w:t>
      </w:r>
    </w:p>
    <w:p w14:paraId="307ABC87" w14:textId="77777777" w:rsidR="00D03501" w:rsidRPr="00352533" w:rsidRDefault="00D03501" w:rsidP="004B520F">
      <w:pPr>
        <w:pStyle w:val="Body"/>
        <w:rPr>
          <w:rFonts w:cs="Arial"/>
          <w:szCs w:val="21"/>
        </w:rPr>
      </w:pPr>
    </w:p>
    <w:p w14:paraId="288175B6" w14:textId="77777777" w:rsidR="004B520F" w:rsidRPr="008E7073" w:rsidRDefault="004B520F" w:rsidP="004B520F">
      <w:pPr>
        <w:pStyle w:val="Caption"/>
        <w:rPr>
          <w:rFonts w:cs="Arial"/>
          <w:b/>
          <w:bCs/>
          <w:i w:val="0"/>
          <w:iCs w:val="0"/>
          <w:color w:val="000000" w:themeColor="text1"/>
          <w:sz w:val="21"/>
          <w:szCs w:val="21"/>
        </w:rPr>
      </w:pPr>
      <w:r w:rsidRPr="008E7073">
        <w:rPr>
          <w:rFonts w:cs="Arial"/>
          <w:b/>
          <w:bCs/>
          <w:i w:val="0"/>
          <w:iCs w:val="0"/>
          <w:color w:val="000000" w:themeColor="text1"/>
          <w:sz w:val="21"/>
          <w:szCs w:val="21"/>
        </w:rPr>
        <w:t>Figure 2: High level clinical service capability descriptors across six levels.</w:t>
      </w:r>
    </w:p>
    <w:p w14:paraId="0A06DF5E" w14:textId="30825B12" w:rsidR="0037346A" w:rsidRPr="008E7073" w:rsidRDefault="004B520F" w:rsidP="00B94C5E">
      <w:pPr>
        <w:pStyle w:val="Heading5"/>
        <w:rPr>
          <w:rFonts w:cs="Arial"/>
        </w:rPr>
      </w:pPr>
      <w:r w:rsidRPr="008E7073">
        <w:rPr>
          <w:rFonts w:cs="Arial"/>
          <w:noProof/>
        </w:rPr>
        <w:drawing>
          <wp:inline distT="0" distB="0" distL="0" distR="0" wp14:anchorId="13EC9BE8" wp14:editId="39505182">
            <wp:extent cx="5898436" cy="1380600"/>
            <wp:effectExtent l="0" t="0" r="7620" b="0"/>
            <wp:docPr id="1843353491" name="Picture 2" descr="Diagram of the high level clinical service capability descriptors across six levels. Level 1: Least complex, minimal risk care. Level 3 and 4: Local care for a defined scope or low-moderate complexity care, for the local community. Level 4 and 5: Progressively complex scope of care across specialties for increasingly complex patients and a broader population. Level 6: Most complex care across most specialties. Can manage the most complex patients and condi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53491" name="Picture 2" descr="Diagram of the high level clinical service capability descriptors across six levels. Level 1: Least complex, minimal risk care. Level 3 and 4: Local care for a defined scope or low-moderate complexity care, for the local community. Level 4 and 5: Progressively complex scope of care across specialties for increasingly complex patients and a broader population. Level 6: Most complex care across most specialties. Can manage the most complex patients and conditions.   "/>
                    <pic:cNvPicPr/>
                  </pic:nvPicPr>
                  <pic:blipFill>
                    <a:blip r:embed="rId15">
                      <a:extLst>
                        <a:ext uri="{28A0092B-C50C-407E-A947-70E740481C1C}">
                          <a14:useLocalDpi xmlns:a14="http://schemas.microsoft.com/office/drawing/2010/main" val="0"/>
                        </a:ext>
                      </a:extLst>
                    </a:blip>
                    <a:stretch>
                      <a:fillRect/>
                    </a:stretch>
                  </pic:blipFill>
                  <pic:spPr>
                    <a:xfrm>
                      <a:off x="0" y="0"/>
                      <a:ext cx="5898436" cy="1380600"/>
                    </a:xfrm>
                    <a:prstGeom prst="rect">
                      <a:avLst/>
                    </a:prstGeom>
                  </pic:spPr>
                </pic:pic>
              </a:graphicData>
            </a:graphic>
          </wp:inline>
        </w:drawing>
      </w:r>
    </w:p>
    <w:p w14:paraId="60754721" w14:textId="77777777" w:rsidR="004B520F" w:rsidRPr="008E7073" w:rsidRDefault="004B520F" w:rsidP="004B520F">
      <w:pPr>
        <w:pStyle w:val="Body"/>
        <w:rPr>
          <w:rFonts w:cs="Arial"/>
          <w:sz w:val="18"/>
          <w:szCs w:val="18"/>
        </w:rPr>
      </w:pPr>
    </w:p>
    <w:p w14:paraId="1742D400" w14:textId="77777777" w:rsidR="004B520F" w:rsidRPr="00352533" w:rsidRDefault="004B520F" w:rsidP="004B520F">
      <w:pPr>
        <w:pStyle w:val="Body"/>
        <w:rPr>
          <w:rFonts w:cs="Arial"/>
          <w:szCs w:val="21"/>
        </w:rPr>
      </w:pPr>
      <w:r w:rsidRPr="00352533">
        <w:rPr>
          <w:rFonts w:cs="Arial"/>
          <w:szCs w:val="21"/>
        </w:rPr>
        <w:t>Clinical capability levels are assessed independently of other measures included in this Role Delineation Framework, based on a self-assessment against minimum criteria with validation undertaken by the Department of Health.</w:t>
      </w:r>
    </w:p>
    <w:p w14:paraId="79CBB347" w14:textId="77777777" w:rsidR="004B520F" w:rsidRPr="008E7073" w:rsidRDefault="004B520F" w:rsidP="004B520F">
      <w:pPr>
        <w:pStyle w:val="Body"/>
        <w:rPr>
          <w:rFonts w:cs="Arial"/>
        </w:rPr>
      </w:pPr>
      <w:r w:rsidRPr="00352533">
        <w:rPr>
          <w:rFonts w:cs="Arial"/>
          <w:szCs w:val="21"/>
        </w:rPr>
        <w:t>The Department of Health website provides more detail on Victoria’s current published Capability Frameworks</w:t>
      </w:r>
      <w:r w:rsidRPr="008E7073">
        <w:rPr>
          <w:rStyle w:val="FootnoteReference"/>
          <w:rFonts w:cs="Arial"/>
        </w:rPr>
        <w:footnoteReference w:id="6"/>
      </w:r>
      <w:r w:rsidRPr="008E7073">
        <w:rPr>
          <w:rFonts w:cs="Arial"/>
        </w:rPr>
        <w:t>.</w:t>
      </w:r>
    </w:p>
    <w:p w14:paraId="16A99C3D" w14:textId="77777777" w:rsidR="004B520F" w:rsidRPr="00352533" w:rsidRDefault="004B520F" w:rsidP="004B520F">
      <w:pPr>
        <w:pStyle w:val="Body"/>
        <w:rPr>
          <w:rFonts w:cs="Arial"/>
          <w:szCs w:val="21"/>
        </w:rPr>
      </w:pPr>
      <w:r w:rsidRPr="00352533">
        <w:rPr>
          <w:rFonts w:cs="Arial"/>
          <w:szCs w:val="21"/>
        </w:rPr>
        <w:t>As more frameworks are developed, they will add to the profile of attributes that support the role delineation of health service sites.</w:t>
      </w:r>
    </w:p>
    <w:p w14:paraId="66A3B4EF" w14:textId="7D0F3473" w:rsidR="004B520F" w:rsidRPr="008E7073" w:rsidRDefault="004B520F" w:rsidP="004B520F">
      <w:pPr>
        <w:pStyle w:val="Heading3"/>
        <w:rPr>
          <w:rFonts w:cs="Arial"/>
          <w:b/>
        </w:rPr>
      </w:pPr>
      <w:bookmarkStart w:id="21" w:name="_Toc204251881"/>
      <w:r w:rsidRPr="008E7073">
        <w:rPr>
          <w:rFonts w:cs="Arial"/>
        </w:rPr>
        <w:lastRenderedPageBreak/>
        <w:t>Low Volume, Highly Complex Care</w:t>
      </w:r>
      <w:bookmarkEnd w:id="21"/>
    </w:p>
    <w:p w14:paraId="48239FFA" w14:textId="33159AB7" w:rsidR="004B520F" w:rsidRPr="00352533" w:rsidRDefault="004B520F" w:rsidP="004B520F">
      <w:pPr>
        <w:pStyle w:val="Body"/>
        <w:rPr>
          <w:rFonts w:cs="Arial"/>
          <w:szCs w:val="21"/>
        </w:rPr>
      </w:pPr>
      <w:r w:rsidRPr="00352533">
        <w:rPr>
          <w:rFonts w:cs="Arial"/>
          <w:szCs w:val="21"/>
        </w:rPr>
        <w:t xml:space="preserve">Victoria’s very low volume, highly complex therapies and interventions are necessarily concentrated into a limited number of designated health service sites to ensure that these services are provided in a consistent, high quality, safe and sustainable manner.  </w:t>
      </w:r>
    </w:p>
    <w:p w14:paraId="19BD18C2" w14:textId="77777777" w:rsidR="004B520F" w:rsidRPr="00352533" w:rsidRDefault="004B520F" w:rsidP="004B520F">
      <w:pPr>
        <w:pStyle w:val="Body"/>
        <w:rPr>
          <w:rFonts w:cs="Arial"/>
          <w:szCs w:val="21"/>
        </w:rPr>
      </w:pPr>
      <w:r w:rsidRPr="00352533">
        <w:rPr>
          <w:rFonts w:cs="Arial"/>
          <w:szCs w:val="21"/>
        </w:rPr>
        <w:t xml:space="preserve">The health service sites that provide these therapies and interventions uniquely possess concentrated workforce expertise and are often leaders in clinical practice and research within their field. In Victoria, examples of services which have been </w:t>
      </w:r>
      <w:bookmarkStart w:id="22" w:name="_Int_D2WikPu5"/>
      <w:r w:rsidRPr="00352533">
        <w:rPr>
          <w:rFonts w:cs="Arial"/>
          <w:szCs w:val="21"/>
        </w:rPr>
        <w:t>designated</w:t>
      </w:r>
      <w:bookmarkEnd w:id="22"/>
      <w:r w:rsidRPr="00352533">
        <w:rPr>
          <w:rFonts w:cs="Arial"/>
          <w:szCs w:val="21"/>
        </w:rPr>
        <w:t xml:space="preserve"> by the Department of Health and Nationally Funded Centres to a limited number of sites include</w:t>
      </w:r>
      <w:r w:rsidRPr="008E7073">
        <w:rPr>
          <w:rFonts w:cs="Arial"/>
        </w:rPr>
        <w:t xml:space="preserve"> </w:t>
      </w:r>
      <w:r w:rsidRPr="00352533">
        <w:rPr>
          <w:rFonts w:cs="Arial"/>
          <w:szCs w:val="21"/>
        </w:rPr>
        <w:t xml:space="preserve">major trauma services, transplants and complex spinal cord services. </w:t>
      </w:r>
    </w:p>
    <w:p w14:paraId="066B8347" w14:textId="77777777" w:rsidR="004B520F" w:rsidRPr="00352533" w:rsidRDefault="004B520F" w:rsidP="004B520F">
      <w:pPr>
        <w:pStyle w:val="Body"/>
        <w:rPr>
          <w:rFonts w:cs="Arial"/>
          <w:szCs w:val="21"/>
        </w:rPr>
      </w:pPr>
      <w:r w:rsidRPr="00352533">
        <w:rPr>
          <w:rFonts w:cs="Arial"/>
          <w:szCs w:val="21"/>
        </w:rPr>
        <w:t>A detailed (not fully exhaustive) list of low volume, highly complex services that are currently delivered by specific health service sites in Victoria is provided in Appendix 2.</w:t>
      </w:r>
    </w:p>
    <w:p w14:paraId="6597E221" w14:textId="77777777" w:rsidR="004B520F" w:rsidRPr="00352533" w:rsidRDefault="004B520F" w:rsidP="004B520F">
      <w:pPr>
        <w:pStyle w:val="Body"/>
        <w:rPr>
          <w:rFonts w:cs="Arial"/>
          <w:szCs w:val="21"/>
        </w:rPr>
      </w:pPr>
      <w:r w:rsidRPr="00352533">
        <w:rPr>
          <w:rFonts w:cs="Arial"/>
          <w:szCs w:val="21"/>
        </w:rPr>
        <w:t>The Health Services Plan recommended that a consistent assessment and review process be implemented to optimise the delivery of low volume, highly complex services, support clinical excellence, access and sustainability. An advisory committee has been established to undertake these reviews on a regular basis</w:t>
      </w:r>
      <w:r w:rsidRPr="00352533">
        <w:rPr>
          <w:rStyle w:val="FootnoteReference"/>
          <w:rFonts w:cs="Arial"/>
          <w:szCs w:val="21"/>
        </w:rPr>
        <w:footnoteReference w:id="7"/>
      </w:r>
      <w:r w:rsidRPr="00352533">
        <w:rPr>
          <w:rFonts w:cs="Arial"/>
          <w:szCs w:val="21"/>
        </w:rPr>
        <w:t>. The committee is undertaking a work program of reviewing current low volume, highly complex services and will also review novel services as they emerge in Victoria.</w:t>
      </w:r>
    </w:p>
    <w:p w14:paraId="1A55B3FC" w14:textId="358C24F1" w:rsidR="002B5AC4" w:rsidRPr="008E7073" w:rsidRDefault="002B5AC4" w:rsidP="002B5AC4">
      <w:pPr>
        <w:pStyle w:val="Heading3"/>
        <w:rPr>
          <w:rFonts w:cs="Arial"/>
          <w:b/>
        </w:rPr>
      </w:pPr>
      <w:bookmarkStart w:id="23" w:name="_Toc204251882"/>
      <w:r w:rsidRPr="008E7073">
        <w:rPr>
          <w:rFonts w:cs="Arial"/>
        </w:rPr>
        <w:t>Health Service Site Roles</w:t>
      </w:r>
      <w:bookmarkEnd w:id="23"/>
    </w:p>
    <w:p w14:paraId="0C173835" w14:textId="77777777" w:rsidR="002B5AC4" w:rsidRPr="00352533" w:rsidRDefault="002B5AC4" w:rsidP="002B5AC4">
      <w:pPr>
        <w:pStyle w:val="Body"/>
        <w:rPr>
          <w:rFonts w:cs="Arial"/>
          <w:szCs w:val="21"/>
        </w:rPr>
      </w:pPr>
      <w:r w:rsidRPr="00352533">
        <w:rPr>
          <w:rFonts w:cs="Arial"/>
          <w:szCs w:val="21"/>
        </w:rPr>
        <w:t>Collectively, these three core components support the identification and assignment of health service sites to a range of system roles based on their common characteristics.</w:t>
      </w:r>
    </w:p>
    <w:p w14:paraId="71D3FBFA" w14:textId="77777777" w:rsidR="002B5AC4" w:rsidRPr="00352533" w:rsidRDefault="002B5AC4" w:rsidP="002B5AC4">
      <w:pPr>
        <w:pStyle w:val="Body"/>
        <w:rPr>
          <w:rFonts w:cs="Arial"/>
          <w:szCs w:val="21"/>
        </w:rPr>
      </w:pPr>
      <w:r w:rsidRPr="00352533">
        <w:rPr>
          <w:rFonts w:cs="Arial"/>
          <w:szCs w:val="21"/>
        </w:rPr>
        <w:t xml:space="preserve">Seven roles are identified using the three core components, describing a range of health service sites that deliver a broad range of services to all Victorian communities. These seven roles are distinguished by similarities in peer characteristics and clinical stream capability levels (where known) for each health service site as well as the number of low volume, highly complex services that they deliver. </w:t>
      </w:r>
    </w:p>
    <w:p w14:paraId="6C76A4E5" w14:textId="77777777" w:rsidR="002B5AC4" w:rsidRPr="00352533" w:rsidRDefault="002B5AC4" w:rsidP="002B5AC4">
      <w:pPr>
        <w:pStyle w:val="Body"/>
        <w:rPr>
          <w:rFonts w:cs="Arial"/>
          <w:szCs w:val="21"/>
        </w:rPr>
      </w:pPr>
      <w:r w:rsidRPr="00352533">
        <w:rPr>
          <w:rFonts w:cs="Arial"/>
          <w:szCs w:val="21"/>
        </w:rPr>
        <w:t>These seven site roles are outlined in Table 1.</w:t>
      </w:r>
    </w:p>
    <w:p w14:paraId="38CE1EB1" w14:textId="77777777" w:rsidR="00E66F76" w:rsidRDefault="00E66F76">
      <w:pPr>
        <w:spacing w:after="0" w:line="240" w:lineRule="auto"/>
        <w:rPr>
          <w:rFonts w:cs="Arial"/>
          <w:b/>
          <w:bCs/>
          <w:color w:val="000000" w:themeColor="text1"/>
          <w:szCs w:val="21"/>
        </w:rPr>
      </w:pPr>
      <w:r>
        <w:rPr>
          <w:rFonts w:cs="Arial"/>
          <w:b/>
          <w:bCs/>
          <w:i/>
          <w:iCs/>
          <w:color w:val="000000" w:themeColor="text1"/>
          <w:szCs w:val="21"/>
        </w:rPr>
        <w:br w:type="page"/>
      </w:r>
    </w:p>
    <w:p w14:paraId="784E61EA" w14:textId="33A41533" w:rsidR="002B5AC4" w:rsidRPr="00352533" w:rsidRDefault="002B5AC4" w:rsidP="002B5AC4">
      <w:pPr>
        <w:pStyle w:val="Caption"/>
        <w:keepNext/>
        <w:keepLines/>
        <w:rPr>
          <w:rFonts w:cs="Arial"/>
          <w:b/>
          <w:bCs/>
          <w:i w:val="0"/>
          <w:iCs w:val="0"/>
          <w:color w:val="000000" w:themeColor="text1"/>
          <w:sz w:val="21"/>
          <w:szCs w:val="21"/>
        </w:rPr>
      </w:pPr>
      <w:r w:rsidRPr="00352533">
        <w:rPr>
          <w:rFonts w:cs="Arial"/>
          <w:b/>
          <w:bCs/>
          <w:i w:val="0"/>
          <w:iCs w:val="0"/>
          <w:color w:val="000000" w:themeColor="text1"/>
          <w:sz w:val="21"/>
          <w:szCs w:val="21"/>
        </w:rPr>
        <w:lastRenderedPageBreak/>
        <w:t xml:space="preserve">Table </w:t>
      </w:r>
      <w:r w:rsidRPr="00352533">
        <w:rPr>
          <w:rFonts w:cs="Arial"/>
          <w:b/>
          <w:bCs/>
          <w:i w:val="0"/>
          <w:iCs w:val="0"/>
          <w:color w:val="000000" w:themeColor="text1"/>
          <w:sz w:val="21"/>
          <w:szCs w:val="21"/>
        </w:rPr>
        <w:fldChar w:fldCharType="begin"/>
      </w:r>
      <w:r w:rsidRPr="00352533">
        <w:rPr>
          <w:rFonts w:cs="Arial"/>
          <w:b/>
          <w:bCs/>
          <w:i w:val="0"/>
          <w:iCs w:val="0"/>
          <w:color w:val="000000" w:themeColor="text1"/>
          <w:sz w:val="21"/>
          <w:szCs w:val="21"/>
        </w:rPr>
        <w:instrText>SEQ Table \* ARABIC</w:instrText>
      </w:r>
      <w:r w:rsidRPr="00352533">
        <w:rPr>
          <w:rFonts w:cs="Arial"/>
          <w:b/>
          <w:bCs/>
          <w:i w:val="0"/>
          <w:iCs w:val="0"/>
          <w:color w:val="000000" w:themeColor="text1"/>
          <w:sz w:val="21"/>
          <w:szCs w:val="21"/>
        </w:rPr>
        <w:fldChar w:fldCharType="separate"/>
      </w:r>
      <w:r w:rsidRPr="00352533">
        <w:rPr>
          <w:rFonts w:cs="Arial"/>
          <w:b/>
          <w:bCs/>
          <w:i w:val="0"/>
          <w:iCs w:val="0"/>
          <w:noProof/>
          <w:color w:val="000000" w:themeColor="text1"/>
          <w:sz w:val="21"/>
          <w:szCs w:val="21"/>
        </w:rPr>
        <w:t>1</w:t>
      </w:r>
      <w:r w:rsidRPr="00352533">
        <w:rPr>
          <w:rFonts w:cs="Arial"/>
          <w:b/>
          <w:bCs/>
          <w:i w:val="0"/>
          <w:iCs w:val="0"/>
          <w:color w:val="000000" w:themeColor="text1"/>
          <w:sz w:val="21"/>
          <w:szCs w:val="21"/>
        </w:rPr>
        <w:fldChar w:fldCharType="end"/>
      </w:r>
      <w:r w:rsidRPr="00352533">
        <w:rPr>
          <w:rFonts w:cs="Arial"/>
          <w:b/>
          <w:bCs/>
          <w:i w:val="0"/>
          <w:iCs w:val="0"/>
          <w:color w:val="000000" w:themeColor="text1"/>
          <w:sz w:val="21"/>
          <w:szCs w:val="21"/>
        </w:rPr>
        <w:t xml:space="preserve"> Roles providing a broad range of services to all Victorian communities</w:t>
      </w:r>
    </w:p>
    <w:tbl>
      <w:tblPr>
        <w:tblStyle w:val="TableGrid"/>
        <w:tblW w:w="9413" w:type="dxa"/>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6A0" w:firstRow="1" w:lastRow="0" w:firstColumn="1" w:lastColumn="0" w:noHBand="1" w:noVBand="1"/>
      </w:tblPr>
      <w:tblGrid>
        <w:gridCol w:w="2552"/>
        <w:gridCol w:w="3721"/>
        <w:gridCol w:w="3140"/>
      </w:tblGrid>
      <w:tr w:rsidR="00C059C3" w:rsidRPr="008E7073" w14:paraId="0FC5173C" w14:textId="77777777" w:rsidTr="00E1058F">
        <w:trPr>
          <w:trHeight w:val="487"/>
          <w:tblHeader/>
        </w:trPr>
        <w:tc>
          <w:tcPr>
            <w:tcW w:w="2552" w:type="dxa"/>
            <w:shd w:val="clear" w:color="auto" w:fill="31849B" w:themeFill="accent5" w:themeFillShade="BF"/>
            <w:vAlign w:val="center"/>
          </w:tcPr>
          <w:p w14:paraId="5646631B" w14:textId="6507D830" w:rsidR="00C059C3" w:rsidRPr="00D46D51" w:rsidRDefault="00C059C3" w:rsidP="00E1058F">
            <w:pPr>
              <w:pStyle w:val="Tablecolhead"/>
              <w:rPr>
                <w:rFonts w:cs="Arial"/>
                <w:color w:val="FFFFFF" w:themeColor="background1"/>
              </w:rPr>
            </w:pPr>
            <w:r w:rsidRPr="00D46D51">
              <w:rPr>
                <w:rFonts w:cs="Arial"/>
                <w:color w:val="FFFFFF" w:themeColor="background1"/>
              </w:rPr>
              <w:t xml:space="preserve">Role </w:t>
            </w:r>
          </w:p>
        </w:tc>
        <w:tc>
          <w:tcPr>
            <w:tcW w:w="3721" w:type="dxa"/>
            <w:shd w:val="clear" w:color="auto" w:fill="31849B" w:themeFill="accent5" w:themeFillShade="BF"/>
            <w:vAlign w:val="center"/>
          </w:tcPr>
          <w:p w14:paraId="6554E723" w14:textId="4728DF5A" w:rsidR="00C059C3" w:rsidRPr="00D46D51" w:rsidRDefault="00C059C3" w:rsidP="00E1058F">
            <w:pPr>
              <w:pStyle w:val="Tablecolhead"/>
              <w:rPr>
                <w:rFonts w:cs="Arial"/>
                <w:color w:val="FFFFFF" w:themeColor="background1"/>
              </w:rPr>
            </w:pPr>
            <w:r w:rsidRPr="00D46D51">
              <w:rPr>
                <w:rFonts w:cs="Arial"/>
                <w:color w:val="FFFFFF" w:themeColor="background1"/>
              </w:rPr>
              <w:t xml:space="preserve">Type and Volume of Care </w:t>
            </w:r>
          </w:p>
        </w:tc>
        <w:tc>
          <w:tcPr>
            <w:tcW w:w="3140" w:type="dxa"/>
            <w:shd w:val="clear" w:color="auto" w:fill="31849B" w:themeFill="accent5" w:themeFillShade="BF"/>
            <w:vAlign w:val="center"/>
          </w:tcPr>
          <w:p w14:paraId="05340BE0" w14:textId="76E906BF" w:rsidR="00C059C3" w:rsidRPr="00D46D51" w:rsidRDefault="00C059C3" w:rsidP="00E1058F">
            <w:pPr>
              <w:pStyle w:val="Tablecolhead"/>
              <w:rPr>
                <w:rFonts w:cs="Arial"/>
                <w:color w:val="FFFFFF" w:themeColor="background1"/>
              </w:rPr>
            </w:pPr>
            <w:r w:rsidRPr="00D46D51">
              <w:rPr>
                <w:rFonts w:cs="Arial"/>
                <w:color w:val="FFFFFF" w:themeColor="background1"/>
              </w:rPr>
              <w:t xml:space="preserve">Types of Communities Serviced </w:t>
            </w:r>
          </w:p>
        </w:tc>
      </w:tr>
      <w:tr w:rsidR="00C059C3" w:rsidRPr="008E7073" w14:paraId="2CD80318" w14:textId="77777777" w:rsidTr="003A22B8">
        <w:trPr>
          <w:trHeight w:val="787"/>
        </w:trPr>
        <w:tc>
          <w:tcPr>
            <w:tcW w:w="2552" w:type="dxa"/>
          </w:tcPr>
          <w:p w14:paraId="35B6B996" w14:textId="25E23908" w:rsidR="00C059C3" w:rsidRPr="008E7073" w:rsidRDefault="00C059C3" w:rsidP="00AB5033">
            <w:pPr>
              <w:pStyle w:val="Tabletext"/>
              <w:rPr>
                <w:rFonts w:cs="Arial"/>
              </w:rPr>
            </w:pPr>
            <w:r w:rsidRPr="008E7073">
              <w:rPr>
                <w:rFonts w:cs="Arial"/>
              </w:rPr>
              <w:t xml:space="preserve">Small Hospitals &amp; </w:t>
            </w:r>
            <w:r w:rsidR="00B15866" w:rsidRPr="008E7073">
              <w:rPr>
                <w:rFonts w:cs="Arial"/>
              </w:rPr>
              <w:t>H</w:t>
            </w:r>
            <w:r w:rsidRPr="008E7073">
              <w:rPr>
                <w:rFonts w:cs="Arial"/>
              </w:rPr>
              <w:t xml:space="preserve">ealth Centres </w:t>
            </w:r>
          </w:p>
        </w:tc>
        <w:tc>
          <w:tcPr>
            <w:tcW w:w="3721" w:type="dxa"/>
          </w:tcPr>
          <w:p w14:paraId="4F901242" w14:textId="4B78399C" w:rsidR="00C059C3" w:rsidRPr="008E7073" w:rsidRDefault="00C059C3" w:rsidP="00AB5033">
            <w:pPr>
              <w:pStyle w:val="Tabletext"/>
              <w:rPr>
                <w:rFonts w:cs="Arial"/>
              </w:rPr>
            </w:pPr>
            <w:r w:rsidRPr="008E7073">
              <w:rPr>
                <w:rFonts w:cs="Arial"/>
              </w:rPr>
              <w:t xml:space="preserve">Strong focus on primary, community &amp; aged care; low volumes of acute care </w:t>
            </w:r>
          </w:p>
        </w:tc>
        <w:tc>
          <w:tcPr>
            <w:tcW w:w="3140" w:type="dxa"/>
          </w:tcPr>
          <w:p w14:paraId="1566744A" w14:textId="0972F0D2" w:rsidR="00C059C3" w:rsidRPr="008E7073" w:rsidRDefault="00AE62F9" w:rsidP="00AB5033">
            <w:pPr>
              <w:pStyle w:val="Tablebullet2"/>
              <w:numPr>
                <w:ilvl w:val="0"/>
                <w:numId w:val="0"/>
              </w:numPr>
              <w:rPr>
                <w:rFonts w:cs="Arial"/>
              </w:rPr>
            </w:pPr>
            <w:r>
              <w:rPr>
                <w:rFonts w:cs="Arial"/>
              </w:rPr>
              <w:t>Small or i</w:t>
            </w:r>
            <w:r w:rsidR="00FC0141" w:rsidRPr="008E7073">
              <w:rPr>
                <w:rFonts w:cs="Arial"/>
              </w:rPr>
              <w:t xml:space="preserve">solated communities in rural Victoria </w:t>
            </w:r>
          </w:p>
        </w:tc>
      </w:tr>
      <w:tr w:rsidR="00C059C3" w:rsidRPr="008E7073" w14:paraId="41D13F72" w14:textId="77777777" w:rsidTr="003A22B8">
        <w:trPr>
          <w:trHeight w:val="849"/>
        </w:trPr>
        <w:tc>
          <w:tcPr>
            <w:tcW w:w="2552" w:type="dxa"/>
          </w:tcPr>
          <w:p w14:paraId="75FB6DAE" w14:textId="0FFACA15" w:rsidR="00C059C3" w:rsidRPr="008E7073" w:rsidRDefault="00FC0141" w:rsidP="00AB5033">
            <w:pPr>
              <w:pStyle w:val="Tabletext6pt"/>
              <w:rPr>
                <w:rFonts w:cs="Arial"/>
              </w:rPr>
            </w:pPr>
            <w:r w:rsidRPr="008E7073">
              <w:rPr>
                <w:rFonts w:cs="Arial"/>
              </w:rPr>
              <w:t xml:space="preserve">District &amp; Community Hospitals </w:t>
            </w:r>
          </w:p>
        </w:tc>
        <w:tc>
          <w:tcPr>
            <w:tcW w:w="3721" w:type="dxa"/>
          </w:tcPr>
          <w:p w14:paraId="5B4141F9" w14:textId="629C8736" w:rsidR="00C059C3" w:rsidRPr="008E7073" w:rsidRDefault="00FC0141" w:rsidP="00AB5033">
            <w:pPr>
              <w:pStyle w:val="Tabletext6pt"/>
              <w:rPr>
                <w:rFonts w:cs="Arial"/>
              </w:rPr>
            </w:pPr>
            <w:r w:rsidRPr="008E7073">
              <w:rPr>
                <w:rFonts w:cs="Arial"/>
              </w:rPr>
              <w:t>Strong focus on primary</w:t>
            </w:r>
            <w:r w:rsidR="009D7E1B" w:rsidRPr="008E7073">
              <w:rPr>
                <w:rFonts w:cs="Arial"/>
              </w:rPr>
              <w:t>, community and aged care</w:t>
            </w:r>
            <w:r w:rsidR="00E27891" w:rsidRPr="008E7073">
              <w:rPr>
                <w:rFonts w:cs="Arial"/>
              </w:rPr>
              <w:t xml:space="preserve">; low to moderate volumes of acute care </w:t>
            </w:r>
            <w:r w:rsidR="00C059C3" w:rsidRPr="008E7073">
              <w:rPr>
                <w:rFonts w:cs="Arial"/>
              </w:rPr>
              <w:t xml:space="preserve"> </w:t>
            </w:r>
          </w:p>
        </w:tc>
        <w:tc>
          <w:tcPr>
            <w:tcW w:w="3140" w:type="dxa"/>
          </w:tcPr>
          <w:p w14:paraId="433C03F6" w14:textId="17A36435" w:rsidR="00C059C3" w:rsidRPr="008E7073" w:rsidRDefault="00E27891" w:rsidP="00AB5033">
            <w:pPr>
              <w:pStyle w:val="Tablebullet2"/>
              <w:numPr>
                <w:ilvl w:val="0"/>
                <w:numId w:val="0"/>
              </w:numPr>
              <w:rPr>
                <w:rFonts w:cs="Arial"/>
              </w:rPr>
            </w:pPr>
            <w:r w:rsidRPr="008E7073">
              <w:rPr>
                <w:rFonts w:cs="Arial"/>
              </w:rPr>
              <w:t xml:space="preserve">Ranges from </w:t>
            </w:r>
            <w:r w:rsidR="009A07AE" w:rsidRPr="008E7073">
              <w:rPr>
                <w:rFonts w:cs="Arial"/>
              </w:rPr>
              <w:t xml:space="preserve">remote communities in rural Victoria to </w:t>
            </w:r>
            <w:r w:rsidR="00E55BE0" w:rsidRPr="008E7073">
              <w:rPr>
                <w:rFonts w:cs="Arial"/>
              </w:rPr>
              <w:t xml:space="preserve">suburbs in metro areas </w:t>
            </w:r>
          </w:p>
        </w:tc>
      </w:tr>
      <w:tr w:rsidR="00FC0141" w:rsidRPr="008E7073" w14:paraId="62933302" w14:textId="77777777" w:rsidTr="003A22B8">
        <w:trPr>
          <w:trHeight w:val="849"/>
        </w:trPr>
        <w:tc>
          <w:tcPr>
            <w:tcW w:w="2552" w:type="dxa"/>
          </w:tcPr>
          <w:p w14:paraId="226B55BF" w14:textId="6F3011E2" w:rsidR="00FC0141" w:rsidRPr="008E7073" w:rsidRDefault="00E55BE0" w:rsidP="00AB5033">
            <w:pPr>
              <w:pStyle w:val="Tabletext6pt"/>
              <w:rPr>
                <w:rFonts w:cs="Arial"/>
              </w:rPr>
            </w:pPr>
            <w:r w:rsidRPr="008E7073">
              <w:rPr>
                <w:rFonts w:cs="Arial"/>
              </w:rPr>
              <w:t xml:space="preserve">General Hospitals </w:t>
            </w:r>
          </w:p>
        </w:tc>
        <w:tc>
          <w:tcPr>
            <w:tcW w:w="3721" w:type="dxa"/>
          </w:tcPr>
          <w:p w14:paraId="0AC53FC8" w14:textId="0B896B48" w:rsidR="00FC0141" w:rsidRPr="008E7073" w:rsidRDefault="0060332E" w:rsidP="00AB5033">
            <w:pPr>
              <w:pStyle w:val="Tabletext6pt"/>
              <w:rPr>
                <w:rFonts w:cs="Arial"/>
              </w:rPr>
            </w:pPr>
            <w:r w:rsidRPr="008E7073">
              <w:rPr>
                <w:rFonts w:cs="Arial"/>
              </w:rPr>
              <w:t xml:space="preserve">Moderate volumes of acute care across general medicine and surgery and </w:t>
            </w:r>
            <w:r w:rsidR="00310293" w:rsidRPr="008E7073">
              <w:rPr>
                <w:rFonts w:cs="Arial"/>
              </w:rPr>
              <w:t>s</w:t>
            </w:r>
            <w:r w:rsidRPr="008E7073">
              <w:rPr>
                <w:rFonts w:cs="Arial"/>
              </w:rPr>
              <w:t xml:space="preserve">ome sub-specialties </w:t>
            </w:r>
          </w:p>
        </w:tc>
        <w:tc>
          <w:tcPr>
            <w:tcW w:w="3140" w:type="dxa"/>
          </w:tcPr>
          <w:p w14:paraId="4C2C8265" w14:textId="5E769ED1" w:rsidR="00FC0141" w:rsidRPr="008E7073" w:rsidRDefault="0060332E" w:rsidP="00AB5033">
            <w:pPr>
              <w:pStyle w:val="Tablebullet1"/>
              <w:numPr>
                <w:ilvl w:val="0"/>
                <w:numId w:val="0"/>
              </w:numPr>
              <w:rPr>
                <w:rFonts w:cs="Arial"/>
              </w:rPr>
            </w:pPr>
            <w:r w:rsidRPr="008E7073">
              <w:rPr>
                <w:rFonts w:cs="Arial"/>
              </w:rPr>
              <w:t>Ranges from outer sub-regions and towns in regional Vict</w:t>
            </w:r>
            <w:r w:rsidR="00AB5033" w:rsidRPr="008E7073">
              <w:rPr>
                <w:rFonts w:cs="Arial"/>
              </w:rPr>
              <w:t xml:space="preserve">oria to suburbs of metro areas </w:t>
            </w:r>
          </w:p>
        </w:tc>
      </w:tr>
      <w:tr w:rsidR="00FC0141" w:rsidRPr="008E7073" w14:paraId="4EB1255F" w14:textId="77777777" w:rsidTr="003A22B8">
        <w:trPr>
          <w:trHeight w:val="849"/>
        </w:trPr>
        <w:tc>
          <w:tcPr>
            <w:tcW w:w="2552" w:type="dxa"/>
          </w:tcPr>
          <w:p w14:paraId="72ED0163" w14:textId="0B8D8BA7" w:rsidR="00FC0141" w:rsidRPr="008E7073" w:rsidRDefault="00ED3B87" w:rsidP="00AB5033">
            <w:pPr>
              <w:pStyle w:val="Tabletext6pt"/>
              <w:rPr>
                <w:rFonts w:cs="Arial"/>
              </w:rPr>
            </w:pPr>
            <w:r w:rsidRPr="008E7073">
              <w:rPr>
                <w:rFonts w:cs="Arial"/>
              </w:rPr>
              <w:t xml:space="preserve">Major Hospitals </w:t>
            </w:r>
          </w:p>
        </w:tc>
        <w:tc>
          <w:tcPr>
            <w:tcW w:w="3721" w:type="dxa"/>
          </w:tcPr>
          <w:p w14:paraId="095B1F64" w14:textId="1B6359F4" w:rsidR="00FC0141" w:rsidRPr="008E7073" w:rsidRDefault="00236846" w:rsidP="00AB5033">
            <w:pPr>
              <w:pStyle w:val="Tabletext6pt"/>
              <w:rPr>
                <w:rFonts w:cs="Arial"/>
              </w:rPr>
            </w:pPr>
            <w:r w:rsidRPr="008E7073">
              <w:rPr>
                <w:rFonts w:cs="Arial"/>
              </w:rPr>
              <w:t xml:space="preserve">Moderate – high volumes of </w:t>
            </w:r>
            <w:r w:rsidR="00C66C03" w:rsidRPr="008E7073">
              <w:rPr>
                <w:rFonts w:cs="Arial"/>
              </w:rPr>
              <w:t>divers</w:t>
            </w:r>
            <w:r w:rsidR="005412E8" w:rsidRPr="008E7073">
              <w:rPr>
                <w:rFonts w:cs="Arial"/>
              </w:rPr>
              <w:t xml:space="preserve">e acute care across several sub-specialties </w:t>
            </w:r>
          </w:p>
        </w:tc>
        <w:tc>
          <w:tcPr>
            <w:tcW w:w="3140" w:type="dxa"/>
          </w:tcPr>
          <w:p w14:paraId="07CFEC83" w14:textId="3DA428DC" w:rsidR="00FC0141" w:rsidRPr="008E7073" w:rsidRDefault="005412E8" w:rsidP="005412E8">
            <w:pPr>
              <w:pStyle w:val="Tablebullet1"/>
              <w:numPr>
                <w:ilvl w:val="0"/>
                <w:numId w:val="0"/>
              </w:numPr>
              <w:rPr>
                <w:rFonts w:cs="Arial"/>
              </w:rPr>
            </w:pPr>
            <w:r w:rsidRPr="008E7073">
              <w:rPr>
                <w:rFonts w:cs="Arial"/>
              </w:rPr>
              <w:t xml:space="preserve">Large sub-regional or urban communities </w:t>
            </w:r>
          </w:p>
        </w:tc>
      </w:tr>
      <w:tr w:rsidR="00FC0141" w:rsidRPr="008E7073" w14:paraId="29D2E0F7" w14:textId="77777777" w:rsidTr="003A22B8">
        <w:trPr>
          <w:trHeight w:val="849"/>
        </w:trPr>
        <w:tc>
          <w:tcPr>
            <w:tcW w:w="2552" w:type="dxa"/>
          </w:tcPr>
          <w:p w14:paraId="63A51193" w14:textId="5AFFA97E" w:rsidR="00FC0141" w:rsidRPr="008E7073" w:rsidRDefault="00ED3B87" w:rsidP="00AB5033">
            <w:pPr>
              <w:pStyle w:val="Tabletext6pt"/>
              <w:rPr>
                <w:rFonts w:cs="Arial"/>
              </w:rPr>
            </w:pPr>
            <w:r w:rsidRPr="008E7073">
              <w:rPr>
                <w:rFonts w:cs="Arial"/>
              </w:rPr>
              <w:t xml:space="preserve">Principal Hospitals </w:t>
            </w:r>
          </w:p>
        </w:tc>
        <w:tc>
          <w:tcPr>
            <w:tcW w:w="3721" w:type="dxa"/>
          </w:tcPr>
          <w:p w14:paraId="4EA01163" w14:textId="13AA3F87" w:rsidR="00FC0141" w:rsidRPr="008E7073" w:rsidRDefault="00207BBA" w:rsidP="00AB5033">
            <w:pPr>
              <w:pStyle w:val="Tabletext6pt"/>
              <w:rPr>
                <w:rFonts w:cs="Arial"/>
              </w:rPr>
            </w:pPr>
            <w:r w:rsidRPr="008E7073">
              <w:rPr>
                <w:rFonts w:cs="Arial"/>
              </w:rPr>
              <w:t>High volumes of very diverse acute care across most sub-spec</w:t>
            </w:r>
            <w:r w:rsidR="001920DD" w:rsidRPr="008E7073">
              <w:rPr>
                <w:rFonts w:cs="Arial"/>
              </w:rPr>
              <w:t xml:space="preserve">ialties </w:t>
            </w:r>
          </w:p>
        </w:tc>
        <w:tc>
          <w:tcPr>
            <w:tcW w:w="3140" w:type="dxa"/>
          </w:tcPr>
          <w:p w14:paraId="6DC7ECC3" w14:textId="5C73F331" w:rsidR="00FC0141" w:rsidRPr="008E7073" w:rsidRDefault="001920DD" w:rsidP="00865149">
            <w:pPr>
              <w:pStyle w:val="Tablebullet1"/>
              <w:numPr>
                <w:ilvl w:val="0"/>
                <w:numId w:val="0"/>
              </w:numPr>
              <w:rPr>
                <w:rFonts w:cs="Arial"/>
              </w:rPr>
            </w:pPr>
            <w:r w:rsidRPr="008E7073">
              <w:rPr>
                <w:rFonts w:cs="Arial"/>
              </w:rPr>
              <w:t xml:space="preserve">Metro growth areas, major suburban areas, &amp; major regions in regional Victoria </w:t>
            </w:r>
          </w:p>
        </w:tc>
      </w:tr>
      <w:tr w:rsidR="00FC0141" w:rsidRPr="008E7073" w14:paraId="11086513" w14:textId="77777777" w:rsidTr="003A22B8">
        <w:trPr>
          <w:trHeight w:val="849"/>
        </w:trPr>
        <w:tc>
          <w:tcPr>
            <w:tcW w:w="2552" w:type="dxa"/>
          </w:tcPr>
          <w:p w14:paraId="67F0A2FD" w14:textId="660DB82C" w:rsidR="00FC0141" w:rsidRPr="008E7073" w:rsidRDefault="001A6952" w:rsidP="00AB5033">
            <w:pPr>
              <w:pStyle w:val="Tabletext6pt"/>
              <w:rPr>
                <w:rFonts w:cs="Arial"/>
              </w:rPr>
            </w:pPr>
            <w:r>
              <w:rPr>
                <w:rFonts w:cs="Arial"/>
              </w:rPr>
              <w:t>Regional Tertiary</w:t>
            </w:r>
            <w:r w:rsidR="00ED3B87" w:rsidRPr="008E7073">
              <w:rPr>
                <w:rFonts w:cs="Arial"/>
              </w:rPr>
              <w:t xml:space="preserve"> Hospitals</w:t>
            </w:r>
          </w:p>
        </w:tc>
        <w:tc>
          <w:tcPr>
            <w:tcW w:w="3721" w:type="dxa"/>
          </w:tcPr>
          <w:p w14:paraId="15A9B0A2" w14:textId="001CA633" w:rsidR="00FC0141" w:rsidRPr="008E7073" w:rsidRDefault="00FA4A29" w:rsidP="00AB5033">
            <w:pPr>
              <w:pStyle w:val="Tabletext6pt"/>
              <w:rPr>
                <w:rFonts w:cs="Arial"/>
              </w:rPr>
            </w:pPr>
            <w:r w:rsidRPr="008E7073">
              <w:rPr>
                <w:rFonts w:cs="Arial"/>
              </w:rPr>
              <w:t>High volumes of very diverse acute care across most sub-specialties</w:t>
            </w:r>
            <w:r w:rsidR="00865149" w:rsidRPr="008E7073">
              <w:rPr>
                <w:rFonts w:cs="Arial"/>
              </w:rPr>
              <w:t xml:space="preserve"> including </w:t>
            </w:r>
            <w:r w:rsidR="00887869">
              <w:rPr>
                <w:rFonts w:cs="Arial"/>
              </w:rPr>
              <w:t>highly complex care</w:t>
            </w:r>
          </w:p>
        </w:tc>
        <w:tc>
          <w:tcPr>
            <w:tcW w:w="3140" w:type="dxa"/>
          </w:tcPr>
          <w:p w14:paraId="29E9FFD5" w14:textId="61DD7A55" w:rsidR="00FC0141" w:rsidRPr="008E7073" w:rsidRDefault="00865149" w:rsidP="00865149">
            <w:pPr>
              <w:pStyle w:val="Tablebullet1"/>
              <w:numPr>
                <w:ilvl w:val="0"/>
                <w:numId w:val="0"/>
              </w:numPr>
              <w:rPr>
                <w:rFonts w:cs="Arial"/>
              </w:rPr>
            </w:pPr>
            <w:r w:rsidRPr="008E7073">
              <w:rPr>
                <w:rFonts w:cs="Arial"/>
              </w:rPr>
              <w:t xml:space="preserve">Major regions and serving multiple Local Health Service Networks </w:t>
            </w:r>
            <w:r w:rsidR="00CA7FE5">
              <w:rPr>
                <w:rFonts w:cs="Arial"/>
              </w:rPr>
              <w:t>for complex care</w:t>
            </w:r>
          </w:p>
        </w:tc>
      </w:tr>
      <w:tr w:rsidR="00ED3B87" w:rsidRPr="008E7073" w14:paraId="43B6F127" w14:textId="77777777" w:rsidTr="003A22B8">
        <w:trPr>
          <w:trHeight w:val="849"/>
        </w:trPr>
        <w:tc>
          <w:tcPr>
            <w:tcW w:w="2552" w:type="dxa"/>
          </w:tcPr>
          <w:p w14:paraId="5352A421" w14:textId="0E9ED19F" w:rsidR="00ED3B87" w:rsidRPr="008E7073" w:rsidRDefault="00ED3B87" w:rsidP="00AB5033">
            <w:pPr>
              <w:pStyle w:val="Tabletext6pt"/>
              <w:rPr>
                <w:rFonts w:cs="Arial"/>
              </w:rPr>
            </w:pPr>
            <w:r w:rsidRPr="008E7073">
              <w:rPr>
                <w:rFonts w:cs="Arial"/>
              </w:rPr>
              <w:t xml:space="preserve">Tertiary Hospitals </w:t>
            </w:r>
          </w:p>
        </w:tc>
        <w:tc>
          <w:tcPr>
            <w:tcW w:w="3721" w:type="dxa"/>
          </w:tcPr>
          <w:p w14:paraId="246F794E" w14:textId="63CC7CF5" w:rsidR="00ED3B87" w:rsidRPr="008E7073" w:rsidRDefault="00865149" w:rsidP="00AB5033">
            <w:pPr>
              <w:pStyle w:val="Tabletext6pt"/>
              <w:rPr>
                <w:rFonts w:cs="Arial"/>
              </w:rPr>
            </w:pPr>
            <w:r w:rsidRPr="008E7073">
              <w:rPr>
                <w:rFonts w:cs="Arial"/>
              </w:rPr>
              <w:t xml:space="preserve">High volumes of the most diverse acute care, including low volume and </w:t>
            </w:r>
            <w:r w:rsidR="00E119E8">
              <w:rPr>
                <w:rFonts w:cs="Arial"/>
              </w:rPr>
              <w:t>highest</w:t>
            </w:r>
            <w:r w:rsidRPr="008E7073">
              <w:rPr>
                <w:rFonts w:cs="Arial"/>
              </w:rPr>
              <w:t xml:space="preserve"> complex care</w:t>
            </w:r>
          </w:p>
        </w:tc>
        <w:tc>
          <w:tcPr>
            <w:tcW w:w="3140" w:type="dxa"/>
          </w:tcPr>
          <w:p w14:paraId="638D6DB7" w14:textId="625CAC4A" w:rsidR="00ED3B87" w:rsidRPr="008E7073" w:rsidRDefault="00865149" w:rsidP="00865149">
            <w:pPr>
              <w:pStyle w:val="Tablebullet1"/>
              <w:numPr>
                <w:ilvl w:val="0"/>
                <w:numId w:val="0"/>
              </w:numPr>
              <w:rPr>
                <w:rFonts w:cs="Arial"/>
              </w:rPr>
            </w:pPr>
            <w:r w:rsidRPr="008E7073">
              <w:rPr>
                <w:rFonts w:cs="Arial"/>
              </w:rPr>
              <w:t>Major metropolitan Melbourne regions servic</w:t>
            </w:r>
            <w:r w:rsidR="0008376A">
              <w:rPr>
                <w:rFonts w:cs="Arial"/>
              </w:rPr>
              <w:t>ing</w:t>
            </w:r>
            <w:r w:rsidRPr="008E7073">
              <w:rPr>
                <w:rFonts w:cs="Arial"/>
              </w:rPr>
              <w:t xml:space="preserve"> statewide populations </w:t>
            </w:r>
          </w:p>
        </w:tc>
      </w:tr>
    </w:tbl>
    <w:p w14:paraId="050042EE" w14:textId="77777777" w:rsidR="002B5AC4" w:rsidRPr="008E7073" w:rsidRDefault="002B5AC4" w:rsidP="004B520F">
      <w:pPr>
        <w:pStyle w:val="Body"/>
        <w:rPr>
          <w:rFonts w:cs="Arial"/>
        </w:rPr>
      </w:pPr>
    </w:p>
    <w:p w14:paraId="0660E151" w14:textId="77777777" w:rsidR="002B5AC4" w:rsidRPr="00352533" w:rsidRDefault="002B5AC4" w:rsidP="002B5AC4">
      <w:pPr>
        <w:pStyle w:val="Body"/>
        <w:rPr>
          <w:rFonts w:cs="Arial"/>
          <w:szCs w:val="21"/>
        </w:rPr>
      </w:pPr>
      <w:r w:rsidRPr="00352533">
        <w:rPr>
          <w:rFonts w:cs="Arial"/>
          <w:szCs w:val="21"/>
        </w:rPr>
        <w:t>A further five roles have been identified that are not well distinguished by the three core components outlined above. This is because these roles are specific to health service sites that either offer targeted clinical care in a specialised area or that serve defined population cohorts.</w:t>
      </w:r>
    </w:p>
    <w:p w14:paraId="4DB08152" w14:textId="77777777" w:rsidR="002B5AC4" w:rsidRDefault="002B5AC4" w:rsidP="002B5AC4">
      <w:pPr>
        <w:pStyle w:val="Body"/>
        <w:rPr>
          <w:rFonts w:cs="Arial"/>
          <w:szCs w:val="21"/>
        </w:rPr>
      </w:pPr>
      <w:r w:rsidRPr="00352533">
        <w:rPr>
          <w:rFonts w:cs="Arial"/>
          <w:szCs w:val="21"/>
        </w:rPr>
        <w:t>These roles are described in Table 2.</w:t>
      </w:r>
    </w:p>
    <w:p w14:paraId="189EA450" w14:textId="77777777" w:rsidR="001A2398" w:rsidRPr="00352533" w:rsidRDefault="001A2398" w:rsidP="001A2398">
      <w:pPr>
        <w:pStyle w:val="Body"/>
        <w:rPr>
          <w:rFonts w:cs="Arial"/>
          <w:szCs w:val="21"/>
        </w:rPr>
      </w:pPr>
      <w:r w:rsidRPr="00352533">
        <w:rPr>
          <w:rFonts w:cs="Arial"/>
          <w:szCs w:val="21"/>
        </w:rPr>
        <w:t xml:space="preserve">Collectively, this Framework identifies and describes twelve system roles. </w:t>
      </w:r>
    </w:p>
    <w:p w14:paraId="191247EA" w14:textId="77777777" w:rsidR="001A2398" w:rsidRPr="00352533" w:rsidRDefault="001A2398" w:rsidP="001A2398">
      <w:pPr>
        <w:pStyle w:val="Body"/>
        <w:rPr>
          <w:rFonts w:cs="Arial"/>
          <w:szCs w:val="21"/>
        </w:rPr>
      </w:pPr>
      <w:r w:rsidRPr="00352533">
        <w:rPr>
          <w:rFonts w:cs="Arial"/>
          <w:szCs w:val="21"/>
        </w:rPr>
        <w:t>It is recognised that no two health service sites are identical, given that health services tailor their service profiles to the unique demographics and health needs of local populations. As such, these roles are based on common characteristics and recognise that within each role there will be nuanced variability specific to each health service site that cannot be captured within this Framework. This Framework seeks to articulate the types of roles active in the health service system and the types of care consumers can expect receive at their local health service site.</w:t>
      </w:r>
    </w:p>
    <w:p w14:paraId="6D5D8DFC" w14:textId="77777777" w:rsidR="001A2398" w:rsidRPr="00352533" w:rsidRDefault="001A2398" w:rsidP="001A2398">
      <w:pPr>
        <w:pStyle w:val="Body"/>
        <w:rPr>
          <w:rFonts w:cs="Arial"/>
          <w:szCs w:val="21"/>
        </w:rPr>
      </w:pPr>
      <w:r w:rsidRPr="00352533">
        <w:rPr>
          <w:rFonts w:cs="Arial"/>
          <w:szCs w:val="21"/>
        </w:rPr>
        <w:t xml:space="preserve">The means by which these roles are defined and assigned to health service sites is outlined in Appendix 3 and a detailed description of these roles and their key attributes is provided in Appendix 4. </w:t>
      </w:r>
    </w:p>
    <w:p w14:paraId="5A707A65" w14:textId="77777777" w:rsidR="00D46D51" w:rsidRPr="00352533" w:rsidRDefault="00D46D51" w:rsidP="002B5AC4">
      <w:pPr>
        <w:pStyle w:val="Body"/>
        <w:rPr>
          <w:rFonts w:cs="Arial"/>
          <w:szCs w:val="21"/>
        </w:rPr>
      </w:pPr>
    </w:p>
    <w:p w14:paraId="797BDAA9" w14:textId="77777777" w:rsidR="00E66F76" w:rsidRDefault="00E66F76">
      <w:pPr>
        <w:spacing w:after="0" w:line="240" w:lineRule="auto"/>
        <w:rPr>
          <w:rFonts w:cs="Arial"/>
          <w:b/>
          <w:bCs/>
          <w:color w:val="000000" w:themeColor="text1"/>
          <w:szCs w:val="21"/>
        </w:rPr>
      </w:pPr>
      <w:r>
        <w:rPr>
          <w:rFonts w:cs="Arial"/>
          <w:b/>
          <w:bCs/>
          <w:i/>
          <w:iCs/>
          <w:color w:val="000000" w:themeColor="text1"/>
          <w:szCs w:val="21"/>
        </w:rPr>
        <w:br w:type="page"/>
      </w:r>
    </w:p>
    <w:p w14:paraId="78566E21" w14:textId="567C4BFC" w:rsidR="002B5AC4" w:rsidRPr="00352533" w:rsidRDefault="002B5AC4" w:rsidP="002B5AC4">
      <w:pPr>
        <w:pStyle w:val="Caption"/>
        <w:keepNext/>
        <w:keepLines/>
        <w:rPr>
          <w:rFonts w:cs="Arial"/>
          <w:b/>
          <w:bCs/>
          <w:i w:val="0"/>
          <w:iCs w:val="0"/>
          <w:color w:val="000000" w:themeColor="text1"/>
          <w:sz w:val="21"/>
          <w:szCs w:val="21"/>
        </w:rPr>
      </w:pPr>
      <w:r w:rsidRPr="00352533">
        <w:rPr>
          <w:rFonts w:cs="Arial"/>
          <w:b/>
          <w:bCs/>
          <w:i w:val="0"/>
          <w:iCs w:val="0"/>
          <w:color w:val="000000" w:themeColor="text1"/>
          <w:sz w:val="21"/>
          <w:szCs w:val="21"/>
        </w:rPr>
        <w:lastRenderedPageBreak/>
        <w:t xml:space="preserve">Table </w:t>
      </w:r>
      <w:r w:rsidRPr="00352533">
        <w:rPr>
          <w:rFonts w:cs="Arial"/>
          <w:b/>
          <w:bCs/>
          <w:i w:val="0"/>
          <w:iCs w:val="0"/>
          <w:color w:val="000000" w:themeColor="text1"/>
          <w:sz w:val="21"/>
          <w:szCs w:val="21"/>
        </w:rPr>
        <w:fldChar w:fldCharType="begin"/>
      </w:r>
      <w:r w:rsidRPr="00352533">
        <w:rPr>
          <w:rFonts w:cs="Arial"/>
          <w:b/>
          <w:bCs/>
          <w:i w:val="0"/>
          <w:iCs w:val="0"/>
          <w:color w:val="000000" w:themeColor="text1"/>
          <w:sz w:val="21"/>
          <w:szCs w:val="21"/>
        </w:rPr>
        <w:instrText>SEQ Table \* ARABIC</w:instrText>
      </w:r>
      <w:r w:rsidRPr="00352533">
        <w:rPr>
          <w:rFonts w:cs="Arial"/>
          <w:b/>
          <w:bCs/>
          <w:i w:val="0"/>
          <w:iCs w:val="0"/>
          <w:color w:val="000000" w:themeColor="text1"/>
          <w:sz w:val="21"/>
          <w:szCs w:val="21"/>
        </w:rPr>
        <w:fldChar w:fldCharType="separate"/>
      </w:r>
      <w:r w:rsidRPr="00352533">
        <w:rPr>
          <w:rFonts w:cs="Arial"/>
          <w:b/>
          <w:bCs/>
          <w:i w:val="0"/>
          <w:iCs w:val="0"/>
          <w:noProof/>
          <w:color w:val="000000" w:themeColor="text1"/>
          <w:sz w:val="21"/>
          <w:szCs w:val="21"/>
        </w:rPr>
        <w:t>2</w:t>
      </w:r>
      <w:r w:rsidRPr="00352533">
        <w:rPr>
          <w:rFonts w:cs="Arial"/>
          <w:b/>
          <w:bCs/>
          <w:i w:val="0"/>
          <w:iCs w:val="0"/>
          <w:color w:val="000000" w:themeColor="text1"/>
          <w:sz w:val="21"/>
          <w:szCs w:val="21"/>
        </w:rPr>
        <w:fldChar w:fldCharType="end"/>
      </w:r>
      <w:r w:rsidRPr="00352533">
        <w:rPr>
          <w:rFonts w:cs="Arial"/>
          <w:b/>
          <w:bCs/>
          <w:i w:val="0"/>
          <w:iCs w:val="0"/>
          <w:color w:val="000000" w:themeColor="text1"/>
          <w:sz w:val="21"/>
          <w:szCs w:val="21"/>
        </w:rPr>
        <w:t xml:space="preserve"> Roles offering targeted clinical care in a specialised area or serving defined population cohorts</w:t>
      </w:r>
    </w:p>
    <w:tbl>
      <w:tblPr>
        <w:tblStyle w:val="TableGrid"/>
        <w:tblW w:w="9493" w:type="dxa"/>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6A0" w:firstRow="1" w:lastRow="0" w:firstColumn="1" w:lastColumn="0" w:noHBand="1" w:noVBand="1"/>
      </w:tblPr>
      <w:tblGrid>
        <w:gridCol w:w="3028"/>
        <w:gridCol w:w="3635"/>
        <w:gridCol w:w="2830"/>
      </w:tblGrid>
      <w:tr w:rsidR="00B469E4" w:rsidRPr="008E7073" w14:paraId="2AF87522" w14:textId="77777777" w:rsidTr="00E1058F">
        <w:trPr>
          <w:trHeight w:val="400"/>
          <w:tblHeader/>
        </w:trPr>
        <w:tc>
          <w:tcPr>
            <w:tcW w:w="3028" w:type="dxa"/>
            <w:shd w:val="clear" w:color="auto" w:fill="5B46A0"/>
            <w:vAlign w:val="center"/>
          </w:tcPr>
          <w:p w14:paraId="4B040222" w14:textId="2FCC26B9" w:rsidR="00B469E4" w:rsidRPr="00C71E5F" w:rsidRDefault="00B469E4" w:rsidP="00E1058F">
            <w:pPr>
              <w:pStyle w:val="Tablecolhead"/>
              <w:rPr>
                <w:rFonts w:cs="Arial"/>
                <w:color w:val="FFFFFF" w:themeColor="background1"/>
              </w:rPr>
            </w:pPr>
            <w:r w:rsidRPr="00C71E5F">
              <w:rPr>
                <w:rFonts w:cs="Arial"/>
                <w:color w:val="FFFFFF" w:themeColor="background1"/>
              </w:rPr>
              <w:t xml:space="preserve">Role </w:t>
            </w:r>
          </w:p>
        </w:tc>
        <w:tc>
          <w:tcPr>
            <w:tcW w:w="3635" w:type="dxa"/>
            <w:shd w:val="clear" w:color="auto" w:fill="5B46A0"/>
            <w:vAlign w:val="center"/>
          </w:tcPr>
          <w:p w14:paraId="73D2A213" w14:textId="4E21FD94" w:rsidR="00B469E4" w:rsidRPr="00C71E5F" w:rsidRDefault="00B469E4" w:rsidP="00E1058F">
            <w:pPr>
              <w:pStyle w:val="Tablecolhead"/>
              <w:rPr>
                <w:rFonts w:cs="Arial"/>
                <w:color w:val="FFFFFF" w:themeColor="background1"/>
              </w:rPr>
            </w:pPr>
            <w:r w:rsidRPr="00C71E5F">
              <w:rPr>
                <w:rFonts w:cs="Arial"/>
                <w:color w:val="FFFFFF" w:themeColor="background1"/>
              </w:rPr>
              <w:t xml:space="preserve">Type and Volume of Care </w:t>
            </w:r>
          </w:p>
        </w:tc>
        <w:tc>
          <w:tcPr>
            <w:tcW w:w="2830" w:type="dxa"/>
            <w:shd w:val="clear" w:color="auto" w:fill="5B46A0"/>
            <w:vAlign w:val="center"/>
          </w:tcPr>
          <w:p w14:paraId="72A096EE" w14:textId="080D73EA" w:rsidR="00B469E4" w:rsidRPr="00C71E5F" w:rsidRDefault="00B469E4" w:rsidP="00E1058F">
            <w:pPr>
              <w:pStyle w:val="Tablecolhead"/>
              <w:rPr>
                <w:rFonts w:cs="Arial"/>
                <w:color w:val="FFFFFF" w:themeColor="background1"/>
              </w:rPr>
            </w:pPr>
            <w:r w:rsidRPr="00C71E5F">
              <w:rPr>
                <w:rFonts w:cs="Arial"/>
                <w:color w:val="FFFFFF" w:themeColor="background1"/>
              </w:rPr>
              <w:t xml:space="preserve">Types of Communities Served </w:t>
            </w:r>
          </w:p>
        </w:tc>
      </w:tr>
      <w:tr w:rsidR="00B469E4" w:rsidRPr="008E7073" w14:paraId="2335BD72" w14:textId="77777777" w:rsidTr="00AF4DC4">
        <w:trPr>
          <w:trHeight w:val="740"/>
        </w:trPr>
        <w:tc>
          <w:tcPr>
            <w:tcW w:w="3028" w:type="dxa"/>
          </w:tcPr>
          <w:p w14:paraId="0BCCCC18" w14:textId="55DC0499" w:rsidR="00B469E4" w:rsidRPr="008E7073" w:rsidRDefault="00B469E4">
            <w:pPr>
              <w:pStyle w:val="Tabletext"/>
              <w:rPr>
                <w:rFonts w:cs="Arial"/>
              </w:rPr>
            </w:pPr>
            <w:r w:rsidRPr="008E7073">
              <w:rPr>
                <w:rFonts w:cs="Arial"/>
              </w:rPr>
              <w:t xml:space="preserve">Early Parenting Centres </w:t>
            </w:r>
          </w:p>
        </w:tc>
        <w:tc>
          <w:tcPr>
            <w:tcW w:w="3635" w:type="dxa"/>
          </w:tcPr>
          <w:p w14:paraId="089E5616" w14:textId="3BF96B98" w:rsidR="00B469E4" w:rsidRPr="008E7073" w:rsidRDefault="00212CE0">
            <w:pPr>
              <w:pStyle w:val="Tabletext"/>
              <w:rPr>
                <w:rFonts w:cs="Arial"/>
              </w:rPr>
            </w:pPr>
            <w:r w:rsidRPr="008E7073">
              <w:rPr>
                <w:rFonts w:cs="Arial"/>
              </w:rPr>
              <w:t xml:space="preserve">Specialist supports for families with children up to 4 years that aim to enhance the parent-child relationship </w:t>
            </w:r>
          </w:p>
        </w:tc>
        <w:tc>
          <w:tcPr>
            <w:tcW w:w="2830" w:type="dxa"/>
          </w:tcPr>
          <w:p w14:paraId="23501980" w14:textId="63DF58C5" w:rsidR="00B469E4" w:rsidRPr="008E7073" w:rsidRDefault="00212CE0" w:rsidP="00B469E4">
            <w:pPr>
              <w:pStyle w:val="Tablebullet2"/>
              <w:numPr>
                <w:ilvl w:val="0"/>
                <w:numId w:val="0"/>
              </w:numPr>
              <w:rPr>
                <w:rFonts w:cs="Arial"/>
              </w:rPr>
            </w:pPr>
            <w:r w:rsidRPr="008E7073">
              <w:rPr>
                <w:rFonts w:cs="Arial"/>
              </w:rPr>
              <w:t xml:space="preserve">Local regional or urban communities </w:t>
            </w:r>
          </w:p>
        </w:tc>
      </w:tr>
      <w:tr w:rsidR="00B469E4" w:rsidRPr="008E7073" w14:paraId="63B8D87E" w14:textId="77777777" w:rsidTr="00AF4DC4">
        <w:trPr>
          <w:trHeight w:val="809"/>
        </w:trPr>
        <w:tc>
          <w:tcPr>
            <w:tcW w:w="3028" w:type="dxa"/>
          </w:tcPr>
          <w:p w14:paraId="5FB17470" w14:textId="12179A3B" w:rsidR="00B469E4" w:rsidRPr="008E7073" w:rsidRDefault="008B18D6">
            <w:pPr>
              <w:pStyle w:val="Tabletext6pt"/>
              <w:rPr>
                <w:rFonts w:cs="Arial"/>
              </w:rPr>
            </w:pPr>
            <w:r w:rsidRPr="008E7073">
              <w:rPr>
                <w:rFonts w:cs="Arial"/>
              </w:rPr>
              <w:t>Public Surgery Centres</w:t>
            </w:r>
          </w:p>
        </w:tc>
        <w:tc>
          <w:tcPr>
            <w:tcW w:w="3635" w:type="dxa"/>
          </w:tcPr>
          <w:p w14:paraId="0BB25D2D" w14:textId="2F3E1811" w:rsidR="00B469E4" w:rsidRPr="008E7073" w:rsidRDefault="00212CE0">
            <w:pPr>
              <w:pStyle w:val="Tabletext6pt"/>
              <w:rPr>
                <w:rFonts w:cs="Arial"/>
              </w:rPr>
            </w:pPr>
            <w:r w:rsidRPr="008E7073">
              <w:rPr>
                <w:rFonts w:cs="Arial"/>
              </w:rPr>
              <w:t xml:space="preserve">Planned, low to moderate complexity surgical and procedural activity aligned to multiple specialties </w:t>
            </w:r>
          </w:p>
        </w:tc>
        <w:tc>
          <w:tcPr>
            <w:tcW w:w="2830" w:type="dxa"/>
          </w:tcPr>
          <w:p w14:paraId="14E1A063" w14:textId="73A06267" w:rsidR="00B469E4" w:rsidRPr="008E7073" w:rsidRDefault="00F24A7F" w:rsidP="00F24A7F">
            <w:pPr>
              <w:pStyle w:val="Tablebullet2"/>
              <w:numPr>
                <w:ilvl w:val="0"/>
                <w:numId w:val="0"/>
              </w:numPr>
              <w:rPr>
                <w:rFonts w:cs="Arial"/>
              </w:rPr>
            </w:pPr>
            <w:r w:rsidRPr="008E7073">
              <w:rPr>
                <w:rFonts w:cs="Arial"/>
              </w:rPr>
              <w:t xml:space="preserve">Regional or urban communities </w:t>
            </w:r>
          </w:p>
        </w:tc>
      </w:tr>
      <w:tr w:rsidR="00B469E4" w:rsidRPr="008E7073" w14:paraId="7A089F4D" w14:textId="77777777" w:rsidTr="00AF4DC4">
        <w:trPr>
          <w:trHeight w:val="809"/>
        </w:trPr>
        <w:tc>
          <w:tcPr>
            <w:tcW w:w="3028" w:type="dxa"/>
          </w:tcPr>
          <w:p w14:paraId="1428404D" w14:textId="62552BC8" w:rsidR="00B469E4" w:rsidRPr="008E7073" w:rsidRDefault="008B18D6">
            <w:pPr>
              <w:pStyle w:val="Tabletext6pt"/>
              <w:rPr>
                <w:rFonts w:cs="Arial"/>
              </w:rPr>
            </w:pPr>
            <w:r w:rsidRPr="008E7073">
              <w:rPr>
                <w:rFonts w:cs="Arial"/>
              </w:rPr>
              <w:t xml:space="preserve">Sub-Acute Hospitals </w:t>
            </w:r>
          </w:p>
        </w:tc>
        <w:tc>
          <w:tcPr>
            <w:tcW w:w="3635" w:type="dxa"/>
          </w:tcPr>
          <w:p w14:paraId="67379606" w14:textId="785BB89C" w:rsidR="00B469E4" w:rsidRPr="008E7073" w:rsidRDefault="00F24A7F">
            <w:pPr>
              <w:pStyle w:val="Tabletext6pt"/>
              <w:rPr>
                <w:rFonts w:cs="Arial"/>
              </w:rPr>
            </w:pPr>
            <w:r w:rsidRPr="008E7073">
              <w:rPr>
                <w:rFonts w:cs="Arial"/>
              </w:rPr>
              <w:t xml:space="preserve">High volumes of care </w:t>
            </w:r>
            <w:r w:rsidR="007C439D" w:rsidRPr="008E7073">
              <w:rPr>
                <w:rFonts w:cs="Arial"/>
              </w:rPr>
              <w:t xml:space="preserve">predominantly </w:t>
            </w:r>
            <w:r w:rsidR="00574120" w:rsidRPr="008E7073">
              <w:rPr>
                <w:rFonts w:cs="Arial"/>
              </w:rPr>
              <w:t xml:space="preserve">aligned to rehabilitation &amp; geriatric evaluation &amp; management </w:t>
            </w:r>
          </w:p>
        </w:tc>
        <w:tc>
          <w:tcPr>
            <w:tcW w:w="2830" w:type="dxa"/>
          </w:tcPr>
          <w:p w14:paraId="5A834C07" w14:textId="6C83544D" w:rsidR="00B469E4" w:rsidRPr="008E7073" w:rsidRDefault="007C439D" w:rsidP="00212CE0">
            <w:pPr>
              <w:pStyle w:val="Tablebullet2"/>
              <w:numPr>
                <w:ilvl w:val="0"/>
                <w:numId w:val="0"/>
              </w:numPr>
              <w:rPr>
                <w:rFonts w:cs="Arial"/>
              </w:rPr>
            </w:pPr>
            <w:r w:rsidRPr="008E7073">
              <w:rPr>
                <w:rFonts w:cs="Arial"/>
              </w:rPr>
              <w:t xml:space="preserve">Large regional or urban communities </w:t>
            </w:r>
          </w:p>
        </w:tc>
      </w:tr>
      <w:tr w:rsidR="00B469E4" w:rsidRPr="008E7073" w14:paraId="0D81D9C4" w14:textId="77777777" w:rsidTr="00AF4DC4">
        <w:trPr>
          <w:trHeight w:val="809"/>
        </w:trPr>
        <w:tc>
          <w:tcPr>
            <w:tcW w:w="3028" w:type="dxa"/>
          </w:tcPr>
          <w:p w14:paraId="5980EB23" w14:textId="2F497D3A" w:rsidR="00B469E4" w:rsidRPr="008E7073" w:rsidRDefault="008B18D6">
            <w:pPr>
              <w:pStyle w:val="Tabletext6pt"/>
              <w:rPr>
                <w:rFonts w:cs="Arial"/>
              </w:rPr>
            </w:pPr>
            <w:r w:rsidRPr="008E7073">
              <w:rPr>
                <w:rFonts w:cs="Arial"/>
              </w:rPr>
              <w:t xml:space="preserve">Women’s &amp; Children’s Hospitals </w:t>
            </w:r>
          </w:p>
        </w:tc>
        <w:tc>
          <w:tcPr>
            <w:tcW w:w="3635" w:type="dxa"/>
          </w:tcPr>
          <w:p w14:paraId="41C9839E" w14:textId="30F60914" w:rsidR="00B469E4" w:rsidRPr="008E7073" w:rsidRDefault="007C439D">
            <w:pPr>
              <w:pStyle w:val="Tabletext6pt"/>
              <w:rPr>
                <w:rFonts w:cs="Arial"/>
              </w:rPr>
            </w:pPr>
            <w:r w:rsidRPr="008E7073">
              <w:rPr>
                <w:rFonts w:cs="Arial"/>
              </w:rPr>
              <w:t xml:space="preserve">High volumes of care aligned to acute women’s and children’s services </w:t>
            </w:r>
          </w:p>
        </w:tc>
        <w:tc>
          <w:tcPr>
            <w:tcW w:w="2830" w:type="dxa"/>
          </w:tcPr>
          <w:p w14:paraId="6ACB1F6F" w14:textId="0A6CAA7E" w:rsidR="00B469E4" w:rsidRPr="008E7073" w:rsidRDefault="007C439D" w:rsidP="007C439D">
            <w:pPr>
              <w:pStyle w:val="Tablebullet2"/>
              <w:numPr>
                <w:ilvl w:val="0"/>
                <w:numId w:val="0"/>
              </w:numPr>
              <w:rPr>
                <w:rFonts w:cs="Arial"/>
              </w:rPr>
            </w:pPr>
            <w:r w:rsidRPr="008E7073">
              <w:rPr>
                <w:rFonts w:cs="Arial"/>
              </w:rPr>
              <w:t xml:space="preserve">Local catchment and statewide service provision </w:t>
            </w:r>
          </w:p>
        </w:tc>
      </w:tr>
      <w:tr w:rsidR="008B18D6" w:rsidRPr="008E7073" w14:paraId="2E20047F" w14:textId="77777777" w:rsidTr="00AF4DC4">
        <w:trPr>
          <w:trHeight w:val="809"/>
        </w:trPr>
        <w:tc>
          <w:tcPr>
            <w:tcW w:w="3028" w:type="dxa"/>
          </w:tcPr>
          <w:p w14:paraId="7035D011" w14:textId="2328C0DC" w:rsidR="008B18D6" w:rsidRPr="008E7073" w:rsidRDefault="008B18D6">
            <w:pPr>
              <w:pStyle w:val="Tabletext6pt"/>
              <w:rPr>
                <w:rFonts w:cs="Arial"/>
              </w:rPr>
            </w:pPr>
            <w:r w:rsidRPr="008E7073">
              <w:rPr>
                <w:rFonts w:cs="Arial"/>
              </w:rPr>
              <w:t xml:space="preserve">Specialist Hospitals </w:t>
            </w:r>
          </w:p>
        </w:tc>
        <w:tc>
          <w:tcPr>
            <w:tcW w:w="3635" w:type="dxa"/>
          </w:tcPr>
          <w:p w14:paraId="5B7BFDBB" w14:textId="4D55D08E" w:rsidR="008B18D6" w:rsidRPr="008E7073" w:rsidRDefault="007C439D">
            <w:pPr>
              <w:pStyle w:val="Tabletext6pt"/>
              <w:rPr>
                <w:rFonts w:cs="Arial"/>
              </w:rPr>
            </w:pPr>
            <w:r w:rsidRPr="008E7073">
              <w:rPr>
                <w:rFonts w:cs="Arial"/>
              </w:rPr>
              <w:t xml:space="preserve">Variable volumes of care aligned to a single clinical stream </w:t>
            </w:r>
          </w:p>
        </w:tc>
        <w:tc>
          <w:tcPr>
            <w:tcW w:w="2830" w:type="dxa"/>
          </w:tcPr>
          <w:p w14:paraId="3EC1DBF4" w14:textId="727A4760" w:rsidR="008B18D6" w:rsidRPr="008E7073" w:rsidRDefault="007C439D" w:rsidP="007C439D">
            <w:pPr>
              <w:pStyle w:val="Tablebullet2"/>
              <w:numPr>
                <w:ilvl w:val="0"/>
                <w:numId w:val="0"/>
              </w:numPr>
              <w:rPr>
                <w:rFonts w:cs="Arial"/>
              </w:rPr>
            </w:pPr>
            <w:r w:rsidRPr="008E7073">
              <w:rPr>
                <w:rFonts w:cs="Arial"/>
              </w:rPr>
              <w:t xml:space="preserve">Local catchment and statewide service provision </w:t>
            </w:r>
          </w:p>
        </w:tc>
      </w:tr>
    </w:tbl>
    <w:p w14:paraId="2F2A5497" w14:textId="77777777" w:rsidR="002B5AC4" w:rsidRPr="008E7073" w:rsidRDefault="002B5AC4" w:rsidP="002B5AC4">
      <w:pPr>
        <w:pStyle w:val="Body"/>
        <w:rPr>
          <w:rFonts w:cs="Arial"/>
          <w:sz w:val="22"/>
          <w:szCs w:val="22"/>
        </w:rPr>
      </w:pPr>
    </w:p>
    <w:p w14:paraId="39E5D8CA" w14:textId="58FF1523" w:rsidR="00525416" w:rsidRPr="008E7073" w:rsidRDefault="00525416" w:rsidP="00525416">
      <w:pPr>
        <w:pStyle w:val="Heading1"/>
      </w:pPr>
      <w:bookmarkStart w:id="24" w:name="_Toc204251883"/>
      <w:r w:rsidRPr="008E7073">
        <w:t>Role Responsibilities within Networks and the Broader System</w:t>
      </w:r>
      <w:bookmarkEnd w:id="24"/>
    </w:p>
    <w:p w14:paraId="4782386D" w14:textId="3DDDF517" w:rsidR="00525416" w:rsidRPr="00EB2DFA" w:rsidRDefault="00EE7BC1" w:rsidP="00525416">
      <w:pPr>
        <w:pStyle w:val="Body"/>
        <w:rPr>
          <w:rFonts w:cs="Arial"/>
          <w:szCs w:val="21"/>
        </w:rPr>
      </w:pPr>
      <w:r>
        <w:rPr>
          <w:rFonts w:cs="Arial"/>
          <w:szCs w:val="21"/>
        </w:rPr>
        <w:t>Health service sites each play distinct but fundamental role</w:t>
      </w:r>
      <w:r w:rsidR="00E106D1">
        <w:rPr>
          <w:rFonts w:cs="Arial"/>
          <w:szCs w:val="21"/>
        </w:rPr>
        <w:t>s</w:t>
      </w:r>
      <w:r>
        <w:rPr>
          <w:rFonts w:cs="Arial"/>
          <w:szCs w:val="21"/>
        </w:rPr>
        <w:t xml:space="preserve"> in the Victorian </w:t>
      </w:r>
      <w:r w:rsidR="00525416" w:rsidRPr="00EB2DFA">
        <w:rPr>
          <w:rFonts w:cs="Arial"/>
          <w:szCs w:val="21"/>
        </w:rPr>
        <w:t>healthcare system, supporting the care journeys of patients and their families. However, very few sites can provide all the healthcare needs of their local communities, requiring collaboration and collective responsibility across multiple providers and locations. Local Health Service Networks will hold this collective responsibility</w:t>
      </w:r>
      <w:r w:rsidR="00525416" w:rsidRPr="00EB2DFA" w:rsidDel="00EC4A41">
        <w:rPr>
          <w:rFonts w:cs="Arial"/>
          <w:szCs w:val="21"/>
        </w:rPr>
        <w:t xml:space="preserve"> to </w:t>
      </w:r>
      <w:r w:rsidR="00525416" w:rsidRPr="00EB2DFA">
        <w:rPr>
          <w:rFonts w:cs="Arial"/>
          <w:szCs w:val="21"/>
        </w:rPr>
        <w:t>ensure efficient transitions between providers and care levels—whether escalating to a higher acuity centre or returning care to a local site closer to home for ongoing management.</w:t>
      </w:r>
    </w:p>
    <w:p w14:paraId="69BB8CAE" w14:textId="77777777" w:rsidR="00525416" w:rsidRPr="00EB2DFA" w:rsidRDefault="00525416" w:rsidP="00525416">
      <w:pPr>
        <w:pStyle w:val="Body"/>
        <w:rPr>
          <w:rFonts w:cs="Arial"/>
          <w:szCs w:val="21"/>
        </w:rPr>
      </w:pPr>
      <w:r w:rsidRPr="00EB2DFA">
        <w:rPr>
          <w:rFonts w:cs="Arial"/>
          <w:szCs w:val="21"/>
        </w:rPr>
        <w:t>Local Health Service Networks in Victoria will promote more equitable and consistent care for patients within their geographic areas, while also ensuring more coordinated support for the healthcare workforce. Each Network holds clear accountability for the health outcomes of its defined catchment population.</w:t>
      </w:r>
    </w:p>
    <w:p w14:paraId="5B10DC4E" w14:textId="77777777" w:rsidR="00525416" w:rsidRPr="00EB2DFA" w:rsidRDefault="00525416" w:rsidP="00525416">
      <w:pPr>
        <w:pStyle w:val="Body"/>
        <w:rPr>
          <w:rFonts w:cs="Arial"/>
          <w:szCs w:val="21"/>
        </w:rPr>
      </w:pPr>
      <w:r w:rsidRPr="00EB2DFA">
        <w:rPr>
          <w:rFonts w:cs="Arial"/>
          <w:szCs w:val="21"/>
        </w:rPr>
        <w:t xml:space="preserve">Health service sites within each Network will collaborate to comprehensively meet the needs of their communities, with the aim that more than 85 per cent of care needs can be met closer to home. Their responsibilities will also include facilitating seamless transitions across care journeys, improving service efficiency, and fostering collaboration to enhance sustainability across the system. </w:t>
      </w:r>
    </w:p>
    <w:p w14:paraId="30E08829" w14:textId="77777777" w:rsidR="00525416" w:rsidRPr="00EB2DFA" w:rsidRDefault="00525416" w:rsidP="00525416">
      <w:pPr>
        <w:pStyle w:val="Body"/>
        <w:rPr>
          <w:rFonts w:cs="Arial"/>
          <w:szCs w:val="21"/>
        </w:rPr>
      </w:pPr>
      <w:r w:rsidRPr="00EB2DFA">
        <w:rPr>
          <w:rFonts w:cs="Arial"/>
          <w:szCs w:val="21"/>
        </w:rPr>
        <w:t xml:space="preserve">The collective responsibilities of all health services comprising Local Health Service Networks are outlined below. </w:t>
      </w:r>
    </w:p>
    <w:p w14:paraId="3EF46B00" w14:textId="168F2D08" w:rsidR="00525416" w:rsidRPr="008E7073" w:rsidRDefault="00525416" w:rsidP="003B65BD">
      <w:pPr>
        <w:pStyle w:val="Heading2"/>
        <w:rPr>
          <w:rFonts w:cs="Arial"/>
        </w:rPr>
      </w:pPr>
      <w:bookmarkStart w:id="25" w:name="_Toc204251884"/>
      <w:r w:rsidRPr="008E7073">
        <w:rPr>
          <w:rFonts w:cs="Arial"/>
        </w:rPr>
        <w:lastRenderedPageBreak/>
        <w:t>Collective Responsibilities of All Sites within Local Health Service Networks</w:t>
      </w:r>
      <w:bookmarkEnd w:id="25"/>
    </w:p>
    <w:p w14:paraId="3527DEC3" w14:textId="77777777" w:rsidR="00525416" w:rsidRPr="00EE7BC1" w:rsidRDefault="00525416" w:rsidP="00525416">
      <w:pPr>
        <w:pStyle w:val="Body"/>
        <w:rPr>
          <w:rFonts w:cs="Arial"/>
          <w:szCs w:val="21"/>
        </w:rPr>
      </w:pPr>
      <w:r w:rsidRPr="00EE7BC1">
        <w:rPr>
          <w:rFonts w:cs="Arial"/>
          <w:szCs w:val="21"/>
        </w:rPr>
        <w:t>Networks will enable our health services and dedicated workforce to deliver more accessible, higher quality care for Victorians. Networks support:</w:t>
      </w:r>
    </w:p>
    <w:p w14:paraId="55999F21" w14:textId="77777777" w:rsidR="00525416" w:rsidRPr="00EE7BC1" w:rsidRDefault="00525416" w:rsidP="003A2850">
      <w:pPr>
        <w:pStyle w:val="Body"/>
        <w:numPr>
          <w:ilvl w:val="0"/>
          <w:numId w:val="11"/>
        </w:numPr>
        <w:spacing w:after="60"/>
        <w:rPr>
          <w:rFonts w:cs="Arial"/>
          <w:szCs w:val="21"/>
        </w:rPr>
      </w:pPr>
      <w:r w:rsidRPr="00EE7BC1">
        <w:rPr>
          <w:rFonts w:cs="Arial"/>
          <w:szCs w:val="21"/>
        </w:rPr>
        <w:t>a system that is easier to navigate, with more consistent pathways between health service sites </w:t>
      </w:r>
    </w:p>
    <w:p w14:paraId="017A88FD" w14:textId="77777777" w:rsidR="00525416" w:rsidRPr="00EE7BC1" w:rsidRDefault="00525416" w:rsidP="003A2850">
      <w:pPr>
        <w:pStyle w:val="Body"/>
        <w:numPr>
          <w:ilvl w:val="0"/>
          <w:numId w:val="11"/>
        </w:numPr>
        <w:spacing w:after="60"/>
        <w:rPr>
          <w:rFonts w:cs="Arial"/>
          <w:szCs w:val="21"/>
        </w:rPr>
      </w:pPr>
      <w:r w:rsidRPr="00EE7BC1">
        <w:rPr>
          <w:rFonts w:cs="Arial"/>
          <w:szCs w:val="21"/>
        </w:rPr>
        <w:t>better and more consistent support for the health workforce </w:t>
      </w:r>
    </w:p>
    <w:p w14:paraId="54E5F6C6" w14:textId="77777777" w:rsidR="00525416" w:rsidRPr="00EE7BC1" w:rsidRDefault="00525416" w:rsidP="003A2850">
      <w:pPr>
        <w:pStyle w:val="Body"/>
        <w:numPr>
          <w:ilvl w:val="0"/>
          <w:numId w:val="11"/>
        </w:numPr>
        <w:rPr>
          <w:rFonts w:cs="Arial"/>
          <w:szCs w:val="21"/>
        </w:rPr>
      </w:pPr>
      <w:r w:rsidRPr="00EE7BC1">
        <w:rPr>
          <w:rFonts w:cs="Arial"/>
          <w:szCs w:val="21"/>
        </w:rPr>
        <w:t>reduced duplication of administration, so that our health services sites can focus on what they do best – caring for patients. </w:t>
      </w:r>
    </w:p>
    <w:p w14:paraId="1538F1DC" w14:textId="77777777" w:rsidR="00525416" w:rsidRPr="00EE7BC1" w:rsidRDefault="00525416" w:rsidP="00525416">
      <w:pPr>
        <w:pStyle w:val="Body"/>
        <w:rPr>
          <w:rFonts w:cs="Arial"/>
          <w:szCs w:val="21"/>
        </w:rPr>
      </w:pPr>
      <w:r w:rsidRPr="00EE7BC1">
        <w:rPr>
          <w:rFonts w:cs="Arial"/>
          <w:szCs w:val="21"/>
        </w:rPr>
        <w:t>For early implementation, all Networks will focus on four priority areas:  </w:t>
      </w:r>
    </w:p>
    <w:p w14:paraId="44A34164" w14:textId="77777777" w:rsidR="00525416" w:rsidRPr="00EE7BC1" w:rsidRDefault="00525416" w:rsidP="003A2850">
      <w:pPr>
        <w:pStyle w:val="Body"/>
        <w:numPr>
          <w:ilvl w:val="0"/>
          <w:numId w:val="12"/>
        </w:numPr>
        <w:spacing w:after="60"/>
        <w:rPr>
          <w:rFonts w:cs="Arial"/>
          <w:szCs w:val="21"/>
        </w:rPr>
      </w:pPr>
      <w:r w:rsidRPr="00EE7BC1">
        <w:rPr>
          <w:rFonts w:cs="Arial"/>
          <w:szCs w:val="21"/>
        </w:rPr>
        <w:t>Access, equity and flow </w:t>
      </w:r>
    </w:p>
    <w:p w14:paraId="46106335" w14:textId="77777777" w:rsidR="00525416" w:rsidRPr="00EE7BC1" w:rsidRDefault="00525416" w:rsidP="003A2850">
      <w:pPr>
        <w:pStyle w:val="Body"/>
        <w:numPr>
          <w:ilvl w:val="0"/>
          <w:numId w:val="13"/>
        </w:numPr>
        <w:spacing w:after="60"/>
        <w:rPr>
          <w:rFonts w:cs="Arial"/>
          <w:szCs w:val="21"/>
        </w:rPr>
      </w:pPr>
      <w:r w:rsidRPr="00EE7BC1">
        <w:rPr>
          <w:rFonts w:cs="Arial"/>
          <w:szCs w:val="21"/>
        </w:rPr>
        <w:t>Workforce </w:t>
      </w:r>
    </w:p>
    <w:p w14:paraId="7DBAC5D6" w14:textId="77777777" w:rsidR="00525416" w:rsidRPr="00EE7BC1" w:rsidRDefault="00525416" w:rsidP="003A2850">
      <w:pPr>
        <w:pStyle w:val="Body"/>
        <w:numPr>
          <w:ilvl w:val="0"/>
          <w:numId w:val="14"/>
        </w:numPr>
        <w:spacing w:after="60"/>
        <w:rPr>
          <w:rFonts w:cs="Arial"/>
          <w:szCs w:val="21"/>
        </w:rPr>
      </w:pPr>
      <w:r w:rsidRPr="00EE7BC1">
        <w:rPr>
          <w:rFonts w:cs="Arial"/>
          <w:szCs w:val="21"/>
        </w:rPr>
        <w:t>Safety and quality </w:t>
      </w:r>
    </w:p>
    <w:p w14:paraId="01449DEE" w14:textId="77777777" w:rsidR="00525416" w:rsidRPr="00EE7BC1" w:rsidRDefault="00525416" w:rsidP="003A2850">
      <w:pPr>
        <w:pStyle w:val="Body"/>
        <w:numPr>
          <w:ilvl w:val="0"/>
          <w:numId w:val="15"/>
        </w:numPr>
        <w:rPr>
          <w:rFonts w:cs="Arial"/>
          <w:szCs w:val="21"/>
        </w:rPr>
      </w:pPr>
      <w:r w:rsidRPr="00EE7BC1">
        <w:rPr>
          <w:rFonts w:cs="Arial"/>
          <w:szCs w:val="21"/>
        </w:rPr>
        <w:t>Shared services. </w:t>
      </w:r>
    </w:p>
    <w:p w14:paraId="406B5840" w14:textId="77777777" w:rsidR="00525416" w:rsidRPr="00EE7BC1" w:rsidRDefault="00525416" w:rsidP="00525416">
      <w:pPr>
        <w:pStyle w:val="Body"/>
        <w:rPr>
          <w:rFonts w:cs="Arial"/>
          <w:szCs w:val="21"/>
        </w:rPr>
      </w:pPr>
      <w:r w:rsidRPr="00EE7BC1">
        <w:rPr>
          <w:rFonts w:cs="Arial"/>
          <w:szCs w:val="21"/>
        </w:rPr>
        <w:t>These four priority areas were selected to align with the Health Services Plan’s design principles as well as the Institute for Healthcare Improvement’s quintuple aim of: enhancing patient experience, improving population health, strengthening workforce, advancing health equity, and boosting efficiency. </w:t>
      </w:r>
    </w:p>
    <w:p w14:paraId="71257035" w14:textId="77777777" w:rsidR="00525416" w:rsidRPr="00EE7BC1" w:rsidRDefault="00525416" w:rsidP="00525416">
      <w:pPr>
        <w:pStyle w:val="Body"/>
        <w:rPr>
          <w:rFonts w:cs="Arial"/>
          <w:szCs w:val="21"/>
        </w:rPr>
      </w:pPr>
      <w:r w:rsidRPr="00EE7BC1">
        <w:rPr>
          <w:rFonts w:cs="Arial"/>
          <w:szCs w:val="21"/>
        </w:rPr>
        <w:t>Other priority areas involve broader networking across the system and will therefore be a focus for Networks as they mature. Priority areas for subsequent implementation include:  </w:t>
      </w:r>
    </w:p>
    <w:p w14:paraId="444E8835" w14:textId="77777777" w:rsidR="00525416" w:rsidRPr="00EE7BC1" w:rsidRDefault="00525416" w:rsidP="003A2850">
      <w:pPr>
        <w:pStyle w:val="Body"/>
        <w:numPr>
          <w:ilvl w:val="0"/>
          <w:numId w:val="16"/>
        </w:numPr>
        <w:spacing w:after="60"/>
        <w:rPr>
          <w:rFonts w:cs="Arial"/>
          <w:szCs w:val="21"/>
        </w:rPr>
      </w:pPr>
      <w:r w:rsidRPr="00EE7BC1">
        <w:rPr>
          <w:rFonts w:cs="Arial"/>
          <w:szCs w:val="21"/>
        </w:rPr>
        <w:t>Population Health  </w:t>
      </w:r>
    </w:p>
    <w:p w14:paraId="13CC22E9" w14:textId="77777777" w:rsidR="00525416" w:rsidRPr="00EE7BC1" w:rsidRDefault="00525416" w:rsidP="003A2850">
      <w:pPr>
        <w:pStyle w:val="Body"/>
        <w:numPr>
          <w:ilvl w:val="0"/>
          <w:numId w:val="17"/>
        </w:numPr>
        <w:spacing w:after="60"/>
        <w:rPr>
          <w:rFonts w:cs="Arial"/>
          <w:szCs w:val="21"/>
        </w:rPr>
      </w:pPr>
      <w:r w:rsidRPr="00EE7BC1">
        <w:rPr>
          <w:rFonts w:cs="Arial"/>
          <w:szCs w:val="21"/>
        </w:rPr>
        <w:t>Integration  </w:t>
      </w:r>
    </w:p>
    <w:p w14:paraId="75AB1AB6" w14:textId="12BD1A69" w:rsidR="002B5AC4" w:rsidRDefault="00525416" w:rsidP="003A2850">
      <w:pPr>
        <w:pStyle w:val="Body"/>
        <w:numPr>
          <w:ilvl w:val="0"/>
          <w:numId w:val="18"/>
        </w:numPr>
        <w:rPr>
          <w:rFonts w:cs="Arial"/>
          <w:szCs w:val="21"/>
        </w:rPr>
      </w:pPr>
      <w:r w:rsidRPr="00EE7BC1">
        <w:rPr>
          <w:rFonts w:cs="Arial"/>
          <w:szCs w:val="21"/>
        </w:rPr>
        <w:t>Research and innovation.</w:t>
      </w:r>
    </w:p>
    <w:p w14:paraId="7A8F6310" w14:textId="0321890A" w:rsidR="000D1593" w:rsidRPr="00EE7BC1" w:rsidRDefault="00E80BAD" w:rsidP="000D1593">
      <w:pPr>
        <w:pStyle w:val="Body"/>
        <w:rPr>
          <w:rFonts w:cs="Arial"/>
          <w:szCs w:val="21"/>
        </w:rPr>
      </w:pPr>
      <w:r w:rsidRPr="00E80BAD">
        <w:rPr>
          <w:rFonts w:cs="Arial"/>
          <w:szCs w:val="21"/>
        </w:rPr>
        <w:t>The collective responsibilities of health services within Networks are described in greater detail in the Local Health Service Network Policy Framework.</w:t>
      </w:r>
    </w:p>
    <w:p w14:paraId="22C627A2" w14:textId="77777777" w:rsidR="00B34A8D" w:rsidRDefault="003B65BD" w:rsidP="00B34A8D">
      <w:pPr>
        <w:pStyle w:val="Heading2"/>
        <w:rPr>
          <w:rFonts w:cs="Arial"/>
        </w:rPr>
      </w:pPr>
      <w:bookmarkStart w:id="26" w:name="_Toc204251885"/>
      <w:r w:rsidRPr="008E7073">
        <w:rPr>
          <w:rFonts w:cs="Arial"/>
        </w:rPr>
        <w:t>Key Network and System Responsibilities Aligned to the Role of Each Site</w:t>
      </w:r>
      <w:bookmarkEnd w:id="26"/>
    </w:p>
    <w:p w14:paraId="15A20DCE" w14:textId="68AD9DFE" w:rsidR="00B34A8D" w:rsidRPr="00B34A8D" w:rsidRDefault="00D742BC" w:rsidP="00B34A8D">
      <w:pPr>
        <w:pStyle w:val="Body"/>
        <w:rPr>
          <w:rFonts w:cs="Arial"/>
          <w:szCs w:val="21"/>
        </w:rPr>
      </w:pPr>
      <w:r w:rsidRPr="00B34A8D">
        <w:rPr>
          <w:rFonts w:cs="Arial"/>
          <w:szCs w:val="21"/>
        </w:rPr>
        <w:t>The previous section and the Local Health Service Network Policy Framework outline the collective responsibilities of all health services within Networks. Below, high-level descriptions of different health service site roles and their individual responsibilities are outlined.</w:t>
      </w:r>
    </w:p>
    <w:p w14:paraId="08A6F5D5" w14:textId="4570DB83" w:rsidR="007D0B8F" w:rsidRPr="008E7073" w:rsidRDefault="003B65BD" w:rsidP="003B65BD">
      <w:pPr>
        <w:pStyle w:val="Heading3"/>
        <w:rPr>
          <w:rFonts w:cs="Arial"/>
        </w:rPr>
      </w:pPr>
      <w:bookmarkStart w:id="27" w:name="_Toc204251886"/>
      <w:r w:rsidRPr="008E7073">
        <w:rPr>
          <w:rFonts w:cs="Arial"/>
        </w:rPr>
        <w:t>Small Hospitals and Health Centres</w:t>
      </w:r>
      <w:bookmarkEnd w:id="27"/>
    </w:p>
    <w:p w14:paraId="551A936F" w14:textId="5937454C" w:rsidR="003B65BD" w:rsidRPr="00EE7BC1" w:rsidRDefault="003B65BD" w:rsidP="003B65BD">
      <w:pPr>
        <w:rPr>
          <w:rFonts w:cs="Arial"/>
          <w:szCs w:val="21"/>
        </w:rPr>
      </w:pPr>
      <w:r w:rsidRPr="00EE7BC1">
        <w:rPr>
          <w:rFonts w:cs="Arial"/>
          <w:szCs w:val="21"/>
        </w:rPr>
        <w:t xml:space="preserve">Small Hospitals and Health Centres are responsible for providing primary health, community, aged care and low volumes of acute care tailored towards the needs of </w:t>
      </w:r>
      <w:r w:rsidR="00D14CB6">
        <w:rPr>
          <w:rFonts w:cs="Arial"/>
          <w:szCs w:val="21"/>
        </w:rPr>
        <w:t xml:space="preserve">small or </w:t>
      </w:r>
      <w:r w:rsidRPr="00EE7BC1">
        <w:rPr>
          <w:rFonts w:cs="Arial"/>
          <w:szCs w:val="21"/>
        </w:rPr>
        <w:t xml:space="preserve">remote and isolated rural communities, whilst also being responsive to changing local needs. These sites are frequently the main provider of health and social care services in small communities and may be amongst the largest local employer, playing a role in the overall sustainability of their communities. Sites are often in areas that are socioeconomically disadvantaged and generally will have few private services available. As such, Small Hospitals and Health Centres play an important role in also providing primary health care, health promotion, early intervention, whole of life community-based care and residential aged care. </w:t>
      </w:r>
    </w:p>
    <w:p w14:paraId="7796F944" w14:textId="77777777" w:rsidR="003B65BD" w:rsidRPr="00EE7BC1" w:rsidRDefault="003B65BD" w:rsidP="003B65BD">
      <w:pPr>
        <w:rPr>
          <w:rFonts w:cs="Arial"/>
          <w:szCs w:val="21"/>
        </w:rPr>
      </w:pPr>
      <w:r w:rsidRPr="00EE7BC1">
        <w:rPr>
          <w:rFonts w:cs="Arial"/>
          <w:szCs w:val="21"/>
        </w:rPr>
        <w:lastRenderedPageBreak/>
        <w:t>Within Networks these sites have the important role of supporting patient self-management at home and being the gateway to higher acuity care. They assist with referral initiation and case management as well as liaising with higher acuity hospitals to facilitate access to specialist health services, and local community and primary social system supports, as required. Additionally, they have a key role in assisting patients to navigate what can be a complex health care and social service access pathway, particularly given that face-to-face specialised care may not be available locally but only in the broader region.</w:t>
      </w:r>
    </w:p>
    <w:p w14:paraId="75E58DC7" w14:textId="254883A8" w:rsidR="003B65BD" w:rsidRPr="00EE7BC1" w:rsidRDefault="003B65BD" w:rsidP="003B65BD">
      <w:pPr>
        <w:rPr>
          <w:rFonts w:cs="Arial"/>
        </w:rPr>
      </w:pPr>
      <w:r w:rsidRPr="125887DF">
        <w:rPr>
          <w:rFonts w:cs="Arial"/>
        </w:rPr>
        <w:t>Overnight care at these facilities is typically non</w:t>
      </w:r>
      <w:r w:rsidR="06176EEA" w:rsidRPr="125887DF">
        <w:rPr>
          <w:rFonts w:cs="Arial"/>
        </w:rPr>
        <w:t>-</w:t>
      </w:r>
      <w:r w:rsidRPr="125887DF">
        <w:rPr>
          <w:rFonts w:cs="Arial"/>
        </w:rPr>
        <w:t>acute, transitional and respite care for patients from the local community for whom care in the home may be impractical or unsafe.</w:t>
      </w:r>
    </w:p>
    <w:p w14:paraId="027CF0AD" w14:textId="77777777" w:rsidR="003B65BD" w:rsidRPr="00EE7BC1" w:rsidRDefault="003B65BD" w:rsidP="003B65BD">
      <w:pPr>
        <w:rPr>
          <w:rFonts w:cs="Arial"/>
          <w:szCs w:val="21"/>
        </w:rPr>
      </w:pPr>
      <w:r w:rsidRPr="00EE7BC1">
        <w:rPr>
          <w:rFonts w:cs="Arial"/>
          <w:szCs w:val="21"/>
        </w:rPr>
        <w:t>Contingent on workforce availability, urgent care services at these sites may draw on remote expertise including from Victorian Virtual Emergency Department (VVED), or alternatively from expertise at emergency departments in the region.</w:t>
      </w:r>
    </w:p>
    <w:p w14:paraId="743895EF" w14:textId="6690F62A" w:rsidR="007D0B8F" w:rsidRPr="008E7073" w:rsidRDefault="003B65BD" w:rsidP="003B65BD">
      <w:pPr>
        <w:pStyle w:val="Heading3"/>
        <w:rPr>
          <w:rFonts w:cs="Arial"/>
        </w:rPr>
      </w:pPr>
      <w:bookmarkStart w:id="28" w:name="_Toc204251887"/>
      <w:r w:rsidRPr="008E7073">
        <w:rPr>
          <w:rFonts w:cs="Arial"/>
        </w:rPr>
        <w:t>District and Community Hospitals</w:t>
      </w:r>
      <w:bookmarkEnd w:id="28"/>
    </w:p>
    <w:p w14:paraId="2436DAC3" w14:textId="6373055D" w:rsidR="003B65BD" w:rsidRPr="00EE7BC1" w:rsidRDefault="003B65BD" w:rsidP="003B65BD">
      <w:pPr>
        <w:rPr>
          <w:rFonts w:cs="Arial"/>
          <w:szCs w:val="21"/>
        </w:rPr>
      </w:pPr>
      <w:r w:rsidRPr="00EE7BC1">
        <w:rPr>
          <w:rFonts w:cs="Arial"/>
          <w:szCs w:val="21"/>
        </w:rPr>
        <w:t xml:space="preserve">District and Community Hospitals are located predominantly in rural Victoria and provide primary health, aged care, social care and low to moderate volumes of acute services tailored towards the needs of small rural communities. Like Small Hospitals and Health Centres, District and Community Hospitals have the responsibility to flexibly pivot to respond to changing community needs. In addition to the services provided at Small Hospitals and Health Centres, District </w:t>
      </w:r>
      <w:r w:rsidR="008E3CBA">
        <w:rPr>
          <w:rFonts w:cs="Arial"/>
          <w:szCs w:val="21"/>
        </w:rPr>
        <w:t xml:space="preserve">and Community </w:t>
      </w:r>
      <w:r w:rsidRPr="00EE7BC1">
        <w:rPr>
          <w:rFonts w:cs="Arial"/>
          <w:szCs w:val="21"/>
        </w:rPr>
        <w:t>Hospital sites may provide low complexity, mainly same-day, acute care and a limited or all-hours urgent care service. Urgent care services at these sites may draw on remote expertise including from the VVED, or alternatively from expertise at emergency departments in the region.</w:t>
      </w:r>
    </w:p>
    <w:p w14:paraId="67734354" w14:textId="77777777" w:rsidR="003B65BD" w:rsidRPr="00EE7BC1" w:rsidRDefault="003B65BD" w:rsidP="003B65BD">
      <w:pPr>
        <w:rPr>
          <w:rFonts w:cs="Arial"/>
          <w:szCs w:val="21"/>
        </w:rPr>
      </w:pPr>
      <w:r w:rsidRPr="00EE7BC1">
        <w:rPr>
          <w:rFonts w:cs="Arial"/>
          <w:szCs w:val="21"/>
        </w:rPr>
        <w:t xml:space="preserve">District and Community Hospitals in regional Victoria are often in small population areas that are socioeconomically disadvantaged and are typically the largest employer in their townships. These townships may be subject to seasonal population variation, requiring that District and Community Hospitals are operationally flexible to accommodate substantial fluctuation in demand, particularly for urgent care services. </w:t>
      </w:r>
    </w:p>
    <w:p w14:paraId="4BEADB36" w14:textId="77777777" w:rsidR="003B65BD" w:rsidRPr="00EE7BC1" w:rsidRDefault="003B65BD" w:rsidP="003B65BD">
      <w:pPr>
        <w:rPr>
          <w:rFonts w:cs="Arial"/>
          <w:szCs w:val="21"/>
        </w:rPr>
      </w:pPr>
      <w:r w:rsidRPr="00EE7BC1">
        <w:rPr>
          <w:rFonts w:cs="Arial"/>
          <w:szCs w:val="21"/>
        </w:rPr>
        <w:t xml:space="preserve">District and Community Hospitals in regional Victoria may be responsible for receiving patients from higher capability sites following the acute phase of their episode for recovery close to home, where clinically appropriate. Overnight care at these facilities is typically for less complex, transitional care and respite patients for whom care in the home may be impractical or unsafe. In regional Victoria, these sites may work with family and relevant services to identify options in residential care. </w:t>
      </w:r>
    </w:p>
    <w:p w14:paraId="0BE87D76" w14:textId="16901E3F" w:rsidR="003B65BD" w:rsidRPr="00EE7BC1" w:rsidRDefault="003B65BD" w:rsidP="003B65BD">
      <w:pPr>
        <w:rPr>
          <w:rFonts w:cs="Arial"/>
          <w:szCs w:val="21"/>
        </w:rPr>
      </w:pPr>
      <w:r w:rsidRPr="00EE7BC1">
        <w:rPr>
          <w:rFonts w:cs="Arial"/>
          <w:szCs w:val="21"/>
        </w:rPr>
        <w:t xml:space="preserve">As with Small Hospitals and Health Centres, District and Community Hospitals in regional Victoria have the responsibility of providing health promotion, early intervention and whole of life community-based care. Like Small </w:t>
      </w:r>
      <w:r w:rsidR="000F5EFA">
        <w:rPr>
          <w:rFonts w:cs="Arial"/>
          <w:szCs w:val="21"/>
        </w:rPr>
        <w:t xml:space="preserve">Hospitals and </w:t>
      </w:r>
      <w:r w:rsidRPr="00EE7BC1">
        <w:rPr>
          <w:rFonts w:cs="Arial"/>
          <w:szCs w:val="21"/>
        </w:rPr>
        <w:t xml:space="preserve">Health Centres, District and Community Hospitals are responsible for assisting patients to navigate access to complex health care and social service, particularly given that specialised care may be up to one hour from home by car. </w:t>
      </w:r>
    </w:p>
    <w:p w14:paraId="7121DF59" w14:textId="77777777" w:rsidR="003B65BD" w:rsidRPr="00EE7BC1" w:rsidRDefault="003B65BD" w:rsidP="003B65BD">
      <w:pPr>
        <w:rPr>
          <w:rFonts w:cs="Arial"/>
          <w:szCs w:val="21"/>
        </w:rPr>
      </w:pPr>
      <w:r w:rsidRPr="00EE7BC1">
        <w:rPr>
          <w:rFonts w:cs="Arial"/>
          <w:szCs w:val="21"/>
        </w:rPr>
        <w:t>District and Community Hospitals in metropolitan areas are typically located in growth corridors and operated as part of a larger health service predominantly for same day admitted care and some community health services.</w:t>
      </w:r>
    </w:p>
    <w:p w14:paraId="60B9EECD" w14:textId="24D45BDF" w:rsidR="003B65BD" w:rsidRPr="008E7073" w:rsidRDefault="003B65BD" w:rsidP="003B65BD">
      <w:pPr>
        <w:pStyle w:val="Heading3"/>
        <w:rPr>
          <w:rFonts w:cs="Arial"/>
        </w:rPr>
      </w:pPr>
      <w:bookmarkStart w:id="29" w:name="_Toc204251888"/>
      <w:r w:rsidRPr="008E7073">
        <w:rPr>
          <w:rFonts w:cs="Arial"/>
        </w:rPr>
        <w:t>General Hospitals</w:t>
      </w:r>
      <w:bookmarkEnd w:id="29"/>
    </w:p>
    <w:p w14:paraId="03B88F13" w14:textId="4E0007AE" w:rsidR="003B65BD" w:rsidRPr="00EE7BC1" w:rsidRDefault="003B65BD" w:rsidP="003B65BD">
      <w:pPr>
        <w:rPr>
          <w:rFonts w:cs="Arial"/>
          <w:szCs w:val="21"/>
        </w:rPr>
      </w:pPr>
      <w:r w:rsidRPr="00EE7BC1">
        <w:rPr>
          <w:rFonts w:cs="Arial"/>
          <w:szCs w:val="21"/>
        </w:rPr>
        <w:t>General H</w:t>
      </w:r>
      <w:r w:rsidR="00C52E9C">
        <w:rPr>
          <w:rFonts w:cs="Arial"/>
          <w:szCs w:val="21"/>
        </w:rPr>
        <w:t>ospital</w:t>
      </w:r>
      <w:r w:rsidRPr="00EE7BC1">
        <w:rPr>
          <w:rFonts w:cs="Arial"/>
          <w:szCs w:val="21"/>
        </w:rPr>
        <w:t xml:space="preserve"> sites are in larger rural towns and are responsible for a larger population compared to District</w:t>
      </w:r>
      <w:r w:rsidR="000C0964">
        <w:rPr>
          <w:rFonts w:cs="Arial"/>
          <w:szCs w:val="21"/>
        </w:rPr>
        <w:t xml:space="preserve"> and Community</w:t>
      </w:r>
      <w:r w:rsidRPr="00EE7BC1">
        <w:rPr>
          <w:rFonts w:cs="Arial"/>
          <w:szCs w:val="21"/>
        </w:rPr>
        <w:t xml:space="preserve"> Hospitals and Small Hospitals and Health Centres. Many sites are located on average 45 minutes’ drive time to higher capability sites noting that some sites may </w:t>
      </w:r>
      <w:r w:rsidRPr="00EE7BC1">
        <w:rPr>
          <w:rFonts w:cs="Arial"/>
          <w:szCs w:val="21"/>
        </w:rPr>
        <w:lastRenderedPageBreak/>
        <w:t>be significantly further away. In regional Victoria, General Hospitals may service townships that are subject to seasonal population variation. As such, General Hospitals may require the operational flexibility to accommodate substantial fluctuation in demand.</w:t>
      </w:r>
    </w:p>
    <w:p w14:paraId="5A558E70" w14:textId="77777777" w:rsidR="003B65BD" w:rsidRPr="00EE7BC1" w:rsidRDefault="003B65BD" w:rsidP="003B65BD">
      <w:pPr>
        <w:rPr>
          <w:rFonts w:cs="Arial"/>
          <w:szCs w:val="21"/>
        </w:rPr>
      </w:pPr>
      <w:r w:rsidRPr="00EE7BC1">
        <w:rPr>
          <w:rFonts w:cs="Arial"/>
          <w:szCs w:val="21"/>
        </w:rPr>
        <w:t xml:space="preserve">There are also a small number of General Hospitals located in metropolitan Melbourne that operate as part of a larger health service. </w:t>
      </w:r>
    </w:p>
    <w:p w14:paraId="1F4643EB" w14:textId="77777777" w:rsidR="003B65BD" w:rsidRPr="00EE7BC1" w:rsidRDefault="003B65BD" w:rsidP="003B65BD">
      <w:pPr>
        <w:rPr>
          <w:rFonts w:cs="Arial"/>
          <w:szCs w:val="21"/>
        </w:rPr>
      </w:pPr>
      <w:r w:rsidRPr="00EE7BC1">
        <w:rPr>
          <w:rFonts w:cs="Arial"/>
          <w:szCs w:val="21"/>
        </w:rPr>
        <w:t>General Hospital sites are responsible for the provision of a broader range of moderate acuity same day and multiday general medical and surgical services care than District and Community Hospitals and Small Hospitals and Health Centres. Some sub-specialty care may be provided typically by visiting medical officers. General Hospitals may accommodate small high dependency or intensive care units to ensure that moderately complex care can be provided in place, with clear escalation pathways to higher acuity sites.</w:t>
      </w:r>
    </w:p>
    <w:p w14:paraId="65A8510E" w14:textId="77777777" w:rsidR="003B65BD" w:rsidRPr="00EE7BC1" w:rsidRDefault="003B65BD" w:rsidP="003B65BD">
      <w:pPr>
        <w:rPr>
          <w:rFonts w:cs="Arial"/>
          <w:szCs w:val="21"/>
        </w:rPr>
      </w:pPr>
      <w:r w:rsidRPr="00EE7BC1">
        <w:rPr>
          <w:rFonts w:cs="Arial"/>
          <w:szCs w:val="21"/>
        </w:rPr>
        <w:t>General Hospitals play an important role in providing most care for their communities, linking patients to higher complexity care, as required. General Hospitals also have a responsibility to receive these patients back following the complex phase of their acute episode for stepdown care close to home and ongoing management in conjunction with District Hospitals and Small Hospitals and Health Centres.</w:t>
      </w:r>
    </w:p>
    <w:p w14:paraId="053A7941" w14:textId="77777777" w:rsidR="003B65BD" w:rsidRPr="00EE7BC1" w:rsidRDefault="003B65BD" w:rsidP="003B65BD">
      <w:pPr>
        <w:rPr>
          <w:rFonts w:cs="Arial"/>
          <w:szCs w:val="21"/>
        </w:rPr>
      </w:pPr>
      <w:r w:rsidRPr="00EE7BC1">
        <w:rPr>
          <w:rFonts w:cs="Arial"/>
          <w:szCs w:val="21"/>
        </w:rPr>
        <w:t>These sites may deliver collaborative, shared care models with proximate District Hospitals and Small Hospitals and Health Centres and may provide these sites with in-reach services and workforce supports.</w:t>
      </w:r>
    </w:p>
    <w:p w14:paraId="2F4A6D0F" w14:textId="77777777" w:rsidR="003B65BD" w:rsidRPr="00EE7BC1" w:rsidRDefault="003B65BD" w:rsidP="003B65BD">
      <w:pPr>
        <w:rPr>
          <w:rFonts w:cs="Arial"/>
          <w:szCs w:val="21"/>
        </w:rPr>
      </w:pPr>
      <w:r w:rsidRPr="00EE7BC1">
        <w:rPr>
          <w:rFonts w:cs="Arial"/>
          <w:szCs w:val="21"/>
        </w:rPr>
        <w:t>General Hospitals may have affiliations with universities supporting clinical placements and hands-on training for medical, nursing, and allied health students.</w:t>
      </w:r>
    </w:p>
    <w:p w14:paraId="6B447A50" w14:textId="3F5DA4AF" w:rsidR="003B65BD" w:rsidRPr="008E7073" w:rsidRDefault="003B65BD" w:rsidP="003B65BD">
      <w:pPr>
        <w:pStyle w:val="Heading3"/>
        <w:rPr>
          <w:rFonts w:cs="Arial"/>
        </w:rPr>
      </w:pPr>
      <w:bookmarkStart w:id="30" w:name="_Toc204251889"/>
      <w:r w:rsidRPr="008E7073">
        <w:rPr>
          <w:rFonts w:cs="Arial"/>
        </w:rPr>
        <w:t>Major Hospitals</w:t>
      </w:r>
      <w:bookmarkEnd w:id="30"/>
    </w:p>
    <w:p w14:paraId="4D9994D8" w14:textId="77777777" w:rsidR="003B65BD" w:rsidRPr="00EE7BC1" w:rsidRDefault="003B65BD" w:rsidP="003B65BD">
      <w:pPr>
        <w:rPr>
          <w:rFonts w:cs="Arial"/>
          <w:szCs w:val="21"/>
        </w:rPr>
      </w:pPr>
      <w:r w:rsidRPr="00EE7BC1">
        <w:rPr>
          <w:rFonts w:cs="Arial"/>
          <w:szCs w:val="21"/>
        </w:rPr>
        <w:t>Major Hospitals service large rural or urban communities and typically provide care for populations outside their immediate local catchment. These sites also may provide a range of community health and aged care services and make a significant contribution to meeting most of the acute care needs of their catchments. They support the retention of care within their region or sub-region and limit unnecessary out flow to Principal Hospitals and Tertiary Hospitals.</w:t>
      </w:r>
    </w:p>
    <w:p w14:paraId="17EFFF02" w14:textId="77777777" w:rsidR="003B65BD" w:rsidRPr="00EE7BC1" w:rsidRDefault="003B65BD" w:rsidP="003B65BD">
      <w:pPr>
        <w:rPr>
          <w:rFonts w:cs="Arial"/>
          <w:szCs w:val="21"/>
        </w:rPr>
      </w:pPr>
      <w:r w:rsidRPr="00EE7BC1">
        <w:rPr>
          <w:rFonts w:cs="Arial"/>
          <w:szCs w:val="21"/>
        </w:rPr>
        <w:t>These services include medium scale emergency departments and dedicated intensive care units.</w:t>
      </w:r>
    </w:p>
    <w:p w14:paraId="6D16AFB7" w14:textId="77777777" w:rsidR="003B65BD" w:rsidRPr="00EE7BC1" w:rsidRDefault="003B65BD" w:rsidP="003B65BD">
      <w:pPr>
        <w:rPr>
          <w:rFonts w:cs="Arial"/>
          <w:szCs w:val="21"/>
        </w:rPr>
      </w:pPr>
      <w:r w:rsidRPr="00EE7BC1">
        <w:rPr>
          <w:rFonts w:cs="Arial"/>
          <w:szCs w:val="21"/>
        </w:rPr>
        <w:t>Major Hospitals have the important responsibility of supporting other services in their region or sub-region through provision of greater complexity care, provision of clinical support services, coordinating treatment plans for complex patients and teaching and training. Additionally, Major Hospitals provide specialist clinical advice to General, District and Small Hospitals and Health Centres. This advice supports care in place where clinically appropriate or expedited patient transfer for higher acuity care, followed by repatriation of patients to local services for lower acuity care closer to their community.</w:t>
      </w:r>
    </w:p>
    <w:p w14:paraId="1A5FDDF8" w14:textId="77777777" w:rsidR="003B65BD" w:rsidRPr="00EE7BC1" w:rsidRDefault="003B65BD" w:rsidP="003B65BD">
      <w:pPr>
        <w:rPr>
          <w:rFonts w:cs="Arial"/>
          <w:szCs w:val="21"/>
        </w:rPr>
      </w:pPr>
      <w:r w:rsidRPr="00EE7BC1">
        <w:rPr>
          <w:rFonts w:cs="Arial"/>
          <w:szCs w:val="21"/>
        </w:rPr>
        <w:t>Major Hospitals will have affiliations with universities supporting clinical placements for medical, nursing, and allied health students and engagement in research. Major Hospitals may provide advanced training in some craft areas.</w:t>
      </w:r>
    </w:p>
    <w:p w14:paraId="6AD32884" w14:textId="77777777" w:rsidR="003B65BD" w:rsidRPr="00EE7BC1" w:rsidRDefault="003B65BD" w:rsidP="003B65BD">
      <w:pPr>
        <w:rPr>
          <w:rFonts w:cs="Arial"/>
          <w:szCs w:val="21"/>
        </w:rPr>
      </w:pPr>
      <w:r w:rsidRPr="00EE7BC1">
        <w:rPr>
          <w:rFonts w:cs="Arial"/>
          <w:szCs w:val="21"/>
        </w:rPr>
        <w:t>Major Hospitals also have a responsibility to build and maintain partnerships for clinical support, workforce training, and contribute to</w:t>
      </w:r>
      <w:r w:rsidRPr="008E7073">
        <w:rPr>
          <w:rFonts w:cs="Arial"/>
        </w:rPr>
        <w:t xml:space="preserve"> </w:t>
      </w:r>
      <w:r w:rsidRPr="00EE7BC1">
        <w:rPr>
          <w:rFonts w:cs="Arial"/>
          <w:szCs w:val="21"/>
        </w:rPr>
        <w:t>clinical investigations with Principal Hospitals within their region and Tertiary and Specialist Hospitals across Victoria.</w:t>
      </w:r>
    </w:p>
    <w:p w14:paraId="0286CD06" w14:textId="04E05C6F" w:rsidR="003B65BD" w:rsidRPr="008E7073" w:rsidRDefault="003B65BD" w:rsidP="003B65BD">
      <w:pPr>
        <w:pStyle w:val="Heading3"/>
        <w:rPr>
          <w:rFonts w:cs="Arial"/>
        </w:rPr>
      </w:pPr>
      <w:bookmarkStart w:id="31" w:name="_Toc204251890"/>
      <w:r w:rsidRPr="008E7073">
        <w:rPr>
          <w:rFonts w:cs="Arial"/>
        </w:rPr>
        <w:lastRenderedPageBreak/>
        <w:t>Principal Hospitals</w:t>
      </w:r>
      <w:bookmarkEnd w:id="31"/>
    </w:p>
    <w:p w14:paraId="0E682C90" w14:textId="77777777" w:rsidR="003B65BD" w:rsidRPr="00EE7BC1" w:rsidRDefault="003B65BD" w:rsidP="003B65BD">
      <w:pPr>
        <w:rPr>
          <w:rFonts w:cs="Arial"/>
          <w:szCs w:val="21"/>
        </w:rPr>
      </w:pPr>
      <w:r w:rsidRPr="00EE7BC1">
        <w:rPr>
          <w:rFonts w:cs="Arial"/>
          <w:szCs w:val="21"/>
        </w:rPr>
        <w:t xml:space="preserve">Principal Hospitals service metropolitan Melbourne growth corridors, major suburban areas and major regions in regional Victoria. </w:t>
      </w:r>
    </w:p>
    <w:p w14:paraId="4D825BC4" w14:textId="77777777" w:rsidR="003B65BD" w:rsidRPr="00EE7BC1" w:rsidRDefault="003B65BD" w:rsidP="003B65BD">
      <w:pPr>
        <w:rPr>
          <w:rFonts w:cs="Arial"/>
          <w:szCs w:val="21"/>
        </w:rPr>
      </w:pPr>
      <w:r w:rsidRPr="00EE7BC1">
        <w:rPr>
          <w:rFonts w:cs="Arial"/>
          <w:szCs w:val="21"/>
        </w:rPr>
        <w:t>Principal Hospitals provide an extensive range of clinical services and manage most needs for acute and emergency care, except for the most complex care, which is referred to Tertiary Hospitals and Specialist Hospital sites. Indeed, owing to the breadth and complexity of care provided by Principal Hospitals, one of their key responsibilities is to limit unnecessary flows to Tertiary Hospitals, supporting the role of Tertiary Hospitals in their provision of the most complex care.</w:t>
      </w:r>
    </w:p>
    <w:p w14:paraId="1D0744AC" w14:textId="77777777" w:rsidR="003B65BD" w:rsidRPr="00EE7BC1" w:rsidRDefault="003B65BD" w:rsidP="003B65BD">
      <w:pPr>
        <w:rPr>
          <w:rFonts w:cs="Arial"/>
          <w:szCs w:val="21"/>
        </w:rPr>
      </w:pPr>
      <w:r w:rsidRPr="00EE7BC1">
        <w:rPr>
          <w:rFonts w:cs="Arial"/>
          <w:szCs w:val="21"/>
        </w:rPr>
        <w:t>Principal Hospitals have the significant system responsibility of teaching and training clinicians and supporting consistent, region-wide support for professional development across Networks. Many Principal Hospitals support clinical education for a range of health professionals and are accredited sites for postgraduate medical training. These hospitals typically maintain long-standing partnerships with multiple universities and play a key role in delivering teaching, training, and research programs.</w:t>
      </w:r>
    </w:p>
    <w:p w14:paraId="3AE2457D" w14:textId="3D4CEAF4" w:rsidR="003B65BD" w:rsidRPr="00EE7BC1" w:rsidRDefault="003B65BD" w:rsidP="003B65BD">
      <w:pPr>
        <w:rPr>
          <w:rFonts w:cs="Arial"/>
          <w:szCs w:val="21"/>
        </w:rPr>
      </w:pPr>
      <w:r w:rsidRPr="00EE7BC1">
        <w:rPr>
          <w:rFonts w:cs="Arial"/>
          <w:szCs w:val="21"/>
        </w:rPr>
        <w:t xml:space="preserve">In addition, these sites have the responsibility of supporting Small Hospitals and Health Centres, District </w:t>
      </w:r>
      <w:r w:rsidR="00497F25">
        <w:rPr>
          <w:rFonts w:cs="Arial"/>
          <w:szCs w:val="21"/>
        </w:rPr>
        <w:t xml:space="preserve">and Community </w:t>
      </w:r>
      <w:r w:rsidRPr="00EE7BC1">
        <w:rPr>
          <w:rFonts w:cs="Arial"/>
          <w:szCs w:val="21"/>
        </w:rPr>
        <w:t xml:space="preserve">Hospitals, General Hospitals and Major Hospitals with access to clinical expertise through virtual and nonvirtual modalities. Principal Hospitals are responsible for supporting other sites to determine whether care can be delivered in place. Where patient transfer to a Principal Hospital is required, Principal Hospitals have a responsibility to accommodate these patients and for facilitating repatriation (when appropriate) to a Major, General or District </w:t>
      </w:r>
      <w:r w:rsidR="00DA2B2E">
        <w:rPr>
          <w:rFonts w:cs="Arial"/>
          <w:szCs w:val="21"/>
        </w:rPr>
        <w:t xml:space="preserve">and Community </w:t>
      </w:r>
      <w:r w:rsidRPr="00EE7BC1">
        <w:rPr>
          <w:rFonts w:cs="Arial"/>
          <w:szCs w:val="21"/>
        </w:rPr>
        <w:t>Hospital site to facilitate recovery and stepdown care close to home.</w:t>
      </w:r>
    </w:p>
    <w:p w14:paraId="15909F6F" w14:textId="77777777" w:rsidR="003B65BD" w:rsidRPr="00EE7BC1" w:rsidRDefault="003B65BD" w:rsidP="003B65BD">
      <w:pPr>
        <w:rPr>
          <w:rFonts w:cs="Arial"/>
          <w:szCs w:val="21"/>
        </w:rPr>
      </w:pPr>
      <w:r w:rsidRPr="00EE7BC1">
        <w:rPr>
          <w:rFonts w:cs="Arial"/>
          <w:szCs w:val="21"/>
        </w:rPr>
        <w:t>Principal Hospitals also support Networks in determining when it is clinically appropriate for a patient’s care to be escalated to a Tertiary or Specialist Hospital, and they are responsible for accepting back these patients following the highly complex component of their care.</w:t>
      </w:r>
    </w:p>
    <w:p w14:paraId="684122B0" w14:textId="77777777" w:rsidR="003B65BD" w:rsidRPr="00EE7BC1" w:rsidRDefault="003B65BD" w:rsidP="003B65BD">
      <w:pPr>
        <w:rPr>
          <w:rFonts w:cs="Arial"/>
          <w:szCs w:val="21"/>
        </w:rPr>
      </w:pPr>
      <w:r w:rsidRPr="00EE7BC1">
        <w:rPr>
          <w:rFonts w:cs="Arial"/>
          <w:szCs w:val="21"/>
        </w:rPr>
        <w:t>Principal Hospitals also provide clinical governance leadership in their Networks by supporting consistency and robustness of clinical governance frameworks and developing approaches to manage safety, quality and risk at a Network level.</w:t>
      </w:r>
    </w:p>
    <w:p w14:paraId="69693F75" w14:textId="5F85BF77" w:rsidR="003B65BD" w:rsidRPr="008E7073" w:rsidRDefault="001A6952" w:rsidP="003B65BD">
      <w:pPr>
        <w:pStyle w:val="Heading3"/>
        <w:rPr>
          <w:rFonts w:cs="Arial"/>
        </w:rPr>
      </w:pPr>
      <w:bookmarkStart w:id="32" w:name="_Toc204251891"/>
      <w:r>
        <w:rPr>
          <w:rFonts w:cs="Arial"/>
        </w:rPr>
        <w:t>Regional Tertiary</w:t>
      </w:r>
      <w:r w:rsidR="003B65BD" w:rsidRPr="008E7073">
        <w:rPr>
          <w:rFonts w:cs="Arial"/>
        </w:rPr>
        <w:t xml:space="preserve"> Hospitals</w:t>
      </w:r>
      <w:bookmarkEnd w:id="32"/>
    </w:p>
    <w:p w14:paraId="1F6B1886" w14:textId="77777777" w:rsidR="006569C3" w:rsidRPr="006569C3" w:rsidRDefault="006569C3" w:rsidP="006569C3">
      <w:pPr>
        <w:rPr>
          <w:rFonts w:cs="Arial"/>
          <w:szCs w:val="21"/>
        </w:rPr>
      </w:pPr>
      <w:r w:rsidRPr="006569C3">
        <w:rPr>
          <w:rFonts w:cs="Arial"/>
          <w:szCs w:val="21"/>
        </w:rPr>
        <w:t>Regional Tertiary Hospitals share many of the same characteristics and responsibilities as Principal Hospitals, however, they have the additional responsibility of serving more than one Local Health Service Network in regional Victoria. Here, Regional Tertiary Hospitals serve as the referral centre for complex care for their own Network, as well as one or more geographically adjacent Networks. With this responsibility, Regional Tertiary Hospitals limit the need for patient flows from multiple regional Networks to metropolitan Tertiary Hospitals (see below), resulting in regional self-sufficiency levels greater than 90%.</w:t>
      </w:r>
    </w:p>
    <w:p w14:paraId="2C778A8D" w14:textId="20C34F5C" w:rsidR="003B65BD" w:rsidRDefault="006569C3" w:rsidP="006569C3">
      <w:pPr>
        <w:rPr>
          <w:rFonts w:cs="Arial"/>
          <w:szCs w:val="21"/>
        </w:rPr>
      </w:pPr>
      <w:r w:rsidRPr="006569C3">
        <w:rPr>
          <w:rFonts w:cs="Arial"/>
          <w:szCs w:val="21"/>
        </w:rPr>
        <w:t>In performing this function, Regional Tertiary Hospitals service a larger geography and population than Principal Hospitals in regional Victoria, with population scale of 0.5</w:t>
      </w:r>
      <w:r w:rsidR="00274368">
        <w:rPr>
          <w:rFonts w:cs="Arial"/>
          <w:szCs w:val="21"/>
        </w:rPr>
        <w:t xml:space="preserve"> million</w:t>
      </w:r>
      <w:r w:rsidRPr="006569C3">
        <w:rPr>
          <w:rFonts w:cs="Arial"/>
          <w:szCs w:val="21"/>
        </w:rPr>
        <w:t xml:space="preserve"> or more people. Owing to this, Regional Tertiary Hospitals may deliver some highly complex services where this population scale facilitates safe and sustainable volumes of care and where this reduces the need for lengthy patient travel times to metropolitan Tertiary Hospitals.</w:t>
      </w:r>
    </w:p>
    <w:p w14:paraId="6F7EBC0A" w14:textId="77777777" w:rsidR="00710063" w:rsidRPr="00925E2B" w:rsidRDefault="00710063" w:rsidP="00925E2B">
      <w:pPr>
        <w:pStyle w:val="Heading3"/>
        <w:rPr>
          <w:rFonts w:cs="Arial"/>
        </w:rPr>
      </w:pPr>
      <w:bookmarkStart w:id="33" w:name="_Toc204251892"/>
      <w:r w:rsidRPr="00925E2B">
        <w:rPr>
          <w:rFonts w:cs="Arial"/>
        </w:rPr>
        <w:t>Tertiary Hospitals</w:t>
      </w:r>
      <w:bookmarkEnd w:id="33"/>
    </w:p>
    <w:p w14:paraId="6C00B5A7" w14:textId="77777777" w:rsidR="00710063" w:rsidRPr="00710063" w:rsidRDefault="00710063" w:rsidP="00710063">
      <w:pPr>
        <w:rPr>
          <w:rFonts w:cs="Arial"/>
          <w:szCs w:val="21"/>
        </w:rPr>
      </w:pPr>
      <w:r w:rsidRPr="00710063">
        <w:rPr>
          <w:rFonts w:cs="Arial"/>
          <w:szCs w:val="21"/>
        </w:rPr>
        <w:t xml:space="preserve">Tertiary Hospitals are located in Melbourne and typically serve large metropolitan regions, with a broader catchment extending into regional Victoria. </w:t>
      </w:r>
    </w:p>
    <w:p w14:paraId="7245C8C4" w14:textId="77777777" w:rsidR="00710063" w:rsidRPr="00710063" w:rsidRDefault="00710063" w:rsidP="00710063">
      <w:pPr>
        <w:rPr>
          <w:rFonts w:cs="Arial"/>
          <w:szCs w:val="21"/>
        </w:rPr>
      </w:pPr>
      <w:r w:rsidRPr="00710063">
        <w:rPr>
          <w:rFonts w:cs="Arial"/>
          <w:szCs w:val="21"/>
        </w:rPr>
        <w:lastRenderedPageBreak/>
        <w:t>These sites are responsible for providing general acute care for their proximate communities while also providing the most complex care across all disciplines and specialties, with some clinical subspecialities centralised to one or more Tertiary Hospitals. Typically, highly complex maternity and paediatric care is referred to Women’s and Children’s Hospitals.</w:t>
      </w:r>
    </w:p>
    <w:p w14:paraId="7A340634" w14:textId="77777777" w:rsidR="00710063" w:rsidRPr="00710063" w:rsidRDefault="00710063" w:rsidP="00710063">
      <w:pPr>
        <w:rPr>
          <w:rFonts w:cs="Arial"/>
          <w:szCs w:val="21"/>
        </w:rPr>
      </w:pPr>
      <w:r w:rsidRPr="00710063">
        <w:rPr>
          <w:rFonts w:cs="Arial"/>
          <w:szCs w:val="21"/>
        </w:rPr>
        <w:t xml:space="preserve">Tertiary Hospitals offer the most complex level of clinical care, equipped with specialised technology and a broad range of specialised staff. They are also responsible for providing statewide, national and low volume, highly complex services to broader populations. They are equipped with specialised medical technology and staffed by a wide range of specialised clinicians. Extensive partnerships with universities and research centres support ongoing learning and development. Owing to this, Tertiary Hospitals have significant responsibilities in the system in teaching and training and research and innovation. </w:t>
      </w:r>
    </w:p>
    <w:p w14:paraId="38DEF499" w14:textId="77777777" w:rsidR="00710063" w:rsidRPr="00710063" w:rsidRDefault="00710063" w:rsidP="00710063">
      <w:pPr>
        <w:rPr>
          <w:rFonts w:cs="Arial"/>
          <w:szCs w:val="21"/>
        </w:rPr>
      </w:pPr>
      <w:r w:rsidRPr="00710063">
        <w:rPr>
          <w:rFonts w:cs="Arial"/>
          <w:szCs w:val="21"/>
        </w:rPr>
        <w:t xml:space="preserve">Tertiary Hospitals have the responsibility of supporting Local Health Service Networks through the provision of specialist expertise both directly in clinical care and indirectly through teaching, training, and professional development to ensure dissemination of clinical expertise and learning opportunities. These relationships ensure that each Network has ready access to the capabilities of a Tertiary Hospital to support care in place where clinically appropriate, local capability uplift and bed access for care escalation when required. </w:t>
      </w:r>
    </w:p>
    <w:p w14:paraId="5C5A6739" w14:textId="77777777" w:rsidR="00710063" w:rsidRPr="00925E2B" w:rsidRDefault="00710063" w:rsidP="00925E2B">
      <w:pPr>
        <w:pStyle w:val="Heading3"/>
        <w:rPr>
          <w:rFonts w:cs="Arial"/>
        </w:rPr>
      </w:pPr>
      <w:bookmarkStart w:id="34" w:name="_Toc204251893"/>
      <w:r w:rsidRPr="00925E2B">
        <w:rPr>
          <w:rFonts w:cs="Arial"/>
        </w:rPr>
        <w:t>Women’s and Children’s Hospitals</w:t>
      </w:r>
      <w:bookmarkEnd w:id="34"/>
    </w:p>
    <w:p w14:paraId="1336E727" w14:textId="77777777" w:rsidR="00710063" w:rsidRPr="00710063" w:rsidRDefault="00710063" w:rsidP="00710063">
      <w:pPr>
        <w:rPr>
          <w:rFonts w:cs="Arial"/>
          <w:szCs w:val="21"/>
        </w:rPr>
      </w:pPr>
      <w:r w:rsidRPr="00710063">
        <w:rPr>
          <w:rFonts w:cs="Arial"/>
          <w:szCs w:val="21"/>
        </w:rPr>
        <w:t>Women’s and Children’s Hospitals are highly specialised service providers in women’s and paediatric care. These Hospitals provide care to patients with varying complexity including delivering the highest complexity care across obstetrics, gynaecology, and paediatrics for their broader metropolitan, regional and rural catchments. In some cases, this includes designated statewide or national services such as gynaecological oncology management, paediatric transplants and highly specialised therapies.</w:t>
      </w:r>
    </w:p>
    <w:p w14:paraId="3C4E76CB" w14:textId="77777777" w:rsidR="00710063" w:rsidRPr="00710063" w:rsidRDefault="00710063" w:rsidP="00710063">
      <w:pPr>
        <w:rPr>
          <w:rFonts w:cs="Arial"/>
          <w:szCs w:val="21"/>
        </w:rPr>
      </w:pPr>
      <w:r w:rsidRPr="00710063">
        <w:rPr>
          <w:rFonts w:cs="Arial"/>
          <w:szCs w:val="21"/>
        </w:rPr>
        <w:t>Women’s and Children’s Hospitals are responsible for supporting the health system through clinical support, clinical governance and oversight, workforce training and research opportunities. Similar to Tertiary Hospitals, these responsibilities of Women’s and Children’s Hospitals are aligned with, but not limited to, formalised relationships with specific Local Health Service Networks, ensuring that each Network has ready access to expertise in women’s and paediatric care to support care in place where clinically appropriate, local capability uplift and bed access for care escalation when required.</w:t>
      </w:r>
    </w:p>
    <w:p w14:paraId="2930295B" w14:textId="77777777" w:rsidR="00710063" w:rsidRPr="00710063" w:rsidRDefault="00710063" w:rsidP="00710063">
      <w:pPr>
        <w:rPr>
          <w:rFonts w:cs="Arial"/>
          <w:szCs w:val="21"/>
        </w:rPr>
      </w:pPr>
      <w:r w:rsidRPr="00710063">
        <w:rPr>
          <w:rFonts w:cs="Arial"/>
          <w:szCs w:val="21"/>
        </w:rPr>
        <w:t xml:space="preserve">In addition to the provision of high complexity care, these Hospitals also lead and disseminate research and best practice in women’s and paediatric health. </w:t>
      </w:r>
    </w:p>
    <w:p w14:paraId="37AF5935" w14:textId="77777777" w:rsidR="00710063" w:rsidRPr="00925E2B" w:rsidRDefault="00710063" w:rsidP="00925E2B">
      <w:pPr>
        <w:pStyle w:val="Heading3"/>
        <w:rPr>
          <w:rFonts w:cs="Arial"/>
        </w:rPr>
      </w:pPr>
      <w:bookmarkStart w:id="35" w:name="_Toc204251894"/>
      <w:r w:rsidRPr="00925E2B">
        <w:rPr>
          <w:rFonts w:cs="Arial"/>
        </w:rPr>
        <w:t>Specialist Hospitals</w:t>
      </w:r>
      <w:bookmarkEnd w:id="35"/>
    </w:p>
    <w:p w14:paraId="5CFE153A" w14:textId="77777777" w:rsidR="00710063" w:rsidRPr="00710063" w:rsidRDefault="00710063" w:rsidP="00710063">
      <w:pPr>
        <w:rPr>
          <w:rFonts w:cs="Arial"/>
          <w:szCs w:val="21"/>
        </w:rPr>
      </w:pPr>
      <w:r w:rsidRPr="00710063">
        <w:rPr>
          <w:rFonts w:cs="Arial"/>
          <w:szCs w:val="21"/>
        </w:rPr>
        <w:t xml:space="preserve">Specialist Hospitals provide care for a specific clinical specialty from the least to the most complex care. Specialist Hospitals also lead research within their respective clinical specialties. </w:t>
      </w:r>
    </w:p>
    <w:p w14:paraId="07D6AC93" w14:textId="1A813D25" w:rsidR="00710063" w:rsidRPr="006569C3" w:rsidRDefault="00710063" w:rsidP="00710063">
      <w:pPr>
        <w:rPr>
          <w:rFonts w:cs="Arial"/>
          <w:szCs w:val="21"/>
        </w:rPr>
      </w:pPr>
      <w:r w:rsidRPr="00710063">
        <w:rPr>
          <w:rFonts w:cs="Arial"/>
          <w:szCs w:val="21"/>
        </w:rPr>
        <w:t>Specialist Hospitals have a state-wide role in not only providing high acuity care across Victoria but also have the responsibility of supporting other sites within their clinical specialty to build capability through clinical support and workforce training. Similar to Tertiary and Women’s and Children’s Hospitals, Specialist Hospitals lead and disseminate research and best practice in their areas of specialty.</w:t>
      </w:r>
    </w:p>
    <w:p w14:paraId="7316F589" w14:textId="2D9D75DE" w:rsidR="003B65BD" w:rsidRPr="008E7073" w:rsidRDefault="003B65BD" w:rsidP="003B65BD">
      <w:pPr>
        <w:pStyle w:val="Heading3"/>
        <w:rPr>
          <w:rFonts w:cs="Arial"/>
        </w:rPr>
      </w:pPr>
      <w:bookmarkStart w:id="36" w:name="_Toc204251895"/>
      <w:r w:rsidRPr="008E7073">
        <w:rPr>
          <w:rFonts w:cs="Arial"/>
        </w:rPr>
        <w:lastRenderedPageBreak/>
        <w:t>Sub-Acute Hospitals</w:t>
      </w:r>
      <w:bookmarkEnd w:id="36"/>
    </w:p>
    <w:p w14:paraId="3EB6423C" w14:textId="77777777" w:rsidR="003B65BD" w:rsidRPr="00E86070" w:rsidRDefault="003B65BD" w:rsidP="003B65BD">
      <w:pPr>
        <w:rPr>
          <w:rFonts w:cs="Arial"/>
          <w:szCs w:val="21"/>
        </w:rPr>
      </w:pPr>
      <w:r w:rsidRPr="00E86070">
        <w:rPr>
          <w:rFonts w:cs="Arial"/>
          <w:szCs w:val="21"/>
        </w:rPr>
        <w:t xml:space="preserve">Sub-acute Hospitals typically provide geriatric evaluation management and rehabilitation and may provide palliative care and step-down care for a target cohort and provide a comprehensive range of allied health services. They may also provide limited ambulatory services such as maintenance dialysis. Sub-acute Hospitals are often linked with an acute service provider which can provide additional clinical supports and governance. </w:t>
      </w:r>
    </w:p>
    <w:p w14:paraId="7117D874" w14:textId="77777777" w:rsidR="003B65BD" w:rsidRPr="00E86070" w:rsidRDefault="003B65BD" w:rsidP="003B65BD">
      <w:pPr>
        <w:rPr>
          <w:rFonts w:cs="Arial"/>
          <w:szCs w:val="21"/>
        </w:rPr>
      </w:pPr>
      <w:r w:rsidRPr="00E86070">
        <w:rPr>
          <w:rFonts w:cs="Arial"/>
          <w:szCs w:val="21"/>
        </w:rPr>
        <w:t>Sub-acute Hospitals share accountability with acute hospitals in supporting efficient patient flow within Networks and within the system. By accepting patient transfers from acute hospitals in a timely manner, beds are liberated in the transferring hospitals to accommodate patients needing acute care, improving system efficiency.</w:t>
      </w:r>
    </w:p>
    <w:p w14:paraId="3AD7C01E" w14:textId="77777777" w:rsidR="003B65BD" w:rsidRPr="00E86070" w:rsidRDefault="003B65BD" w:rsidP="003B65BD">
      <w:pPr>
        <w:rPr>
          <w:rFonts w:cs="Arial"/>
          <w:szCs w:val="21"/>
        </w:rPr>
      </w:pPr>
      <w:r w:rsidRPr="00E86070">
        <w:rPr>
          <w:rFonts w:cs="Arial"/>
          <w:szCs w:val="21"/>
        </w:rPr>
        <w:t>Sub-acute hospitals also play a meaningful role in clinical innovation, teaching, and training within the broader health system, particularly in allied health disciplines. These hospitals lead innovation in care models that support functional and quality-of-life outcomes, and some Sub-acute Hospitals are also statewide leaders in highly specialised rehabilitative care and research for specific degenerative diseases and traumatic injury.</w:t>
      </w:r>
    </w:p>
    <w:p w14:paraId="2CF4BFFE" w14:textId="560845E5" w:rsidR="003B65BD" w:rsidRPr="008E7073" w:rsidRDefault="003B65BD" w:rsidP="003B65BD">
      <w:pPr>
        <w:pStyle w:val="Heading3"/>
        <w:rPr>
          <w:rFonts w:cs="Arial"/>
        </w:rPr>
      </w:pPr>
      <w:bookmarkStart w:id="37" w:name="_Toc204251896"/>
      <w:r w:rsidRPr="008E7073">
        <w:rPr>
          <w:rFonts w:cs="Arial"/>
        </w:rPr>
        <w:t>Early Parenting Centres</w:t>
      </w:r>
      <w:bookmarkEnd w:id="37"/>
    </w:p>
    <w:p w14:paraId="739FA5F0" w14:textId="77777777" w:rsidR="003B65BD" w:rsidRPr="00E86070" w:rsidRDefault="003B65BD" w:rsidP="003B65BD">
      <w:pPr>
        <w:rPr>
          <w:rFonts w:cs="Arial"/>
          <w:szCs w:val="21"/>
        </w:rPr>
      </w:pPr>
      <w:r w:rsidRPr="00E86070">
        <w:rPr>
          <w:rFonts w:cs="Arial"/>
          <w:szCs w:val="21"/>
        </w:rPr>
        <w:t>Early Parenting Centres (EPCs) provide specialist support for Victorian families with children from birth and up to 4 years.</w:t>
      </w:r>
    </w:p>
    <w:p w14:paraId="4EADDF2C" w14:textId="77777777" w:rsidR="003B65BD" w:rsidRPr="00E86070" w:rsidRDefault="003B65BD" w:rsidP="003B65BD">
      <w:pPr>
        <w:rPr>
          <w:rFonts w:cs="Arial"/>
          <w:szCs w:val="21"/>
        </w:rPr>
      </w:pPr>
      <w:r w:rsidRPr="00E86070">
        <w:rPr>
          <w:rFonts w:cs="Arial"/>
          <w:szCs w:val="21"/>
        </w:rPr>
        <w:t>They deliver flexible, targeted services that aim to enhance the parent-child relationship. They also support parents with strategies to achieve their parenting goals such as:</w:t>
      </w:r>
    </w:p>
    <w:p w14:paraId="7F5785E7" w14:textId="77777777" w:rsidR="003B65BD" w:rsidRPr="00E86070" w:rsidRDefault="003B65BD" w:rsidP="003A2850">
      <w:pPr>
        <w:pStyle w:val="ListParagraph"/>
        <w:numPr>
          <w:ilvl w:val="0"/>
          <w:numId w:val="22"/>
        </w:numPr>
        <w:spacing w:after="60"/>
        <w:rPr>
          <w:rFonts w:ascii="Arial" w:hAnsi="Arial" w:cs="Arial"/>
          <w:sz w:val="21"/>
          <w:szCs w:val="21"/>
        </w:rPr>
      </w:pPr>
      <w:r w:rsidRPr="00E86070">
        <w:rPr>
          <w:rFonts w:ascii="Arial" w:hAnsi="Arial" w:cs="Arial"/>
          <w:sz w:val="21"/>
          <w:szCs w:val="21"/>
        </w:rPr>
        <w:t>sleep and settling</w:t>
      </w:r>
    </w:p>
    <w:p w14:paraId="5BB8F6D6" w14:textId="77777777" w:rsidR="003B65BD" w:rsidRPr="00E86070" w:rsidRDefault="003B65BD" w:rsidP="003A2850">
      <w:pPr>
        <w:pStyle w:val="ListParagraph"/>
        <w:numPr>
          <w:ilvl w:val="0"/>
          <w:numId w:val="22"/>
        </w:numPr>
        <w:spacing w:after="60"/>
        <w:rPr>
          <w:rFonts w:ascii="Arial" w:hAnsi="Arial" w:cs="Arial"/>
          <w:sz w:val="21"/>
          <w:szCs w:val="21"/>
        </w:rPr>
      </w:pPr>
      <w:r w:rsidRPr="00E86070">
        <w:rPr>
          <w:rFonts w:ascii="Arial" w:hAnsi="Arial" w:cs="Arial"/>
          <w:sz w:val="21"/>
          <w:szCs w:val="21"/>
        </w:rPr>
        <w:t>child behaviour</w:t>
      </w:r>
    </w:p>
    <w:p w14:paraId="61E25CC3" w14:textId="77777777" w:rsidR="003B65BD" w:rsidRPr="00E86070" w:rsidRDefault="003B65BD" w:rsidP="003A2850">
      <w:pPr>
        <w:pStyle w:val="ListParagraph"/>
        <w:numPr>
          <w:ilvl w:val="0"/>
          <w:numId w:val="22"/>
        </w:numPr>
        <w:rPr>
          <w:rFonts w:ascii="Arial" w:hAnsi="Arial" w:cs="Arial"/>
          <w:sz w:val="21"/>
          <w:szCs w:val="21"/>
        </w:rPr>
      </w:pPr>
      <w:r w:rsidRPr="00E86070">
        <w:rPr>
          <w:rFonts w:ascii="Arial" w:hAnsi="Arial" w:cs="Arial"/>
          <w:sz w:val="21"/>
          <w:szCs w:val="21"/>
        </w:rPr>
        <w:t>parent and child health and wellbeing</w:t>
      </w:r>
    </w:p>
    <w:p w14:paraId="440D89B2" w14:textId="77777777" w:rsidR="003B65BD" w:rsidRPr="00E86070" w:rsidRDefault="003B65BD" w:rsidP="003B65BD">
      <w:pPr>
        <w:rPr>
          <w:rFonts w:cs="Arial"/>
          <w:szCs w:val="21"/>
        </w:rPr>
      </w:pPr>
    </w:p>
    <w:p w14:paraId="566837DF" w14:textId="77777777" w:rsidR="003B65BD" w:rsidRPr="00E86070" w:rsidRDefault="003B65BD" w:rsidP="003B65BD">
      <w:pPr>
        <w:rPr>
          <w:rFonts w:cs="Arial"/>
          <w:szCs w:val="21"/>
        </w:rPr>
      </w:pPr>
      <w:r w:rsidRPr="00E86070">
        <w:rPr>
          <w:rFonts w:cs="Arial"/>
          <w:szCs w:val="21"/>
        </w:rPr>
        <w:t>Early Parenting Centres are responsible for supporting the wider Victorian health system by acting as a preventative, early-intervention service that reduce demand on acute, emergency, and mental health services. Their integration into the broader health and social care system contributes to improved outcomes for families.</w:t>
      </w:r>
    </w:p>
    <w:p w14:paraId="1E102FEF" w14:textId="707355ED" w:rsidR="003B65BD" w:rsidRPr="008E7073" w:rsidRDefault="003B65BD" w:rsidP="003B65BD">
      <w:pPr>
        <w:pStyle w:val="Heading3"/>
        <w:rPr>
          <w:rFonts w:cs="Arial"/>
        </w:rPr>
      </w:pPr>
      <w:bookmarkStart w:id="38" w:name="_Toc204251897"/>
      <w:r w:rsidRPr="008E7073">
        <w:rPr>
          <w:rFonts w:cs="Arial"/>
        </w:rPr>
        <w:t>Public Surgery Centres</w:t>
      </w:r>
      <w:bookmarkEnd w:id="38"/>
    </w:p>
    <w:p w14:paraId="272DC6CB" w14:textId="77777777" w:rsidR="003B65BD" w:rsidRPr="00E86070" w:rsidRDefault="003B65BD" w:rsidP="003B65BD">
      <w:pPr>
        <w:rPr>
          <w:rFonts w:cs="Arial"/>
          <w:szCs w:val="21"/>
        </w:rPr>
      </w:pPr>
      <w:r w:rsidRPr="00E86070">
        <w:rPr>
          <w:rFonts w:cs="Arial"/>
          <w:szCs w:val="21"/>
        </w:rPr>
        <w:t>Public Surgery Centres offer planned, non-emergency surgical procedures for broad catchments. These centres provide timely care to patients who require low to moderate complexity planned procedures.  They should provide a minimum of level 2 perioperative capability to manage predominantly both day case and overnight procedures.  They are not expected to manage low volume, highly specialised care.</w:t>
      </w:r>
    </w:p>
    <w:p w14:paraId="223024D4" w14:textId="77777777" w:rsidR="003B65BD" w:rsidRPr="00E86070" w:rsidRDefault="003B65BD" w:rsidP="003B65BD">
      <w:pPr>
        <w:rPr>
          <w:rFonts w:cs="Arial"/>
          <w:szCs w:val="21"/>
        </w:rPr>
      </w:pPr>
      <w:r w:rsidRPr="00E86070">
        <w:rPr>
          <w:rFonts w:cs="Arial"/>
          <w:szCs w:val="21"/>
        </w:rPr>
        <w:t>Public Surgery Centres covered in this Framework are those which are stand-alone (not collocated with an acute hospital site) and deliver moderate complexity procedural care.</w:t>
      </w:r>
    </w:p>
    <w:p w14:paraId="2C018CA5" w14:textId="77777777" w:rsidR="003B65BD" w:rsidRPr="00E86070" w:rsidRDefault="003B65BD" w:rsidP="003B65BD">
      <w:pPr>
        <w:rPr>
          <w:rFonts w:cs="Arial"/>
          <w:szCs w:val="21"/>
        </w:rPr>
      </w:pPr>
      <w:r w:rsidRPr="00E86070">
        <w:rPr>
          <w:rFonts w:cs="Arial"/>
          <w:szCs w:val="21"/>
        </w:rPr>
        <w:t>Public Surgery Centres have a shared responsibility with other hospitals to reduce surgical waiting times and alleviate demand pressure by focusing on planned surgeries in a streamlined and efficient environment.</w:t>
      </w:r>
    </w:p>
    <w:p w14:paraId="7ADDDDA4" w14:textId="77777777" w:rsidR="00CC2A61" w:rsidRDefault="00CC2A61">
      <w:pPr>
        <w:spacing w:after="0" w:line="240" w:lineRule="auto"/>
        <w:rPr>
          <w:rFonts w:eastAsia="MS Gothic" w:cs="Arial"/>
          <w:bCs/>
          <w:color w:val="201547"/>
          <w:kern w:val="32"/>
          <w:sz w:val="44"/>
          <w:szCs w:val="44"/>
        </w:rPr>
      </w:pPr>
      <w:r>
        <w:br w:type="page"/>
      </w:r>
    </w:p>
    <w:p w14:paraId="384AF7F2" w14:textId="3A58C72D" w:rsidR="003B65BD" w:rsidRPr="008E7073" w:rsidRDefault="003B65BD" w:rsidP="003B65BD">
      <w:pPr>
        <w:pStyle w:val="Heading1"/>
      </w:pPr>
      <w:bookmarkStart w:id="39" w:name="_Toc204251898"/>
      <w:r w:rsidRPr="008E7073">
        <w:lastRenderedPageBreak/>
        <w:t>Appendices</w:t>
      </w:r>
      <w:bookmarkEnd w:id="39"/>
    </w:p>
    <w:p w14:paraId="03B5E65D" w14:textId="055A9324" w:rsidR="003B65BD" w:rsidRPr="008E7073" w:rsidRDefault="003B65BD" w:rsidP="003B65BD">
      <w:pPr>
        <w:pStyle w:val="Heading2"/>
        <w:rPr>
          <w:rFonts w:cs="Arial"/>
        </w:rPr>
      </w:pPr>
      <w:bookmarkStart w:id="40" w:name="_Toc204251899"/>
      <w:r w:rsidRPr="008E7073">
        <w:rPr>
          <w:rFonts w:cs="Arial"/>
        </w:rPr>
        <w:t>Appendix 1: Health Services Plan Recommendations Related to this Framework</w:t>
      </w:r>
      <w:bookmarkEnd w:id="40"/>
    </w:p>
    <w:p w14:paraId="60145A51" w14:textId="363F7E99" w:rsidR="003B65BD" w:rsidRPr="00AF3CFE" w:rsidRDefault="003B65BD" w:rsidP="00AF3CFE">
      <w:pPr>
        <w:pStyle w:val="Heading3"/>
      </w:pPr>
      <w:bookmarkStart w:id="41" w:name="_Toc204251900"/>
      <w:r w:rsidRPr="00AF3CFE">
        <w:t xml:space="preserve">Recommendation 3.1: Victoria adopt a role delineation framework setting out </w:t>
      </w:r>
      <w:r w:rsidR="00867297">
        <w:t xml:space="preserve">the </w:t>
      </w:r>
      <w:r w:rsidRPr="00AF3CFE">
        <w:t>roles and responsibilities for each health service site</w:t>
      </w:r>
      <w:bookmarkEnd w:id="41"/>
    </w:p>
    <w:p w14:paraId="4215FA99" w14:textId="77777777" w:rsidR="003B65BD" w:rsidRPr="00E86070" w:rsidRDefault="003B65BD" w:rsidP="003B65BD">
      <w:pPr>
        <w:pStyle w:val="Body"/>
        <w:rPr>
          <w:rFonts w:cs="Arial"/>
          <w:szCs w:val="21"/>
        </w:rPr>
      </w:pPr>
      <w:r w:rsidRPr="00E86070">
        <w:rPr>
          <w:rFonts w:cs="Arial"/>
          <w:szCs w:val="21"/>
        </w:rPr>
        <w:t>The role delineation framework will draw from the Australian Institute of Health and Welfare peer grouping framework with modifications to take into account:</w:t>
      </w:r>
    </w:p>
    <w:p w14:paraId="603B9825" w14:textId="77777777" w:rsidR="003B65BD" w:rsidRPr="00E86070" w:rsidRDefault="003B65BD" w:rsidP="003A2850">
      <w:pPr>
        <w:pStyle w:val="Bullet1"/>
        <w:numPr>
          <w:ilvl w:val="0"/>
          <w:numId w:val="23"/>
        </w:numPr>
        <w:rPr>
          <w:rFonts w:cs="Arial"/>
          <w:szCs w:val="21"/>
        </w:rPr>
      </w:pPr>
      <w:r w:rsidRPr="00E86070">
        <w:rPr>
          <w:rFonts w:cs="Arial"/>
          <w:szCs w:val="21"/>
        </w:rPr>
        <w:t>primary, community, aged care, subacute and acute services</w:t>
      </w:r>
    </w:p>
    <w:p w14:paraId="6948B81A" w14:textId="77777777" w:rsidR="003B65BD" w:rsidRPr="00E86070" w:rsidRDefault="003B65BD" w:rsidP="003A2850">
      <w:pPr>
        <w:pStyle w:val="Bullet1"/>
        <w:numPr>
          <w:ilvl w:val="0"/>
          <w:numId w:val="23"/>
        </w:numPr>
        <w:rPr>
          <w:rFonts w:cs="Arial"/>
          <w:szCs w:val="21"/>
        </w:rPr>
      </w:pPr>
      <w:r w:rsidRPr="00E86070">
        <w:rPr>
          <w:rFonts w:cs="Arial"/>
          <w:szCs w:val="21"/>
        </w:rPr>
        <w:t>virtual and ambulatory as well as bed-based services</w:t>
      </w:r>
    </w:p>
    <w:p w14:paraId="25CBB688" w14:textId="77777777" w:rsidR="003B65BD" w:rsidRPr="00E86070" w:rsidRDefault="003B65BD" w:rsidP="003A2850">
      <w:pPr>
        <w:pStyle w:val="Bullet1"/>
        <w:numPr>
          <w:ilvl w:val="0"/>
          <w:numId w:val="23"/>
        </w:numPr>
        <w:rPr>
          <w:rFonts w:cs="Arial"/>
          <w:szCs w:val="21"/>
        </w:rPr>
      </w:pPr>
      <w:r w:rsidRPr="00E86070">
        <w:rPr>
          <w:rFonts w:cs="Arial"/>
          <w:szCs w:val="21"/>
        </w:rPr>
        <w:t>population, geography, and accessibility of care</w:t>
      </w:r>
    </w:p>
    <w:p w14:paraId="13264744" w14:textId="77777777" w:rsidR="003B65BD" w:rsidRPr="00E86070" w:rsidRDefault="003B65BD" w:rsidP="003A2850">
      <w:pPr>
        <w:pStyle w:val="Bullet1"/>
        <w:numPr>
          <w:ilvl w:val="0"/>
          <w:numId w:val="23"/>
        </w:numPr>
        <w:rPr>
          <w:rFonts w:cs="Arial"/>
          <w:szCs w:val="21"/>
        </w:rPr>
      </w:pPr>
      <w:r w:rsidRPr="00E86070">
        <w:rPr>
          <w:rFonts w:cs="Arial"/>
          <w:szCs w:val="21"/>
        </w:rPr>
        <w:t>health service site size and capability.</w:t>
      </w:r>
    </w:p>
    <w:p w14:paraId="3E88B699" w14:textId="77777777" w:rsidR="003B65BD" w:rsidRPr="00E86070" w:rsidRDefault="003B65BD" w:rsidP="003B65BD">
      <w:pPr>
        <w:pStyle w:val="Body"/>
        <w:rPr>
          <w:rFonts w:cs="Arial"/>
          <w:szCs w:val="21"/>
        </w:rPr>
      </w:pPr>
      <w:r w:rsidRPr="00E86070">
        <w:rPr>
          <w:rFonts w:cs="Arial"/>
          <w:szCs w:val="21"/>
        </w:rPr>
        <w:t>The department will define the roles and responsibilities of health service sites in accordance with the role delineation framework and in consultation with health services.</w:t>
      </w:r>
    </w:p>
    <w:p w14:paraId="1DD1DC95" w14:textId="77777777" w:rsidR="003B65BD" w:rsidRPr="00E86070" w:rsidRDefault="003B65BD" w:rsidP="003B65BD">
      <w:pPr>
        <w:pStyle w:val="Body"/>
        <w:rPr>
          <w:rFonts w:cs="Arial"/>
          <w:szCs w:val="21"/>
        </w:rPr>
      </w:pPr>
      <w:r w:rsidRPr="00E86070">
        <w:rPr>
          <w:rFonts w:eastAsia="VIC" w:cs="Arial"/>
          <w:color w:val="000000" w:themeColor="text1"/>
          <w:szCs w:val="21"/>
        </w:rPr>
        <w:t>Roles will be defined as Very Small, Group D to A health service sites, and Major Tertiary sites, offering service profiles with increasing clinical complexity. Health service sites delivering the most complex and specialised care in Victoria will be defined as major tertiary where they deliver comprehensive adult care and as women’s, children’s or specialist health service sites where they deliver complex care for distinct patient cohorts.</w:t>
      </w:r>
    </w:p>
    <w:p w14:paraId="1708012B" w14:textId="77777777" w:rsidR="003B65BD" w:rsidRPr="00E86070" w:rsidRDefault="003B65BD" w:rsidP="003B65BD">
      <w:pPr>
        <w:pStyle w:val="Body"/>
        <w:rPr>
          <w:rFonts w:cs="Arial"/>
          <w:szCs w:val="21"/>
        </w:rPr>
      </w:pPr>
      <w:r w:rsidRPr="00E86070">
        <w:rPr>
          <w:rFonts w:cs="Arial"/>
          <w:szCs w:val="21"/>
        </w:rPr>
        <w:t>The department will establish a process for these roles and responsibilities to be updated as health service site capabilities and the community’s health needs evolve over time.</w:t>
      </w:r>
    </w:p>
    <w:p w14:paraId="29219B93" w14:textId="77777777" w:rsidR="003B65BD" w:rsidRPr="00E86070" w:rsidRDefault="003B65BD" w:rsidP="003B65BD">
      <w:pPr>
        <w:pStyle w:val="Body"/>
        <w:rPr>
          <w:rFonts w:cs="Arial"/>
          <w:szCs w:val="21"/>
        </w:rPr>
      </w:pPr>
      <w:r w:rsidRPr="00E86070">
        <w:rPr>
          <w:rFonts w:cs="Arial"/>
          <w:szCs w:val="21"/>
        </w:rPr>
        <w:t xml:space="preserve">The department will continue to develop a comprehensive suite of clinical capability frameworks, which will support more detailed role delineation at the level of clinical specialties. </w:t>
      </w:r>
    </w:p>
    <w:p w14:paraId="095A1EC9" w14:textId="77777777" w:rsidR="003B65BD" w:rsidRPr="008E7073" w:rsidRDefault="003B65BD" w:rsidP="003B65BD">
      <w:pPr>
        <w:spacing w:after="0" w:line="240" w:lineRule="auto"/>
        <w:rPr>
          <w:rFonts w:eastAsia="MS Gothic" w:cs="Arial"/>
          <w:bCs/>
          <w:color w:val="201547"/>
          <w:kern w:val="32"/>
          <w:sz w:val="44"/>
          <w:szCs w:val="44"/>
        </w:rPr>
      </w:pPr>
      <w:r w:rsidRPr="008E7073">
        <w:rPr>
          <w:rFonts w:cs="Arial"/>
        </w:rPr>
        <w:br w:type="page"/>
      </w:r>
    </w:p>
    <w:p w14:paraId="1098698D" w14:textId="4F4375E6" w:rsidR="003B65BD" w:rsidRPr="008E7073" w:rsidRDefault="003B65BD" w:rsidP="003B65BD">
      <w:pPr>
        <w:pStyle w:val="Heading2"/>
        <w:rPr>
          <w:rFonts w:cs="Arial"/>
        </w:rPr>
      </w:pPr>
      <w:bookmarkStart w:id="42" w:name="_Toc204251901"/>
      <w:r w:rsidRPr="008E7073">
        <w:rPr>
          <w:rFonts w:cs="Arial"/>
        </w:rPr>
        <w:lastRenderedPageBreak/>
        <w:t>Appendix 2: Designated Low Volume, Highly Complex Care in Victoria</w:t>
      </w:r>
      <w:bookmarkEnd w:id="42"/>
      <w:r w:rsidRPr="008E7073">
        <w:rPr>
          <w:rFonts w:cs="Arial"/>
        </w:rPr>
        <w:t xml:space="preserve"> </w:t>
      </w:r>
    </w:p>
    <w:tbl>
      <w:tblPr>
        <w:tblW w:w="937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02"/>
        <w:gridCol w:w="905"/>
        <w:gridCol w:w="3588"/>
        <w:gridCol w:w="2082"/>
      </w:tblGrid>
      <w:tr w:rsidR="00F149A1" w:rsidRPr="008E7073" w14:paraId="504B0BC9" w14:textId="77777777" w:rsidTr="4DA9918C">
        <w:trPr>
          <w:trHeight w:val="570"/>
          <w:tblHeader/>
        </w:trPr>
        <w:tc>
          <w:tcPr>
            <w:tcW w:w="2802" w:type="dxa"/>
            <w:shd w:val="clear" w:color="auto" w:fill="F2F2F2" w:themeFill="background1" w:themeFillShade="F2"/>
          </w:tcPr>
          <w:p w14:paraId="080F7689" w14:textId="77777777" w:rsidR="00F149A1" w:rsidRPr="00410E0B" w:rsidRDefault="00F149A1">
            <w:pPr>
              <w:pStyle w:val="Body"/>
              <w:spacing w:after="0" w:line="240" w:lineRule="auto"/>
              <w:rPr>
                <w:rFonts w:cs="Arial"/>
                <w:szCs w:val="21"/>
              </w:rPr>
            </w:pPr>
            <w:r w:rsidRPr="00410E0B">
              <w:rPr>
                <w:rFonts w:cs="Arial"/>
                <w:b/>
                <w:bCs/>
                <w:szCs w:val="21"/>
              </w:rPr>
              <w:t xml:space="preserve">Currently designated services/procedures </w:t>
            </w:r>
          </w:p>
        </w:tc>
        <w:tc>
          <w:tcPr>
            <w:tcW w:w="905" w:type="dxa"/>
            <w:shd w:val="clear" w:color="auto" w:fill="F2F2F2" w:themeFill="background1" w:themeFillShade="F2"/>
          </w:tcPr>
          <w:p w14:paraId="544322D6" w14:textId="77777777" w:rsidR="00F149A1" w:rsidRPr="00410E0B" w:rsidRDefault="00F149A1">
            <w:pPr>
              <w:pStyle w:val="Body"/>
              <w:spacing w:after="0" w:line="240" w:lineRule="auto"/>
              <w:rPr>
                <w:rFonts w:cs="Arial"/>
                <w:szCs w:val="21"/>
              </w:rPr>
            </w:pPr>
            <w:r w:rsidRPr="00410E0B">
              <w:rPr>
                <w:rFonts w:cs="Arial"/>
                <w:b/>
                <w:bCs/>
                <w:szCs w:val="21"/>
              </w:rPr>
              <w:t xml:space="preserve">No. of sites </w:t>
            </w:r>
          </w:p>
        </w:tc>
        <w:tc>
          <w:tcPr>
            <w:tcW w:w="3588" w:type="dxa"/>
            <w:shd w:val="clear" w:color="auto" w:fill="F2F2F2" w:themeFill="background1" w:themeFillShade="F2"/>
          </w:tcPr>
          <w:p w14:paraId="2E9C4702" w14:textId="77777777" w:rsidR="00F149A1" w:rsidRPr="00410E0B" w:rsidRDefault="00F149A1">
            <w:pPr>
              <w:pStyle w:val="Body"/>
              <w:spacing w:after="0" w:line="240" w:lineRule="auto"/>
              <w:rPr>
                <w:rFonts w:cs="Arial"/>
                <w:szCs w:val="21"/>
              </w:rPr>
            </w:pPr>
            <w:r w:rsidRPr="00410E0B">
              <w:rPr>
                <w:rFonts w:cs="Arial"/>
                <w:b/>
                <w:bCs/>
                <w:szCs w:val="21"/>
              </w:rPr>
              <w:t xml:space="preserve">Designated health service/s </w:t>
            </w:r>
          </w:p>
        </w:tc>
        <w:tc>
          <w:tcPr>
            <w:tcW w:w="2082" w:type="dxa"/>
            <w:shd w:val="clear" w:color="auto" w:fill="F2F2F2" w:themeFill="background1" w:themeFillShade="F2"/>
          </w:tcPr>
          <w:p w14:paraId="3C5CD458" w14:textId="77777777" w:rsidR="00F149A1" w:rsidRPr="00410E0B" w:rsidRDefault="00F149A1">
            <w:pPr>
              <w:pStyle w:val="Body"/>
              <w:spacing w:after="0" w:line="240" w:lineRule="auto"/>
              <w:rPr>
                <w:rFonts w:cs="Arial"/>
                <w:szCs w:val="21"/>
              </w:rPr>
            </w:pPr>
            <w:r w:rsidRPr="00410E0B">
              <w:rPr>
                <w:rFonts w:cs="Arial"/>
                <w:b/>
                <w:bCs/>
                <w:szCs w:val="21"/>
              </w:rPr>
              <w:t xml:space="preserve">Nationally funded centre? </w:t>
            </w:r>
          </w:p>
        </w:tc>
      </w:tr>
      <w:tr w:rsidR="00F149A1" w:rsidRPr="008E7073" w14:paraId="25721981" w14:textId="77777777" w:rsidTr="4DA9918C">
        <w:trPr>
          <w:trHeight w:val="863"/>
        </w:trPr>
        <w:tc>
          <w:tcPr>
            <w:tcW w:w="2802" w:type="dxa"/>
          </w:tcPr>
          <w:p w14:paraId="6A0FF35C" w14:textId="187A1076" w:rsidR="00F149A1" w:rsidRPr="00410E0B" w:rsidRDefault="00F149A1">
            <w:pPr>
              <w:pStyle w:val="Body"/>
              <w:spacing w:after="0" w:line="240" w:lineRule="auto"/>
              <w:rPr>
                <w:rFonts w:cs="Arial"/>
              </w:rPr>
            </w:pPr>
            <w:r w:rsidRPr="4DA9918C">
              <w:rPr>
                <w:rFonts w:cs="Arial"/>
              </w:rPr>
              <w:t>A</w:t>
            </w:r>
            <w:r w:rsidR="36192E8B" w:rsidRPr="4DA9918C">
              <w:rPr>
                <w:rFonts w:cs="Arial"/>
              </w:rPr>
              <w:t xml:space="preserve">cquired </w:t>
            </w:r>
            <w:r w:rsidRPr="4DA9918C">
              <w:rPr>
                <w:rFonts w:cs="Arial"/>
              </w:rPr>
              <w:t>brain injur</w:t>
            </w:r>
            <w:r w:rsidR="755D49B7" w:rsidRPr="4DA9918C">
              <w:rPr>
                <w:rFonts w:cs="Arial"/>
              </w:rPr>
              <w:t>y</w:t>
            </w:r>
          </w:p>
        </w:tc>
        <w:tc>
          <w:tcPr>
            <w:tcW w:w="905" w:type="dxa"/>
          </w:tcPr>
          <w:p w14:paraId="00F80C5C" w14:textId="77777777" w:rsidR="00F149A1" w:rsidRPr="00410E0B" w:rsidRDefault="00F149A1">
            <w:pPr>
              <w:pStyle w:val="Body"/>
              <w:spacing w:after="0" w:line="240" w:lineRule="auto"/>
              <w:jc w:val="center"/>
              <w:rPr>
                <w:rFonts w:cs="Arial"/>
                <w:szCs w:val="21"/>
              </w:rPr>
            </w:pPr>
            <w:r w:rsidRPr="00410E0B">
              <w:rPr>
                <w:rFonts w:cs="Arial"/>
                <w:szCs w:val="21"/>
              </w:rPr>
              <w:t>2</w:t>
            </w:r>
          </w:p>
        </w:tc>
        <w:tc>
          <w:tcPr>
            <w:tcW w:w="3588" w:type="dxa"/>
          </w:tcPr>
          <w:p w14:paraId="46FEC32B" w14:textId="42A30B6C" w:rsidR="00F149A1" w:rsidRPr="00410E0B" w:rsidRDefault="00F149A1" w:rsidP="003A2850">
            <w:pPr>
              <w:pStyle w:val="Body"/>
              <w:numPr>
                <w:ilvl w:val="0"/>
                <w:numId w:val="24"/>
              </w:numPr>
              <w:spacing w:after="0" w:line="240" w:lineRule="auto"/>
              <w:ind w:left="288" w:hanging="284"/>
              <w:rPr>
                <w:rFonts w:cs="Arial"/>
              </w:rPr>
            </w:pPr>
            <w:r w:rsidRPr="15D4C2B4">
              <w:rPr>
                <w:rFonts w:cs="Arial"/>
              </w:rPr>
              <w:t>Alfred Health – The Alfred</w:t>
            </w:r>
          </w:p>
          <w:p w14:paraId="369226BC" w14:textId="6A86180D" w:rsidR="00F149A1" w:rsidRPr="00410E0B" w:rsidRDefault="00F149A1" w:rsidP="003A2850">
            <w:pPr>
              <w:pStyle w:val="Body"/>
              <w:numPr>
                <w:ilvl w:val="0"/>
                <w:numId w:val="24"/>
              </w:numPr>
              <w:spacing w:after="0" w:line="240" w:lineRule="auto"/>
              <w:ind w:left="288" w:hanging="284"/>
              <w:rPr>
                <w:rFonts w:cs="Arial"/>
              </w:rPr>
            </w:pPr>
            <w:r w:rsidRPr="15D4C2B4">
              <w:rPr>
                <w:rFonts w:cs="Arial"/>
              </w:rPr>
              <w:t xml:space="preserve">Austin Health – Austin </w:t>
            </w:r>
            <w:r w:rsidR="388553CB" w:rsidRPr="15D4C2B4">
              <w:rPr>
                <w:rFonts w:cs="Arial"/>
              </w:rPr>
              <w:t>Hospital</w:t>
            </w:r>
          </w:p>
        </w:tc>
        <w:tc>
          <w:tcPr>
            <w:tcW w:w="2082" w:type="dxa"/>
          </w:tcPr>
          <w:p w14:paraId="1FE4BEA2" w14:textId="77777777" w:rsidR="00F149A1" w:rsidRPr="00410E0B" w:rsidRDefault="00F149A1">
            <w:pPr>
              <w:pStyle w:val="Body"/>
              <w:spacing w:after="0" w:line="240" w:lineRule="auto"/>
              <w:rPr>
                <w:rFonts w:cs="Arial"/>
                <w:szCs w:val="21"/>
              </w:rPr>
            </w:pPr>
            <w:r w:rsidRPr="00410E0B">
              <w:rPr>
                <w:rFonts w:cs="Arial"/>
                <w:szCs w:val="21"/>
              </w:rPr>
              <w:t xml:space="preserve">No </w:t>
            </w:r>
          </w:p>
        </w:tc>
      </w:tr>
      <w:tr w:rsidR="00F149A1" w:rsidRPr="008E7073" w14:paraId="1FF9FB81" w14:textId="77777777" w:rsidTr="4DA9918C">
        <w:trPr>
          <w:trHeight w:val="770"/>
        </w:trPr>
        <w:tc>
          <w:tcPr>
            <w:tcW w:w="2802" w:type="dxa"/>
          </w:tcPr>
          <w:p w14:paraId="25493CBC" w14:textId="77777777" w:rsidR="00F149A1" w:rsidRPr="00410E0B" w:rsidRDefault="00F149A1">
            <w:pPr>
              <w:pStyle w:val="Body"/>
              <w:spacing w:after="0" w:line="240" w:lineRule="auto"/>
              <w:rPr>
                <w:rFonts w:cs="Arial"/>
                <w:szCs w:val="21"/>
              </w:rPr>
            </w:pPr>
            <w:r w:rsidRPr="00410E0B">
              <w:rPr>
                <w:rFonts w:cs="Arial"/>
                <w:szCs w:val="21"/>
              </w:rPr>
              <w:t xml:space="preserve">Bone marrow transplants – adults </w:t>
            </w:r>
          </w:p>
        </w:tc>
        <w:tc>
          <w:tcPr>
            <w:tcW w:w="905" w:type="dxa"/>
          </w:tcPr>
          <w:p w14:paraId="05ABCE18" w14:textId="77777777" w:rsidR="00F149A1" w:rsidRPr="00410E0B" w:rsidRDefault="00F149A1">
            <w:pPr>
              <w:pStyle w:val="Body"/>
              <w:spacing w:after="0" w:line="240" w:lineRule="auto"/>
              <w:jc w:val="center"/>
              <w:rPr>
                <w:rFonts w:cs="Arial"/>
                <w:szCs w:val="21"/>
              </w:rPr>
            </w:pPr>
            <w:r w:rsidRPr="00410E0B">
              <w:rPr>
                <w:rFonts w:cs="Arial"/>
                <w:szCs w:val="21"/>
              </w:rPr>
              <w:t>6</w:t>
            </w:r>
          </w:p>
        </w:tc>
        <w:tc>
          <w:tcPr>
            <w:tcW w:w="3588" w:type="dxa"/>
          </w:tcPr>
          <w:p w14:paraId="2B0E215F" w14:textId="77777777" w:rsidR="00F149A1" w:rsidRPr="00410E0B" w:rsidRDefault="00F149A1" w:rsidP="003A2850">
            <w:pPr>
              <w:pStyle w:val="Body"/>
              <w:numPr>
                <w:ilvl w:val="0"/>
                <w:numId w:val="25"/>
              </w:numPr>
              <w:spacing w:after="0" w:line="240" w:lineRule="auto"/>
              <w:ind w:left="288" w:hanging="284"/>
              <w:rPr>
                <w:rFonts w:cs="Arial"/>
                <w:szCs w:val="21"/>
              </w:rPr>
            </w:pPr>
            <w:r w:rsidRPr="00410E0B">
              <w:rPr>
                <w:rFonts w:cs="Arial"/>
                <w:szCs w:val="21"/>
              </w:rPr>
              <w:t xml:space="preserve">Alfred </w:t>
            </w:r>
          </w:p>
          <w:p w14:paraId="58230B42" w14:textId="77777777" w:rsidR="00F149A1" w:rsidRPr="00410E0B" w:rsidRDefault="00F149A1" w:rsidP="003A2850">
            <w:pPr>
              <w:pStyle w:val="Body"/>
              <w:numPr>
                <w:ilvl w:val="0"/>
                <w:numId w:val="25"/>
              </w:numPr>
              <w:spacing w:after="0" w:line="240" w:lineRule="auto"/>
              <w:ind w:left="288" w:hanging="284"/>
              <w:rPr>
                <w:rFonts w:cs="Arial"/>
                <w:szCs w:val="21"/>
              </w:rPr>
            </w:pPr>
            <w:r w:rsidRPr="00410E0B">
              <w:rPr>
                <w:rFonts w:cs="Arial"/>
                <w:szCs w:val="21"/>
              </w:rPr>
              <w:t>Austin</w:t>
            </w:r>
          </w:p>
          <w:p w14:paraId="5373C355" w14:textId="77777777" w:rsidR="00F149A1" w:rsidRPr="00410E0B" w:rsidRDefault="00F149A1" w:rsidP="003A2850">
            <w:pPr>
              <w:pStyle w:val="Body"/>
              <w:numPr>
                <w:ilvl w:val="0"/>
                <w:numId w:val="25"/>
              </w:numPr>
              <w:spacing w:after="0" w:line="240" w:lineRule="auto"/>
              <w:ind w:left="288" w:hanging="284"/>
              <w:rPr>
                <w:rFonts w:cs="Arial"/>
                <w:szCs w:val="21"/>
              </w:rPr>
            </w:pPr>
            <w:r w:rsidRPr="00410E0B">
              <w:rPr>
                <w:rFonts w:cs="Arial"/>
                <w:szCs w:val="21"/>
              </w:rPr>
              <w:t>Peter Mac</w:t>
            </w:r>
          </w:p>
          <w:p w14:paraId="7B43DDAA" w14:textId="50025B24" w:rsidR="00F149A1" w:rsidRDefault="00F149A1" w:rsidP="15D4C2B4">
            <w:pPr>
              <w:pStyle w:val="Body"/>
              <w:numPr>
                <w:ilvl w:val="0"/>
                <w:numId w:val="25"/>
              </w:numPr>
              <w:spacing w:after="0" w:line="240" w:lineRule="auto"/>
              <w:ind w:left="288" w:hanging="284"/>
              <w:rPr>
                <w:rFonts w:cs="Arial"/>
                <w:szCs w:val="21"/>
              </w:rPr>
            </w:pPr>
            <w:r w:rsidRPr="15D4C2B4">
              <w:rPr>
                <w:rFonts w:cs="Arial"/>
              </w:rPr>
              <w:t xml:space="preserve">Royal Melbourne </w:t>
            </w:r>
            <w:r w:rsidR="4823BEB0" w:rsidRPr="15D4C2B4">
              <w:rPr>
                <w:rFonts w:cs="Arial"/>
              </w:rPr>
              <w:t>Hospital</w:t>
            </w:r>
          </w:p>
          <w:p w14:paraId="3CF71676" w14:textId="77777777" w:rsidR="00F149A1" w:rsidRPr="00410E0B" w:rsidRDefault="00F149A1" w:rsidP="003A2850">
            <w:pPr>
              <w:pStyle w:val="Body"/>
              <w:numPr>
                <w:ilvl w:val="0"/>
                <w:numId w:val="25"/>
              </w:numPr>
              <w:spacing w:after="0" w:line="240" w:lineRule="auto"/>
              <w:ind w:left="288" w:hanging="284"/>
              <w:rPr>
                <w:rFonts w:cs="Arial"/>
                <w:szCs w:val="21"/>
              </w:rPr>
            </w:pPr>
            <w:r w:rsidRPr="00410E0B">
              <w:rPr>
                <w:rFonts w:cs="Arial"/>
                <w:szCs w:val="21"/>
              </w:rPr>
              <w:t>St Vincent’s Health</w:t>
            </w:r>
          </w:p>
          <w:p w14:paraId="6E257552" w14:textId="6EDFDD2D" w:rsidR="00F149A1" w:rsidRPr="00410E0B" w:rsidRDefault="00F149A1" w:rsidP="003A2850">
            <w:pPr>
              <w:pStyle w:val="Body"/>
              <w:numPr>
                <w:ilvl w:val="0"/>
                <w:numId w:val="25"/>
              </w:numPr>
              <w:spacing w:after="0" w:line="240" w:lineRule="auto"/>
              <w:ind w:left="288" w:hanging="284"/>
              <w:rPr>
                <w:rFonts w:cs="Arial"/>
              </w:rPr>
            </w:pPr>
            <w:r w:rsidRPr="15D4C2B4">
              <w:rPr>
                <w:rFonts w:cs="Arial"/>
              </w:rPr>
              <w:t>University H</w:t>
            </w:r>
            <w:r w:rsidR="21267A29" w:rsidRPr="15D4C2B4">
              <w:rPr>
                <w:rFonts w:cs="Arial"/>
              </w:rPr>
              <w:t>ospital</w:t>
            </w:r>
            <w:r w:rsidRPr="15D4C2B4">
              <w:rPr>
                <w:rFonts w:cs="Arial"/>
              </w:rPr>
              <w:t xml:space="preserve"> Geelong </w:t>
            </w:r>
          </w:p>
        </w:tc>
        <w:tc>
          <w:tcPr>
            <w:tcW w:w="2082" w:type="dxa"/>
          </w:tcPr>
          <w:p w14:paraId="2E12BD6E" w14:textId="77777777" w:rsidR="00F149A1" w:rsidRPr="00410E0B" w:rsidRDefault="00F149A1">
            <w:pPr>
              <w:pStyle w:val="Body"/>
              <w:spacing w:after="0" w:line="240" w:lineRule="auto"/>
              <w:rPr>
                <w:rFonts w:cs="Arial"/>
                <w:szCs w:val="21"/>
              </w:rPr>
            </w:pPr>
            <w:r w:rsidRPr="00410E0B">
              <w:rPr>
                <w:rFonts w:cs="Arial"/>
                <w:szCs w:val="21"/>
              </w:rPr>
              <w:t xml:space="preserve">No </w:t>
            </w:r>
          </w:p>
        </w:tc>
      </w:tr>
      <w:tr w:rsidR="00F149A1" w:rsidRPr="008E7073" w14:paraId="59ADE4E8" w14:textId="77777777" w:rsidTr="4DA9918C">
        <w:trPr>
          <w:trHeight w:val="384"/>
        </w:trPr>
        <w:tc>
          <w:tcPr>
            <w:tcW w:w="2802" w:type="dxa"/>
          </w:tcPr>
          <w:p w14:paraId="543255D5" w14:textId="77777777" w:rsidR="00F149A1" w:rsidRPr="00410E0B" w:rsidRDefault="00F149A1">
            <w:pPr>
              <w:pStyle w:val="Default"/>
              <w:rPr>
                <w:rFonts w:ascii="Arial" w:hAnsi="Arial" w:cs="Arial"/>
                <w:sz w:val="21"/>
                <w:szCs w:val="21"/>
              </w:rPr>
            </w:pPr>
            <w:r w:rsidRPr="00410E0B">
              <w:rPr>
                <w:rFonts w:ascii="Arial" w:hAnsi="Arial" w:cs="Arial"/>
                <w:sz w:val="21"/>
                <w:szCs w:val="21"/>
              </w:rPr>
              <w:t xml:space="preserve">Bone marrow transplants – children </w:t>
            </w:r>
          </w:p>
        </w:tc>
        <w:tc>
          <w:tcPr>
            <w:tcW w:w="905" w:type="dxa"/>
          </w:tcPr>
          <w:p w14:paraId="2A13C1A5" w14:textId="77777777" w:rsidR="00F149A1" w:rsidRPr="00410E0B" w:rsidRDefault="00F149A1">
            <w:pPr>
              <w:pStyle w:val="Body"/>
              <w:spacing w:after="0" w:line="240" w:lineRule="auto"/>
              <w:jc w:val="center"/>
              <w:rPr>
                <w:rFonts w:cs="Arial"/>
                <w:szCs w:val="21"/>
              </w:rPr>
            </w:pPr>
            <w:r w:rsidRPr="00410E0B">
              <w:rPr>
                <w:rFonts w:cs="Arial"/>
                <w:szCs w:val="21"/>
              </w:rPr>
              <w:t>1</w:t>
            </w:r>
          </w:p>
        </w:tc>
        <w:tc>
          <w:tcPr>
            <w:tcW w:w="3588" w:type="dxa"/>
          </w:tcPr>
          <w:p w14:paraId="52F894AE" w14:textId="3B4643BC" w:rsidR="00F149A1" w:rsidRPr="00410E0B" w:rsidRDefault="00F149A1" w:rsidP="003A2850">
            <w:pPr>
              <w:pStyle w:val="Default"/>
              <w:numPr>
                <w:ilvl w:val="0"/>
                <w:numId w:val="37"/>
              </w:numPr>
              <w:ind w:left="288" w:hanging="284"/>
              <w:rPr>
                <w:rFonts w:ascii="Arial" w:eastAsia="Times" w:hAnsi="Arial" w:cs="Arial"/>
                <w:sz w:val="21"/>
                <w:szCs w:val="21"/>
                <w:lang w:eastAsia="en-US"/>
              </w:rPr>
            </w:pPr>
            <w:r w:rsidRPr="00410E0B">
              <w:rPr>
                <w:rFonts w:ascii="Arial" w:eastAsia="Times" w:hAnsi="Arial" w:cs="Arial"/>
                <w:color w:val="auto"/>
                <w:sz w:val="21"/>
                <w:szCs w:val="21"/>
                <w:lang w:eastAsia="en-US"/>
              </w:rPr>
              <w:t xml:space="preserve">Royal Children’s </w:t>
            </w:r>
            <w:r w:rsidRPr="15D4C2B4">
              <w:rPr>
                <w:rFonts w:ascii="Arial" w:eastAsia="Times" w:hAnsi="Arial" w:cs="Arial"/>
                <w:color w:val="auto"/>
                <w:sz w:val="21"/>
                <w:szCs w:val="21"/>
                <w:lang w:eastAsia="en-US"/>
              </w:rPr>
              <w:t>H</w:t>
            </w:r>
            <w:r w:rsidR="0F5BC352" w:rsidRPr="15D4C2B4">
              <w:rPr>
                <w:rFonts w:ascii="Arial" w:eastAsia="Times" w:hAnsi="Arial" w:cs="Arial"/>
                <w:color w:val="auto"/>
                <w:sz w:val="21"/>
                <w:szCs w:val="21"/>
                <w:lang w:eastAsia="en-US"/>
              </w:rPr>
              <w:t>ospital</w:t>
            </w:r>
          </w:p>
        </w:tc>
        <w:tc>
          <w:tcPr>
            <w:tcW w:w="2082" w:type="dxa"/>
          </w:tcPr>
          <w:p w14:paraId="256CCAD4" w14:textId="77777777" w:rsidR="00F149A1" w:rsidRPr="00410E0B" w:rsidRDefault="00F149A1">
            <w:pPr>
              <w:pStyle w:val="Body"/>
              <w:spacing w:after="0" w:line="240" w:lineRule="auto"/>
              <w:rPr>
                <w:rFonts w:cs="Arial"/>
                <w:szCs w:val="21"/>
              </w:rPr>
            </w:pPr>
          </w:p>
        </w:tc>
      </w:tr>
      <w:tr w:rsidR="00F149A1" w:rsidRPr="008E7073" w14:paraId="0D6F3042" w14:textId="77777777" w:rsidTr="4DA9918C">
        <w:trPr>
          <w:trHeight w:val="384"/>
        </w:trPr>
        <w:tc>
          <w:tcPr>
            <w:tcW w:w="2802" w:type="dxa"/>
          </w:tcPr>
          <w:p w14:paraId="7F337377" w14:textId="77777777" w:rsidR="00F149A1" w:rsidRPr="00410E0B" w:rsidRDefault="00F149A1">
            <w:pPr>
              <w:pStyle w:val="Default"/>
              <w:rPr>
                <w:rFonts w:ascii="Arial" w:hAnsi="Arial" w:cs="Arial"/>
                <w:sz w:val="21"/>
                <w:szCs w:val="21"/>
              </w:rPr>
            </w:pPr>
            <w:r w:rsidRPr="00410E0B">
              <w:rPr>
                <w:rFonts w:ascii="Arial" w:hAnsi="Arial" w:cs="Arial"/>
                <w:sz w:val="21"/>
                <w:szCs w:val="21"/>
              </w:rPr>
              <w:t xml:space="preserve">CAR T-cell therapy, Kymriah® </w:t>
            </w:r>
          </w:p>
        </w:tc>
        <w:tc>
          <w:tcPr>
            <w:tcW w:w="905" w:type="dxa"/>
          </w:tcPr>
          <w:p w14:paraId="73E19E9A" w14:textId="77777777" w:rsidR="00F149A1" w:rsidRPr="00410E0B" w:rsidRDefault="00F149A1">
            <w:pPr>
              <w:pStyle w:val="Body"/>
              <w:spacing w:after="0" w:line="240" w:lineRule="auto"/>
              <w:jc w:val="center"/>
              <w:rPr>
                <w:rFonts w:cs="Arial"/>
                <w:szCs w:val="21"/>
              </w:rPr>
            </w:pPr>
            <w:r w:rsidRPr="00410E0B">
              <w:rPr>
                <w:rFonts w:cs="Arial"/>
                <w:szCs w:val="21"/>
              </w:rPr>
              <w:t>3</w:t>
            </w:r>
          </w:p>
        </w:tc>
        <w:tc>
          <w:tcPr>
            <w:tcW w:w="3588" w:type="dxa"/>
          </w:tcPr>
          <w:p w14:paraId="318E7C3F" w14:textId="77777777" w:rsidR="00F149A1" w:rsidRPr="00410E0B" w:rsidRDefault="00F149A1" w:rsidP="003A2850">
            <w:pPr>
              <w:pStyle w:val="Default"/>
              <w:numPr>
                <w:ilvl w:val="0"/>
                <w:numId w:val="26"/>
              </w:numPr>
              <w:ind w:left="288" w:hanging="284"/>
              <w:rPr>
                <w:rFonts w:ascii="Arial" w:eastAsia="Times" w:hAnsi="Arial" w:cs="Arial"/>
                <w:color w:val="auto"/>
                <w:sz w:val="21"/>
                <w:szCs w:val="21"/>
                <w:lang w:eastAsia="en-US"/>
              </w:rPr>
            </w:pPr>
            <w:r w:rsidRPr="00410E0B">
              <w:rPr>
                <w:rFonts w:ascii="Arial" w:eastAsia="Times" w:hAnsi="Arial" w:cs="Arial"/>
                <w:color w:val="auto"/>
                <w:sz w:val="21"/>
                <w:szCs w:val="21"/>
                <w:lang w:eastAsia="en-US"/>
              </w:rPr>
              <w:t xml:space="preserve">Alfred </w:t>
            </w:r>
          </w:p>
          <w:p w14:paraId="424151EE" w14:textId="77777777" w:rsidR="00F149A1" w:rsidRPr="00410E0B" w:rsidRDefault="00F149A1" w:rsidP="003A2850">
            <w:pPr>
              <w:pStyle w:val="Default"/>
              <w:numPr>
                <w:ilvl w:val="0"/>
                <w:numId w:val="26"/>
              </w:numPr>
              <w:ind w:left="288" w:hanging="284"/>
              <w:rPr>
                <w:rFonts w:ascii="Arial" w:eastAsia="Times" w:hAnsi="Arial" w:cs="Arial"/>
                <w:color w:val="auto"/>
                <w:sz w:val="21"/>
                <w:szCs w:val="21"/>
                <w:lang w:eastAsia="en-US"/>
              </w:rPr>
            </w:pPr>
            <w:r w:rsidRPr="00410E0B">
              <w:rPr>
                <w:rFonts w:ascii="Arial" w:eastAsia="Times" w:hAnsi="Arial" w:cs="Arial"/>
                <w:color w:val="auto"/>
                <w:sz w:val="21"/>
                <w:szCs w:val="21"/>
                <w:lang w:eastAsia="en-US"/>
              </w:rPr>
              <w:t xml:space="preserve">Peter MacCallum Cancer Centre </w:t>
            </w:r>
          </w:p>
          <w:p w14:paraId="5EF0F784" w14:textId="52E983BE" w:rsidR="00F149A1" w:rsidRPr="00410E0B" w:rsidRDefault="00F149A1" w:rsidP="003A2850">
            <w:pPr>
              <w:pStyle w:val="Default"/>
              <w:numPr>
                <w:ilvl w:val="0"/>
                <w:numId w:val="26"/>
              </w:numPr>
              <w:ind w:left="288" w:hanging="284"/>
              <w:rPr>
                <w:rFonts w:ascii="Arial" w:eastAsia="Times" w:hAnsi="Arial" w:cs="Arial"/>
                <w:color w:val="auto"/>
                <w:sz w:val="21"/>
                <w:szCs w:val="21"/>
                <w:lang w:eastAsia="en-US"/>
              </w:rPr>
            </w:pPr>
            <w:r w:rsidRPr="00410E0B">
              <w:rPr>
                <w:rFonts w:ascii="Arial" w:eastAsia="Times" w:hAnsi="Arial" w:cs="Arial"/>
                <w:color w:val="auto"/>
                <w:sz w:val="21"/>
                <w:szCs w:val="21"/>
                <w:lang w:eastAsia="en-US"/>
              </w:rPr>
              <w:t xml:space="preserve">Royal Children’s </w:t>
            </w:r>
            <w:r w:rsidRPr="15D4C2B4">
              <w:rPr>
                <w:rFonts w:ascii="Arial" w:eastAsia="Times" w:hAnsi="Arial" w:cs="Arial"/>
                <w:color w:val="auto"/>
                <w:sz w:val="21"/>
                <w:szCs w:val="21"/>
                <w:lang w:eastAsia="en-US"/>
              </w:rPr>
              <w:t>H</w:t>
            </w:r>
            <w:r w:rsidR="4C0DF350" w:rsidRPr="15D4C2B4">
              <w:rPr>
                <w:rFonts w:ascii="Arial" w:eastAsia="Times" w:hAnsi="Arial" w:cs="Arial"/>
                <w:color w:val="auto"/>
                <w:sz w:val="21"/>
                <w:szCs w:val="21"/>
                <w:lang w:eastAsia="en-US"/>
              </w:rPr>
              <w:t>ospital</w:t>
            </w:r>
          </w:p>
        </w:tc>
        <w:tc>
          <w:tcPr>
            <w:tcW w:w="2082" w:type="dxa"/>
          </w:tcPr>
          <w:p w14:paraId="5D547DE9" w14:textId="77777777" w:rsidR="00F149A1" w:rsidRPr="00410E0B" w:rsidRDefault="00F149A1">
            <w:pPr>
              <w:pStyle w:val="Body"/>
              <w:spacing w:after="0" w:line="240" w:lineRule="auto"/>
              <w:rPr>
                <w:rFonts w:cs="Arial"/>
                <w:szCs w:val="21"/>
              </w:rPr>
            </w:pPr>
            <w:r w:rsidRPr="00410E0B">
              <w:rPr>
                <w:rFonts w:cs="Arial"/>
                <w:szCs w:val="21"/>
              </w:rPr>
              <w:t>No</w:t>
            </w:r>
          </w:p>
        </w:tc>
      </w:tr>
      <w:tr w:rsidR="00F149A1" w:rsidRPr="008E7073" w14:paraId="12A79F7A" w14:textId="77777777" w:rsidTr="4DA9918C">
        <w:trPr>
          <w:trHeight w:val="384"/>
        </w:trPr>
        <w:tc>
          <w:tcPr>
            <w:tcW w:w="2802" w:type="dxa"/>
          </w:tcPr>
          <w:p w14:paraId="7D9B1AEE" w14:textId="77777777" w:rsidR="00F149A1" w:rsidRPr="00410E0B" w:rsidRDefault="00F149A1">
            <w:pPr>
              <w:pStyle w:val="Body"/>
              <w:spacing w:after="0" w:line="240" w:lineRule="auto"/>
              <w:rPr>
                <w:rFonts w:cs="Arial"/>
                <w:szCs w:val="21"/>
              </w:rPr>
            </w:pPr>
            <w:r w:rsidRPr="00410E0B">
              <w:rPr>
                <w:rFonts w:cs="Arial"/>
                <w:szCs w:val="21"/>
              </w:rPr>
              <w:t xml:space="preserve">CAR T-cell therapy, Yescarta® and Tecartus® </w:t>
            </w:r>
          </w:p>
        </w:tc>
        <w:tc>
          <w:tcPr>
            <w:tcW w:w="905" w:type="dxa"/>
          </w:tcPr>
          <w:p w14:paraId="42651D30" w14:textId="77777777" w:rsidR="00F149A1" w:rsidRPr="00410E0B" w:rsidRDefault="00F149A1">
            <w:pPr>
              <w:pStyle w:val="Body"/>
              <w:spacing w:after="0" w:line="240" w:lineRule="auto"/>
              <w:jc w:val="center"/>
              <w:rPr>
                <w:rFonts w:cs="Arial"/>
                <w:szCs w:val="21"/>
              </w:rPr>
            </w:pPr>
            <w:r w:rsidRPr="00410E0B">
              <w:rPr>
                <w:rFonts w:cs="Arial"/>
                <w:szCs w:val="21"/>
              </w:rPr>
              <w:t>2</w:t>
            </w:r>
          </w:p>
        </w:tc>
        <w:tc>
          <w:tcPr>
            <w:tcW w:w="3588" w:type="dxa"/>
          </w:tcPr>
          <w:p w14:paraId="3C1D96AD" w14:textId="77777777" w:rsidR="00F149A1" w:rsidRPr="00410E0B" w:rsidRDefault="00F149A1" w:rsidP="003A2850">
            <w:pPr>
              <w:pStyle w:val="Body"/>
              <w:numPr>
                <w:ilvl w:val="0"/>
                <w:numId w:val="27"/>
              </w:numPr>
              <w:spacing w:after="0" w:line="240" w:lineRule="auto"/>
              <w:ind w:left="288" w:hanging="284"/>
              <w:rPr>
                <w:rFonts w:cs="Arial"/>
                <w:szCs w:val="21"/>
              </w:rPr>
            </w:pPr>
            <w:r w:rsidRPr="00410E0B">
              <w:rPr>
                <w:rFonts w:cs="Arial"/>
                <w:szCs w:val="21"/>
              </w:rPr>
              <w:t xml:space="preserve">Alfred </w:t>
            </w:r>
          </w:p>
          <w:p w14:paraId="562A3553" w14:textId="77777777" w:rsidR="00F149A1" w:rsidRPr="00410E0B" w:rsidRDefault="00F149A1" w:rsidP="003A2850">
            <w:pPr>
              <w:pStyle w:val="Body"/>
              <w:numPr>
                <w:ilvl w:val="0"/>
                <w:numId w:val="27"/>
              </w:numPr>
              <w:spacing w:after="0" w:line="240" w:lineRule="auto"/>
              <w:ind w:left="288" w:hanging="284"/>
              <w:rPr>
                <w:rFonts w:cs="Arial"/>
                <w:szCs w:val="21"/>
              </w:rPr>
            </w:pPr>
            <w:r w:rsidRPr="00410E0B">
              <w:rPr>
                <w:rFonts w:cs="Arial"/>
                <w:szCs w:val="21"/>
              </w:rPr>
              <w:t xml:space="preserve">Peter MacCallum Cancer Centre </w:t>
            </w:r>
          </w:p>
        </w:tc>
        <w:tc>
          <w:tcPr>
            <w:tcW w:w="2082" w:type="dxa"/>
          </w:tcPr>
          <w:p w14:paraId="2C4CA01F" w14:textId="77777777" w:rsidR="00F149A1" w:rsidRPr="00410E0B" w:rsidRDefault="00F149A1">
            <w:pPr>
              <w:pStyle w:val="Body"/>
              <w:spacing w:after="0" w:line="240" w:lineRule="auto"/>
              <w:rPr>
                <w:rFonts w:cs="Arial"/>
                <w:szCs w:val="21"/>
              </w:rPr>
            </w:pPr>
            <w:r w:rsidRPr="00410E0B">
              <w:rPr>
                <w:rFonts w:cs="Arial"/>
                <w:szCs w:val="21"/>
              </w:rPr>
              <w:t xml:space="preserve">No </w:t>
            </w:r>
          </w:p>
        </w:tc>
      </w:tr>
      <w:tr w:rsidR="00F149A1" w:rsidRPr="008E7073" w14:paraId="5F20616C" w14:textId="77777777" w:rsidTr="4DA9918C">
        <w:trPr>
          <w:trHeight w:val="1025"/>
        </w:trPr>
        <w:tc>
          <w:tcPr>
            <w:tcW w:w="2802" w:type="dxa"/>
          </w:tcPr>
          <w:p w14:paraId="439DD978" w14:textId="77777777" w:rsidR="00F149A1" w:rsidRPr="00410E0B" w:rsidRDefault="00F149A1">
            <w:pPr>
              <w:pStyle w:val="Body"/>
              <w:spacing w:after="0" w:line="240" w:lineRule="auto"/>
              <w:rPr>
                <w:rFonts w:cs="Arial"/>
                <w:szCs w:val="21"/>
              </w:rPr>
            </w:pPr>
            <w:r w:rsidRPr="00410E0B">
              <w:rPr>
                <w:rFonts w:cs="Arial"/>
                <w:szCs w:val="21"/>
              </w:rPr>
              <w:t xml:space="preserve">Cardiothoracic surgery </w:t>
            </w:r>
          </w:p>
        </w:tc>
        <w:tc>
          <w:tcPr>
            <w:tcW w:w="905" w:type="dxa"/>
          </w:tcPr>
          <w:p w14:paraId="19ACBBBE" w14:textId="77777777" w:rsidR="00F149A1" w:rsidRPr="00410E0B" w:rsidRDefault="00F149A1">
            <w:pPr>
              <w:pStyle w:val="Body"/>
              <w:spacing w:after="0" w:line="240" w:lineRule="auto"/>
              <w:jc w:val="center"/>
              <w:rPr>
                <w:rFonts w:cs="Arial"/>
                <w:szCs w:val="21"/>
              </w:rPr>
            </w:pPr>
            <w:r w:rsidRPr="00410E0B">
              <w:rPr>
                <w:rFonts w:cs="Arial"/>
                <w:szCs w:val="21"/>
              </w:rPr>
              <w:t>6</w:t>
            </w:r>
          </w:p>
        </w:tc>
        <w:tc>
          <w:tcPr>
            <w:tcW w:w="3588" w:type="dxa"/>
          </w:tcPr>
          <w:p w14:paraId="12AB3820" w14:textId="77777777" w:rsidR="00F149A1" w:rsidRPr="00410E0B" w:rsidRDefault="00F149A1" w:rsidP="003A2850">
            <w:pPr>
              <w:pStyle w:val="Body"/>
              <w:numPr>
                <w:ilvl w:val="0"/>
                <w:numId w:val="28"/>
              </w:numPr>
              <w:spacing w:after="0" w:line="240" w:lineRule="auto"/>
              <w:ind w:left="288" w:hanging="284"/>
              <w:rPr>
                <w:rFonts w:cs="Arial"/>
                <w:szCs w:val="21"/>
              </w:rPr>
            </w:pPr>
            <w:r w:rsidRPr="00410E0B">
              <w:rPr>
                <w:rFonts w:cs="Arial"/>
                <w:szCs w:val="21"/>
              </w:rPr>
              <w:t xml:space="preserve">Alfred </w:t>
            </w:r>
          </w:p>
          <w:p w14:paraId="4D94DDC5" w14:textId="77777777" w:rsidR="00F149A1" w:rsidRPr="00410E0B" w:rsidRDefault="00F149A1" w:rsidP="003A2850">
            <w:pPr>
              <w:pStyle w:val="Body"/>
              <w:numPr>
                <w:ilvl w:val="0"/>
                <w:numId w:val="28"/>
              </w:numPr>
              <w:spacing w:after="0" w:line="240" w:lineRule="auto"/>
              <w:ind w:left="288" w:hanging="284"/>
              <w:rPr>
                <w:rFonts w:cs="Arial"/>
                <w:szCs w:val="21"/>
              </w:rPr>
            </w:pPr>
            <w:r w:rsidRPr="00410E0B">
              <w:rPr>
                <w:rFonts w:cs="Arial"/>
                <w:szCs w:val="21"/>
              </w:rPr>
              <w:t xml:space="preserve">Austin </w:t>
            </w:r>
          </w:p>
          <w:p w14:paraId="630CA69B" w14:textId="4417C053" w:rsidR="00F149A1" w:rsidRPr="00410E0B" w:rsidRDefault="00F149A1" w:rsidP="003A2850">
            <w:pPr>
              <w:pStyle w:val="Body"/>
              <w:numPr>
                <w:ilvl w:val="0"/>
                <w:numId w:val="28"/>
              </w:numPr>
              <w:spacing w:after="0" w:line="240" w:lineRule="auto"/>
              <w:ind w:left="288" w:hanging="284"/>
              <w:rPr>
                <w:rFonts w:cs="Arial"/>
              </w:rPr>
            </w:pPr>
            <w:r w:rsidRPr="15D4C2B4">
              <w:rPr>
                <w:rFonts w:cs="Arial"/>
              </w:rPr>
              <w:t xml:space="preserve">Monash Health – Victorian Heart </w:t>
            </w:r>
            <w:r w:rsidR="37244A1E" w:rsidRPr="15D4C2B4">
              <w:rPr>
                <w:rFonts w:cs="Arial"/>
              </w:rPr>
              <w:t>Hospital</w:t>
            </w:r>
          </w:p>
          <w:p w14:paraId="7760728E" w14:textId="429C6AA0" w:rsidR="00F149A1" w:rsidRPr="00410E0B" w:rsidRDefault="00F149A1" w:rsidP="003A2850">
            <w:pPr>
              <w:pStyle w:val="Body"/>
              <w:numPr>
                <w:ilvl w:val="0"/>
                <w:numId w:val="28"/>
              </w:numPr>
              <w:spacing w:after="0" w:line="240" w:lineRule="auto"/>
              <w:ind w:left="288" w:hanging="284"/>
              <w:rPr>
                <w:rFonts w:cs="Arial"/>
              </w:rPr>
            </w:pPr>
            <w:r w:rsidRPr="15D4C2B4">
              <w:rPr>
                <w:rFonts w:cs="Arial"/>
              </w:rPr>
              <w:t>Royal Melbourne H</w:t>
            </w:r>
            <w:r w:rsidR="6F683EF8" w:rsidRPr="15D4C2B4">
              <w:rPr>
                <w:rFonts w:cs="Arial"/>
              </w:rPr>
              <w:t>ospital</w:t>
            </w:r>
          </w:p>
          <w:p w14:paraId="4A17A127" w14:textId="77777777" w:rsidR="00F149A1" w:rsidRPr="00410E0B" w:rsidRDefault="00F149A1" w:rsidP="003A2850">
            <w:pPr>
              <w:pStyle w:val="Body"/>
              <w:numPr>
                <w:ilvl w:val="0"/>
                <w:numId w:val="28"/>
              </w:numPr>
              <w:spacing w:after="0" w:line="240" w:lineRule="auto"/>
              <w:ind w:left="288" w:hanging="284"/>
              <w:rPr>
                <w:rFonts w:cs="Arial"/>
                <w:szCs w:val="21"/>
              </w:rPr>
            </w:pPr>
            <w:r w:rsidRPr="00410E0B">
              <w:rPr>
                <w:rFonts w:cs="Arial"/>
                <w:szCs w:val="21"/>
              </w:rPr>
              <w:t xml:space="preserve">St Vincent’s Health </w:t>
            </w:r>
          </w:p>
          <w:p w14:paraId="078E40D8" w14:textId="526C0911" w:rsidR="00F149A1" w:rsidRPr="00410E0B" w:rsidRDefault="00F149A1" w:rsidP="003A2850">
            <w:pPr>
              <w:pStyle w:val="Body"/>
              <w:numPr>
                <w:ilvl w:val="0"/>
                <w:numId w:val="28"/>
              </w:numPr>
              <w:spacing w:after="0" w:line="240" w:lineRule="auto"/>
              <w:ind w:left="288" w:hanging="284"/>
              <w:rPr>
                <w:rFonts w:cs="Arial"/>
              </w:rPr>
            </w:pPr>
            <w:r w:rsidRPr="15D4C2B4">
              <w:rPr>
                <w:rFonts w:cs="Arial"/>
              </w:rPr>
              <w:t>University H</w:t>
            </w:r>
            <w:r w:rsidR="554ED6BC" w:rsidRPr="15D4C2B4">
              <w:rPr>
                <w:rFonts w:cs="Arial"/>
              </w:rPr>
              <w:t>ospital</w:t>
            </w:r>
            <w:r w:rsidRPr="15D4C2B4">
              <w:rPr>
                <w:rFonts w:cs="Arial"/>
              </w:rPr>
              <w:t xml:space="preserve"> Geelong </w:t>
            </w:r>
          </w:p>
        </w:tc>
        <w:tc>
          <w:tcPr>
            <w:tcW w:w="2082" w:type="dxa"/>
          </w:tcPr>
          <w:p w14:paraId="775A529E" w14:textId="77777777" w:rsidR="00F149A1" w:rsidRPr="00410E0B" w:rsidRDefault="00F149A1">
            <w:pPr>
              <w:pStyle w:val="Body"/>
              <w:spacing w:after="0" w:line="240" w:lineRule="auto"/>
              <w:rPr>
                <w:rFonts w:cs="Arial"/>
                <w:szCs w:val="21"/>
              </w:rPr>
            </w:pPr>
            <w:r w:rsidRPr="00410E0B">
              <w:rPr>
                <w:rFonts w:cs="Arial"/>
                <w:szCs w:val="21"/>
              </w:rPr>
              <w:t xml:space="preserve">No </w:t>
            </w:r>
          </w:p>
        </w:tc>
      </w:tr>
      <w:tr w:rsidR="00F149A1" w:rsidRPr="008E7073" w14:paraId="57DC1591" w14:textId="77777777" w:rsidTr="4DA9918C">
        <w:trPr>
          <w:trHeight w:val="256"/>
        </w:trPr>
        <w:tc>
          <w:tcPr>
            <w:tcW w:w="2802" w:type="dxa"/>
          </w:tcPr>
          <w:p w14:paraId="784646F8" w14:textId="77777777" w:rsidR="00F149A1" w:rsidRPr="00410E0B" w:rsidRDefault="00F149A1">
            <w:pPr>
              <w:pStyle w:val="Body"/>
              <w:spacing w:after="0" w:line="240" w:lineRule="auto"/>
              <w:rPr>
                <w:rFonts w:cs="Arial"/>
                <w:szCs w:val="21"/>
              </w:rPr>
            </w:pPr>
            <w:r w:rsidRPr="00410E0B">
              <w:rPr>
                <w:rFonts w:cs="Arial"/>
                <w:szCs w:val="21"/>
              </w:rPr>
              <w:t xml:space="preserve">Cochlear implants </w:t>
            </w:r>
          </w:p>
        </w:tc>
        <w:tc>
          <w:tcPr>
            <w:tcW w:w="905" w:type="dxa"/>
          </w:tcPr>
          <w:p w14:paraId="3B1D9706" w14:textId="77777777" w:rsidR="00F149A1" w:rsidRPr="00410E0B" w:rsidRDefault="00F149A1">
            <w:pPr>
              <w:pStyle w:val="Body"/>
              <w:spacing w:after="0" w:line="240" w:lineRule="auto"/>
              <w:jc w:val="center"/>
              <w:rPr>
                <w:rFonts w:cs="Arial"/>
                <w:szCs w:val="21"/>
              </w:rPr>
            </w:pPr>
            <w:r w:rsidRPr="00410E0B">
              <w:rPr>
                <w:rFonts w:cs="Arial"/>
                <w:szCs w:val="21"/>
              </w:rPr>
              <w:t>1</w:t>
            </w:r>
          </w:p>
        </w:tc>
        <w:tc>
          <w:tcPr>
            <w:tcW w:w="3588" w:type="dxa"/>
          </w:tcPr>
          <w:p w14:paraId="79378FA0" w14:textId="27597D22" w:rsidR="00F149A1" w:rsidRPr="00410E0B" w:rsidRDefault="00F149A1" w:rsidP="003A2850">
            <w:pPr>
              <w:pStyle w:val="Body"/>
              <w:numPr>
                <w:ilvl w:val="0"/>
                <w:numId w:val="29"/>
              </w:numPr>
              <w:spacing w:after="0" w:line="240" w:lineRule="auto"/>
              <w:ind w:left="288" w:hanging="284"/>
              <w:rPr>
                <w:rFonts w:cs="Arial"/>
              </w:rPr>
            </w:pPr>
            <w:r w:rsidRPr="15D4C2B4">
              <w:rPr>
                <w:rFonts w:cs="Arial"/>
              </w:rPr>
              <w:t>Royal Victorian Eye and Ear H</w:t>
            </w:r>
            <w:r w:rsidR="0E4616C1" w:rsidRPr="15D4C2B4">
              <w:rPr>
                <w:rFonts w:cs="Arial"/>
              </w:rPr>
              <w:t>ospital</w:t>
            </w:r>
            <w:r w:rsidRPr="15D4C2B4">
              <w:rPr>
                <w:rFonts w:cs="Arial"/>
              </w:rPr>
              <w:t xml:space="preserve"> </w:t>
            </w:r>
          </w:p>
        </w:tc>
        <w:tc>
          <w:tcPr>
            <w:tcW w:w="2082" w:type="dxa"/>
          </w:tcPr>
          <w:p w14:paraId="638DF425" w14:textId="77777777" w:rsidR="00F149A1" w:rsidRPr="00410E0B" w:rsidRDefault="00F149A1">
            <w:pPr>
              <w:pStyle w:val="Body"/>
              <w:spacing w:after="0" w:line="240" w:lineRule="auto"/>
              <w:rPr>
                <w:rFonts w:cs="Arial"/>
                <w:szCs w:val="21"/>
              </w:rPr>
            </w:pPr>
            <w:r w:rsidRPr="00410E0B">
              <w:rPr>
                <w:rFonts w:cs="Arial"/>
                <w:szCs w:val="21"/>
              </w:rPr>
              <w:t xml:space="preserve">No </w:t>
            </w:r>
          </w:p>
        </w:tc>
      </w:tr>
      <w:tr w:rsidR="00F149A1" w:rsidRPr="008E7073" w14:paraId="68651AC9" w14:textId="77777777" w:rsidTr="4DA9918C">
        <w:trPr>
          <w:trHeight w:val="897"/>
        </w:trPr>
        <w:tc>
          <w:tcPr>
            <w:tcW w:w="2802" w:type="dxa"/>
          </w:tcPr>
          <w:p w14:paraId="31344B9F" w14:textId="77777777" w:rsidR="00F149A1" w:rsidRPr="00410E0B" w:rsidRDefault="00F149A1">
            <w:pPr>
              <w:pStyle w:val="Body"/>
              <w:spacing w:after="0" w:line="240" w:lineRule="auto"/>
              <w:rPr>
                <w:rFonts w:cs="Arial"/>
                <w:szCs w:val="21"/>
              </w:rPr>
            </w:pPr>
            <w:r w:rsidRPr="00410E0B">
              <w:rPr>
                <w:rFonts w:cs="Arial"/>
                <w:szCs w:val="21"/>
              </w:rPr>
              <w:t xml:space="preserve">ECMO </w:t>
            </w:r>
          </w:p>
        </w:tc>
        <w:tc>
          <w:tcPr>
            <w:tcW w:w="905" w:type="dxa"/>
          </w:tcPr>
          <w:p w14:paraId="3E45D479" w14:textId="77777777" w:rsidR="00F149A1" w:rsidRPr="00410E0B" w:rsidRDefault="00F149A1">
            <w:pPr>
              <w:pStyle w:val="Body"/>
              <w:spacing w:after="0" w:line="240" w:lineRule="auto"/>
              <w:jc w:val="center"/>
              <w:rPr>
                <w:rFonts w:cs="Arial"/>
                <w:szCs w:val="21"/>
              </w:rPr>
            </w:pPr>
            <w:r w:rsidRPr="00410E0B">
              <w:rPr>
                <w:rFonts w:cs="Arial"/>
                <w:szCs w:val="21"/>
              </w:rPr>
              <w:t>7</w:t>
            </w:r>
          </w:p>
        </w:tc>
        <w:tc>
          <w:tcPr>
            <w:tcW w:w="3588" w:type="dxa"/>
          </w:tcPr>
          <w:p w14:paraId="17F50B43" w14:textId="77777777" w:rsidR="00F149A1" w:rsidRPr="00410E0B" w:rsidRDefault="00F149A1" w:rsidP="003A2850">
            <w:pPr>
              <w:pStyle w:val="Body"/>
              <w:numPr>
                <w:ilvl w:val="0"/>
                <w:numId w:val="29"/>
              </w:numPr>
              <w:spacing w:after="0" w:line="240" w:lineRule="auto"/>
              <w:ind w:left="288" w:hanging="284"/>
              <w:rPr>
                <w:rFonts w:cs="Arial"/>
                <w:szCs w:val="21"/>
              </w:rPr>
            </w:pPr>
            <w:r w:rsidRPr="00410E0B">
              <w:rPr>
                <w:rFonts w:cs="Arial"/>
                <w:szCs w:val="21"/>
              </w:rPr>
              <w:t xml:space="preserve">Alfred </w:t>
            </w:r>
          </w:p>
          <w:p w14:paraId="2EBDD2FF" w14:textId="77777777" w:rsidR="00F149A1" w:rsidRPr="00410E0B" w:rsidRDefault="00F149A1" w:rsidP="003A2850">
            <w:pPr>
              <w:pStyle w:val="Body"/>
              <w:numPr>
                <w:ilvl w:val="0"/>
                <w:numId w:val="29"/>
              </w:numPr>
              <w:spacing w:after="0" w:line="240" w:lineRule="auto"/>
              <w:ind w:left="288" w:hanging="284"/>
              <w:rPr>
                <w:rFonts w:cs="Arial"/>
                <w:szCs w:val="21"/>
              </w:rPr>
            </w:pPr>
            <w:r w:rsidRPr="00410E0B">
              <w:rPr>
                <w:rFonts w:cs="Arial"/>
                <w:szCs w:val="21"/>
              </w:rPr>
              <w:t xml:space="preserve">Austin </w:t>
            </w:r>
          </w:p>
          <w:p w14:paraId="43544951" w14:textId="77777777" w:rsidR="00F149A1" w:rsidRPr="00410E0B" w:rsidRDefault="00F149A1" w:rsidP="003A2850">
            <w:pPr>
              <w:pStyle w:val="Body"/>
              <w:numPr>
                <w:ilvl w:val="0"/>
                <w:numId w:val="29"/>
              </w:numPr>
              <w:spacing w:after="0" w:line="240" w:lineRule="auto"/>
              <w:ind w:left="288" w:hanging="284"/>
              <w:rPr>
                <w:rFonts w:cs="Arial"/>
                <w:szCs w:val="21"/>
              </w:rPr>
            </w:pPr>
            <w:r w:rsidRPr="00410E0B">
              <w:rPr>
                <w:rFonts w:cs="Arial"/>
                <w:szCs w:val="21"/>
              </w:rPr>
              <w:t xml:space="preserve">Eastern Health </w:t>
            </w:r>
          </w:p>
          <w:p w14:paraId="138D899C" w14:textId="77777777" w:rsidR="00F149A1" w:rsidRPr="00410E0B" w:rsidRDefault="00F149A1" w:rsidP="003A2850">
            <w:pPr>
              <w:pStyle w:val="Body"/>
              <w:numPr>
                <w:ilvl w:val="0"/>
                <w:numId w:val="29"/>
              </w:numPr>
              <w:spacing w:after="0" w:line="240" w:lineRule="auto"/>
              <w:ind w:left="288" w:hanging="284"/>
              <w:rPr>
                <w:rFonts w:cs="Arial"/>
                <w:szCs w:val="21"/>
              </w:rPr>
            </w:pPr>
            <w:r w:rsidRPr="00410E0B">
              <w:rPr>
                <w:rFonts w:cs="Arial"/>
                <w:szCs w:val="21"/>
              </w:rPr>
              <w:t xml:space="preserve">Monash – MMC </w:t>
            </w:r>
          </w:p>
          <w:p w14:paraId="37E4EFB4" w14:textId="331DA77E" w:rsidR="00F149A1" w:rsidRPr="00410E0B" w:rsidRDefault="00F149A1" w:rsidP="003A2850">
            <w:pPr>
              <w:pStyle w:val="Body"/>
              <w:numPr>
                <w:ilvl w:val="0"/>
                <w:numId w:val="29"/>
              </w:numPr>
              <w:spacing w:after="0" w:line="240" w:lineRule="auto"/>
              <w:ind w:left="288" w:hanging="284"/>
              <w:rPr>
                <w:rFonts w:cs="Arial"/>
              </w:rPr>
            </w:pPr>
            <w:r w:rsidRPr="15D4C2B4">
              <w:rPr>
                <w:rFonts w:cs="Arial"/>
              </w:rPr>
              <w:t>Royal Melbourne H</w:t>
            </w:r>
            <w:r w:rsidR="525DC8F7" w:rsidRPr="15D4C2B4">
              <w:rPr>
                <w:rFonts w:cs="Arial"/>
              </w:rPr>
              <w:t>ospital</w:t>
            </w:r>
          </w:p>
          <w:p w14:paraId="64CC918C" w14:textId="77777777" w:rsidR="00F149A1" w:rsidRPr="00410E0B" w:rsidRDefault="00F149A1" w:rsidP="003A2850">
            <w:pPr>
              <w:pStyle w:val="Body"/>
              <w:numPr>
                <w:ilvl w:val="0"/>
                <w:numId w:val="29"/>
              </w:numPr>
              <w:spacing w:after="0" w:line="240" w:lineRule="auto"/>
              <w:ind w:left="288" w:hanging="284"/>
              <w:rPr>
                <w:rFonts w:cs="Arial"/>
                <w:szCs w:val="21"/>
              </w:rPr>
            </w:pPr>
            <w:r w:rsidRPr="00410E0B">
              <w:rPr>
                <w:rFonts w:cs="Arial"/>
                <w:szCs w:val="21"/>
              </w:rPr>
              <w:t xml:space="preserve">St Vincent’s Health </w:t>
            </w:r>
          </w:p>
          <w:p w14:paraId="16F89ACD" w14:textId="2666B677" w:rsidR="00F149A1" w:rsidRPr="00410E0B" w:rsidRDefault="00F149A1" w:rsidP="003A2850">
            <w:pPr>
              <w:pStyle w:val="Body"/>
              <w:numPr>
                <w:ilvl w:val="0"/>
                <w:numId w:val="29"/>
              </w:numPr>
              <w:spacing w:after="0" w:line="240" w:lineRule="auto"/>
              <w:ind w:left="288" w:hanging="284"/>
              <w:rPr>
                <w:rFonts w:cs="Arial"/>
              </w:rPr>
            </w:pPr>
            <w:r w:rsidRPr="15D4C2B4">
              <w:rPr>
                <w:rFonts w:cs="Arial"/>
              </w:rPr>
              <w:t>University H</w:t>
            </w:r>
            <w:r w:rsidR="27F98F6F" w:rsidRPr="15D4C2B4">
              <w:rPr>
                <w:rFonts w:cs="Arial"/>
              </w:rPr>
              <w:t>ospital</w:t>
            </w:r>
            <w:r w:rsidRPr="15D4C2B4">
              <w:rPr>
                <w:rFonts w:cs="Arial"/>
              </w:rPr>
              <w:t xml:space="preserve"> Geelong </w:t>
            </w:r>
          </w:p>
        </w:tc>
        <w:tc>
          <w:tcPr>
            <w:tcW w:w="2082" w:type="dxa"/>
          </w:tcPr>
          <w:p w14:paraId="5A577660" w14:textId="77777777" w:rsidR="00F149A1" w:rsidRPr="00410E0B" w:rsidRDefault="00F149A1">
            <w:pPr>
              <w:pStyle w:val="Body"/>
              <w:spacing w:after="0" w:line="240" w:lineRule="auto"/>
              <w:rPr>
                <w:rFonts w:cs="Arial"/>
                <w:szCs w:val="21"/>
              </w:rPr>
            </w:pPr>
            <w:r w:rsidRPr="00410E0B">
              <w:rPr>
                <w:rFonts w:cs="Arial"/>
                <w:szCs w:val="21"/>
              </w:rPr>
              <w:t xml:space="preserve">No </w:t>
            </w:r>
          </w:p>
        </w:tc>
      </w:tr>
      <w:tr w:rsidR="00F149A1" w:rsidRPr="008E7073" w14:paraId="13098458" w14:textId="77777777" w:rsidTr="4DA9918C">
        <w:trPr>
          <w:trHeight w:val="255"/>
        </w:trPr>
        <w:tc>
          <w:tcPr>
            <w:tcW w:w="2802" w:type="dxa"/>
          </w:tcPr>
          <w:p w14:paraId="09C19007" w14:textId="77777777" w:rsidR="00F149A1" w:rsidRPr="00410E0B" w:rsidRDefault="00F149A1">
            <w:pPr>
              <w:pStyle w:val="Body"/>
              <w:spacing w:after="0" w:line="240" w:lineRule="auto"/>
              <w:rPr>
                <w:rFonts w:cs="Arial"/>
                <w:szCs w:val="21"/>
              </w:rPr>
            </w:pPr>
            <w:r w:rsidRPr="00410E0B">
              <w:rPr>
                <w:rFonts w:cs="Arial"/>
                <w:szCs w:val="21"/>
              </w:rPr>
              <w:t xml:space="preserve">Endovascular clot retrievals for acute stroke </w:t>
            </w:r>
          </w:p>
        </w:tc>
        <w:tc>
          <w:tcPr>
            <w:tcW w:w="905" w:type="dxa"/>
          </w:tcPr>
          <w:p w14:paraId="61BF0B72" w14:textId="77777777" w:rsidR="00F149A1" w:rsidRPr="00410E0B" w:rsidRDefault="00F149A1">
            <w:pPr>
              <w:pStyle w:val="Body"/>
              <w:spacing w:after="0" w:line="240" w:lineRule="auto"/>
              <w:jc w:val="center"/>
              <w:rPr>
                <w:rFonts w:cs="Arial"/>
                <w:szCs w:val="21"/>
              </w:rPr>
            </w:pPr>
            <w:r w:rsidRPr="00410E0B">
              <w:rPr>
                <w:rFonts w:cs="Arial"/>
                <w:szCs w:val="21"/>
              </w:rPr>
              <w:t>2</w:t>
            </w:r>
          </w:p>
        </w:tc>
        <w:tc>
          <w:tcPr>
            <w:tcW w:w="3588" w:type="dxa"/>
          </w:tcPr>
          <w:p w14:paraId="79270960" w14:textId="77777777" w:rsidR="00F149A1" w:rsidRPr="00410E0B" w:rsidRDefault="00F149A1" w:rsidP="003A2850">
            <w:pPr>
              <w:pStyle w:val="Body"/>
              <w:numPr>
                <w:ilvl w:val="0"/>
                <w:numId w:val="30"/>
              </w:numPr>
              <w:spacing w:after="0" w:line="240" w:lineRule="auto"/>
              <w:ind w:left="288" w:hanging="284"/>
              <w:rPr>
                <w:rFonts w:cs="Arial"/>
                <w:szCs w:val="21"/>
              </w:rPr>
            </w:pPr>
            <w:r w:rsidRPr="00410E0B">
              <w:rPr>
                <w:rFonts w:cs="Arial"/>
                <w:szCs w:val="21"/>
              </w:rPr>
              <w:t xml:space="preserve">Monash – MMC </w:t>
            </w:r>
          </w:p>
          <w:p w14:paraId="699F9678" w14:textId="69C3E40F" w:rsidR="00F149A1" w:rsidRPr="00410E0B" w:rsidRDefault="00F149A1" w:rsidP="003A2850">
            <w:pPr>
              <w:pStyle w:val="Body"/>
              <w:numPr>
                <w:ilvl w:val="0"/>
                <w:numId w:val="30"/>
              </w:numPr>
              <w:spacing w:after="0" w:line="240" w:lineRule="auto"/>
              <w:ind w:left="288" w:hanging="284"/>
              <w:rPr>
                <w:rFonts w:cs="Arial"/>
              </w:rPr>
            </w:pPr>
            <w:r w:rsidRPr="15D4C2B4">
              <w:rPr>
                <w:rFonts w:cs="Arial"/>
              </w:rPr>
              <w:t xml:space="preserve">Royal Melbourne </w:t>
            </w:r>
            <w:r w:rsidR="35A0DC6B" w:rsidRPr="15D4C2B4">
              <w:rPr>
                <w:rFonts w:cs="Arial"/>
              </w:rPr>
              <w:t>Hospital</w:t>
            </w:r>
            <w:r w:rsidRPr="15D4C2B4">
              <w:rPr>
                <w:rFonts w:cs="Arial"/>
              </w:rPr>
              <w:t xml:space="preserve"> </w:t>
            </w:r>
          </w:p>
          <w:p w14:paraId="2A5C5755" w14:textId="77777777" w:rsidR="00F149A1" w:rsidRPr="00410E0B" w:rsidRDefault="00F149A1">
            <w:pPr>
              <w:pStyle w:val="Body"/>
              <w:spacing w:after="0" w:line="240" w:lineRule="auto"/>
              <w:ind w:left="288" w:hanging="284"/>
              <w:rPr>
                <w:rFonts w:cs="Arial"/>
                <w:szCs w:val="21"/>
              </w:rPr>
            </w:pPr>
          </w:p>
        </w:tc>
        <w:tc>
          <w:tcPr>
            <w:tcW w:w="2082" w:type="dxa"/>
          </w:tcPr>
          <w:p w14:paraId="338F1446" w14:textId="77777777" w:rsidR="00F149A1" w:rsidRPr="00410E0B" w:rsidRDefault="00F149A1">
            <w:pPr>
              <w:pStyle w:val="Body"/>
              <w:spacing w:after="0" w:line="240" w:lineRule="auto"/>
              <w:rPr>
                <w:rFonts w:cs="Arial"/>
                <w:szCs w:val="21"/>
              </w:rPr>
            </w:pPr>
            <w:r w:rsidRPr="00410E0B">
              <w:rPr>
                <w:rFonts w:cs="Arial"/>
                <w:szCs w:val="21"/>
              </w:rPr>
              <w:t xml:space="preserve">No </w:t>
            </w:r>
          </w:p>
        </w:tc>
      </w:tr>
      <w:tr w:rsidR="00F149A1" w:rsidRPr="008E7073" w14:paraId="7D37D08D" w14:textId="77777777" w:rsidTr="4DA9918C">
        <w:trPr>
          <w:trHeight w:val="256"/>
        </w:trPr>
        <w:tc>
          <w:tcPr>
            <w:tcW w:w="2802" w:type="dxa"/>
          </w:tcPr>
          <w:p w14:paraId="6F26DF4F" w14:textId="77777777" w:rsidR="00F149A1" w:rsidRPr="00410E0B" w:rsidRDefault="00F149A1">
            <w:pPr>
              <w:pStyle w:val="Body"/>
              <w:spacing w:after="0" w:line="240" w:lineRule="auto"/>
              <w:rPr>
                <w:rFonts w:cs="Arial"/>
                <w:szCs w:val="21"/>
              </w:rPr>
            </w:pPr>
            <w:r w:rsidRPr="00410E0B">
              <w:rPr>
                <w:rFonts w:cs="Arial"/>
                <w:szCs w:val="21"/>
              </w:rPr>
              <w:t xml:space="preserve">Gene therapy, Luxturna® </w:t>
            </w:r>
          </w:p>
        </w:tc>
        <w:tc>
          <w:tcPr>
            <w:tcW w:w="905" w:type="dxa"/>
          </w:tcPr>
          <w:p w14:paraId="4151D482" w14:textId="77777777" w:rsidR="00F149A1" w:rsidRPr="00410E0B" w:rsidRDefault="00F149A1">
            <w:pPr>
              <w:pStyle w:val="Body"/>
              <w:spacing w:after="0" w:line="240" w:lineRule="auto"/>
              <w:jc w:val="center"/>
              <w:rPr>
                <w:rFonts w:cs="Arial"/>
                <w:szCs w:val="21"/>
              </w:rPr>
            </w:pPr>
            <w:r w:rsidRPr="00410E0B">
              <w:rPr>
                <w:rFonts w:cs="Arial"/>
                <w:szCs w:val="21"/>
              </w:rPr>
              <w:t>1</w:t>
            </w:r>
          </w:p>
        </w:tc>
        <w:tc>
          <w:tcPr>
            <w:tcW w:w="3588" w:type="dxa"/>
          </w:tcPr>
          <w:p w14:paraId="7B524DF9" w14:textId="750160CD" w:rsidR="00F149A1" w:rsidRPr="00410E0B" w:rsidRDefault="00F149A1" w:rsidP="003A2850">
            <w:pPr>
              <w:pStyle w:val="Body"/>
              <w:numPr>
                <w:ilvl w:val="0"/>
                <w:numId w:val="31"/>
              </w:numPr>
              <w:spacing w:after="0" w:line="240" w:lineRule="auto"/>
              <w:ind w:left="288" w:hanging="284"/>
              <w:rPr>
                <w:rFonts w:cs="Arial"/>
              </w:rPr>
            </w:pPr>
            <w:r w:rsidRPr="15D4C2B4">
              <w:rPr>
                <w:rFonts w:cs="Arial"/>
              </w:rPr>
              <w:t xml:space="preserve">Royal Victorian Eye and Ear </w:t>
            </w:r>
            <w:r w:rsidR="36F0B699" w:rsidRPr="15D4C2B4">
              <w:rPr>
                <w:rFonts w:cs="Arial"/>
              </w:rPr>
              <w:t>Hospital</w:t>
            </w:r>
            <w:r w:rsidRPr="15D4C2B4">
              <w:rPr>
                <w:rFonts w:cs="Arial"/>
              </w:rPr>
              <w:t xml:space="preserve"> </w:t>
            </w:r>
          </w:p>
        </w:tc>
        <w:tc>
          <w:tcPr>
            <w:tcW w:w="2082" w:type="dxa"/>
          </w:tcPr>
          <w:p w14:paraId="1F8645FD" w14:textId="77777777" w:rsidR="00F149A1" w:rsidRPr="00410E0B" w:rsidRDefault="00F149A1">
            <w:pPr>
              <w:pStyle w:val="Body"/>
              <w:spacing w:after="0" w:line="240" w:lineRule="auto"/>
              <w:rPr>
                <w:rFonts w:cs="Arial"/>
                <w:szCs w:val="21"/>
              </w:rPr>
            </w:pPr>
            <w:r w:rsidRPr="00410E0B">
              <w:rPr>
                <w:rFonts w:cs="Arial"/>
                <w:szCs w:val="21"/>
              </w:rPr>
              <w:t xml:space="preserve">No </w:t>
            </w:r>
          </w:p>
        </w:tc>
      </w:tr>
      <w:tr w:rsidR="00F149A1" w:rsidRPr="008E7073" w14:paraId="5502E866" w14:textId="77777777" w:rsidTr="4DA9918C">
        <w:trPr>
          <w:trHeight w:val="127"/>
        </w:trPr>
        <w:tc>
          <w:tcPr>
            <w:tcW w:w="2802" w:type="dxa"/>
          </w:tcPr>
          <w:p w14:paraId="6148A2AA" w14:textId="77777777" w:rsidR="00F149A1" w:rsidRPr="00410E0B" w:rsidRDefault="00F149A1">
            <w:pPr>
              <w:pStyle w:val="Body"/>
              <w:spacing w:after="0" w:line="240" w:lineRule="auto"/>
              <w:rPr>
                <w:rFonts w:cs="Arial"/>
                <w:szCs w:val="21"/>
              </w:rPr>
            </w:pPr>
            <w:r w:rsidRPr="00410E0B">
              <w:rPr>
                <w:rFonts w:cs="Arial"/>
                <w:szCs w:val="21"/>
              </w:rPr>
              <w:t xml:space="preserve">Heart transplants – adults </w:t>
            </w:r>
          </w:p>
        </w:tc>
        <w:tc>
          <w:tcPr>
            <w:tcW w:w="905" w:type="dxa"/>
          </w:tcPr>
          <w:p w14:paraId="3A952DE6" w14:textId="77777777" w:rsidR="00F149A1" w:rsidRPr="00410E0B" w:rsidRDefault="00F149A1">
            <w:pPr>
              <w:pStyle w:val="Body"/>
              <w:spacing w:after="0" w:line="240" w:lineRule="auto"/>
              <w:jc w:val="center"/>
              <w:rPr>
                <w:rFonts w:cs="Arial"/>
                <w:szCs w:val="21"/>
              </w:rPr>
            </w:pPr>
            <w:r w:rsidRPr="00410E0B">
              <w:rPr>
                <w:rFonts w:cs="Arial"/>
                <w:szCs w:val="21"/>
              </w:rPr>
              <w:t>1</w:t>
            </w:r>
          </w:p>
        </w:tc>
        <w:tc>
          <w:tcPr>
            <w:tcW w:w="3588" w:type="dxa"/>
          </w:tcPr>
          <w:p w14:paraId="080E97BE" w14:textId="77777777" w:rsidR="00F149A1" w:rsidRPr="00410E0B" w:rsidRDefault="00F149A1" w:rsidP="003A2850">
            <w:pPr>
              <w:pStyle w:val="Body"/>
              <w:numPr>
                <w:ilvl w:val="0"/>
                <w:numId w:val="31"/>
              </w:numPr>
              <w:spacing w:after="0" w:line="240" w:lineRule="auto"/>
              <w:ind w:left="288" w:hanging="284"/>
              <w:rPr>
                <w:rFonts w:cs="Arial"/>
                <w:szCs w:val="21"/>
              </w:rPr>
            </w:pPr>
            <w:r w:rsidRPr="00410E0B">
              <w:rPr>
                <w:rFonts w:cs="Arial"/>
                <w:szCs w:val="21"/>
              </w:rPr>
              <w:t xml:space="preserve">Alfred </w:t>
            </w:r>
          </w:p>
        </w:tc>
        <w:tc>
          <w:tcPr>
            <w:tcW w:w="2082" w:type="dxa"/>
          </w:tcPr>
          <w:p w14:paraId="32DFF691" w14:textId="77777777" w:rsidR="00F149A1" w:rsidRPr="00410E0B" w:rsidRDefault="00F149A1">
            <w:pPr>
              <w:pStyle w:val="Body"/>
              <w:spacing w:after="0" w:line="240" w:lineRule="auto"/>
              <w:rPr>
                <w:rFonts w:cs="Arial"/>
                <w:szCs w:val="21"/>
              </w:rPr>
            </w:pPr>
            <w:r w:rsidRPr="00410E0B">
              <w:rPr>
                <w:rFonts w:cs="Arial"/>
                <w:szCs w:val="21"/>
              </w:rPr>
              <w:t xml:space="preserve">No </w:t>
            </w:r>
          </w:p>
        </w:tc>
      </w:tr>
      <w:tr w:rsidR="00F149A1" w:rsidRPr="008E7073" w14:paraId="4386F49F" w14:textId="77777777" w:rsidTr="4DA9918C">
        <w:trPr>
          <w:trHeight w:val="256"/>
        </w:trPr>
        <w:tc>
          <w:tcPr>
            <w:tcW w:w="2802" w:type="dxa"/>
          </w:tcPr>
          <w:p w14:paraId="6B9A7515" w14:textId="77777777" w:rsidR="00F149A1" w:rsidRPr="00410E0B" w:rsidRDefault="00F149A1">
            <w:pPr>
              <w:pStyle w:val="Body"/>
              <w:spacing w:after="0" w:line="240" w:lineRule="auto"/>
              <w:rPr>
                <w:rFonts w:cs="Arial"/>
                <w:szCs w:val="21"/>
              </w:rPr>
            </w:pPr>
            <w:r w:rsidRPr="00410E0B">
              <w:rPr>
                <w:rFonts w:cs="Arial"/>
                <w:szCs w:val="21"/>
              </w:rPr>
              <w:t xml:space="preserve">Heart transplants &amp; complex cardiac surgery – children </w:t>
            </w:r>
          </w:p>
        </w:tc>
        <w:tc>
          <w:tcPr>
            <w:tcW w:w="905" w:type="dxa"/>
          </w:tcPr>
          <w:p w14:paraId="1F8A9347" w14:textId="77777777" w:rsidR="00F149A1" w:rsidRPr="00410E0B" w:rsidRDefault="00F149A1">
            <w:pPr>
              <w:pStyle w:val="Body"/>
              <w:spacing w:after="0" w:line="240" w:lineRule="auto"/>
              <w:jc w:val="center"/>
              <w:rPr>
                <w:rFonts w:cs="Arial"/>
                <w:szCs w:val="21"/>
              </w:rPr>
            </w:pPr>
            <w:r w:rsidRPr="00410E0B">
              <w:rPr>
                <w:rFonts w:cs="Arial"/>
                <w:szCs w:val="21"/>
              </w:rPr>
              <w:t>1</w:t>
            </w:r>
          </w:p>
        </w:tc>
        <w:tc>
          <w:tcPr>
            <w:tcW w:w="3588" w:type="dxa"/>
          </w:tcPr>
          <w:p w14:paraId="2240CCF5" w14:textId="41AC490D" w:rsidR="00F149A1" w:rsidRPr="00410E0B" w:rsidRDefault="00F149A1" w:rsidP="003A2850">
            <w:pPr>
              <w:pStyle w:val="Body"/>
              <w:numPr>
                <w:ilvl w:val="0"/>
                <w:numId w:val="31"/>
              </w:numPr>
              <w:spacing w:after="0" w:line="240" w:lineRule="auto"/>
              <w:ind w:left="288" w:hanging="284"/>
              <w:rPr>
                <w:rFonts w:cs="Arial"/>
              </w:rPr>
            </w:pPr>
            <w:r w:rsidRPr="15D4C2B4">
              <w:rPr>
                <w:rFonts w:cs="Arial"/>
              </w:rPr>
              <w:t xml:space="preserve">Royal Children’s </w:t>
            </w:r>
            <w:r w:rsidR="7FDE2E13" w:rsidRPr="15D4C2B4">
              <w:rPr>
                <w:rFonts w:cs="Arial"/>
              </w:rPr>
              <w:t>Hospital</w:t>
            </w:r>
            <w:r w:rsidRPr="15D4C2B4">
              <w:rPr>
                <w:rFonts w:cs="Arial"/>
              </w:rPr>
              <w:t xml:space="preserve"> </w:t>
            </w:r>
          </w:p>
        </w:tc>
        <w:tc>
          <w:tcPr>
            <w:tcW w:w="2082" w:type="dxa"/>
          </w:tcPr>
          <w:p w14:paraId="2B039564" w14:textId="77777777" w:rsidR="00F149A1" w:rsidRPr="00410E0B" w:rsidRDefault="00F149A1">
            <w:pPr>
              <w:pStyle w:val="Body"/>
              <w:spacing w:after="0" w:line="240" w:lineRule="auto"/>
              <w:rPr>
                <w:rFonts w:cs="Arial"/>
                <w:szCs w:val="21"/>
              </w:rPr>
            </w:pPr>
            <w:r w:rsidRPr="00410E0B">
              <w:rPr>
                <w:rFonts w:cs="Arial"/>
                <w:szCs w:val="21"/>
              </w:rPr>
              <w:t xml:space="preserve">Yes </w:t>
            </w:r>
          </w:p>
        </w:tc>
      </w:tr>
      <w:tr w:rsidR="00F149A1" w:rsidRPr="008E7073" w14:paraId="41699632" w14:textId="77777777" w:rsidTr="4DA9918C">
        <w:trPr>
          <w:trHeight w:val="256"/>
        </w:trPr>
        <w:tc>
          <w:tcPr>
            <w:tcW w:w="2802" w:type="dxa"/>
          </w:tcPr>
          <w:p w14:paraId="2B6342B1" w14:textId="77777777" w:rsidR="00F149A1" w:rsidRPr="00410E0B" w:rsidRDefault="00F149A1">
            <w:pPr>
              <w:pStyle w:val="Body"/>
              <w:spacing w:after="0" w:line="240" w:lineRule="auto"/>
              <w:rPr>
                <w:rFonts w:cs="Arial"/>
                <w:szCs w:val="21"/>
              </w:rPr>
            </w:pPr>
            <w:r w:rsidRPr="00410E0B">
              <w:rPr>
                <w:rFonts w:cs="Arial"/>
                <w:szCs w:val="21"/>
              </w:rPr>
              <w:t xml:space="preserve">Immunotherapy, Qarziba® </w:t>
            </w:r>
          </w:p>
        </w:tc>
        <w:tc>
          <w:tcPr>
            <w:tcW w:w="905" w:type="dxa"/>
          </w:tcPr>
          <w:p w14:paraId="1A024C5B" w14:textId="77777777" w:rsidR="00F149A1" w:rsidRPr="00410E0B" w:rsidRDefault="00F149A1">
            <w:pPr>
              <w:pStyle w:val="Body"/>
              <w:spacing w:after="0" w:line="240" w:lineRule="auto"/>
              <w:jc w:val="center"/>
              <w:rPr>
                <w:rFonts w:cs="Arial"/>
                <w:szCs w:val="21"/>
              </w:rPr>
            </w:pPr>
            <w:r w:rsidRPr="00410E0B">
              <w:rPr>
                <w:rFonts w:cs="Arial"/>
                <w:szCs w:val="21"/>
              </w:rPr>
              <w:t>2</w:t>
            </w:r>
          </w:p>
        </w:tc>
        <w:tc>
          <w:tcPr>
            <w:tcW w:w="3588" w:type="dxa"/>
          </w:tcPr>
          <w:p w14:paraId="6538008B" w14:textId="74F1B239" w:rsidR="00F149A1" w:rsidRPr="00410E0B" w:rsidRDefault="00F149A1" w:rsidP="003A2850">
            <w:pPr>
              <w:pStyle w:val="Body"/>
              <w:numPr>
                <w:ilvl w:val="0"/>
                <w:numId w:val="31"/>
              </w:numPr>
              <w:spacing w:after="0" w:line="240" w:lineRule="auto"/>
              <w:ind w:left="288" w:hanging="284"/>
              <w:rPr>
                <w:rFonts w:cs="Arial"/>
              </w:rPr>
            </w:pPr>
            <w:r w:rsidRPr="15D4C2B4">
              <w:rPr>
                <w:rFonts w:cs="Arial"/>
              </w:rPr>
              <w:t xml:space="preserve">Monash Children’s </w:t>
            </w:r>
            <w:r w:rsidR="7FDE2E13" w:rsidRPr="15D4C2B4">
              <w:rPr>
                <w:rFonts w:cs="Arial"/>
              </w:rPr>
              <w:t>Hospital</w:t>
            </w:r>
            <w:r w:rsidRPr="15D4C2B4">
              <w:rPr>
                <w:rFonts w:cs="Arial"/>
              </w:rPr>
              <w:t xml:space="preserve"> </w:t>
            </w:r>
          </w:p>
          <w:p w14:paraId="3079CB42" w14:textId="76C4C6E6" w:rsidR="00F149A1" w:rsidRPr="00410E0B" w:rsidRDefault="00F149A1" w:rsidP="003A2850">
            <w:pPr>
              <w:pStyle w:val="Body"/>
              <w:numPr>
                <w:ilvl w:val="0"/>
                <w:numId w:val="31"/>
              </w:numPr>
              <w:spacing w:after="0" w:line="240" w:lineRule="auto"/>
              <w:ind w:left="288" w:hanging="284"/>
              <w:rPr>
                <w:rFonts w:cs="Arial"/>
              </w:rPr>
            </w:pPr>
            <w:r w:rsidRPr="15D4C2B4">
              <w:rPr>
                <w:rFonts w:cs="Arial"/>
              </w:rPr>
              <w:t xml:space="preserve">Royal Children’s </w:t>
            </w:r>
            <w:r w:rsidR="2F29D905" w:rsidRPr="15D4C2B4">
              <w:rPr>
                <w:rFonts w:cs="Arial"/>
              </w:rPr>
              <w:t>Hospital</w:t>
            </w:r>
            <w:r w:rsidRPr="15D4C2B4">
              <w:rPr>
                <w:rFonts w:cs="Arial"/>
              </w:rPr>
              <w:t xml:space="preserve"> </w:t>
            </w:r>
          </w:p>
        </w:tc>
        <w:tc>
          <w:tcPr>
            <w:tcW w:w="2082" w:type="dxa"/>
          </w:tcPr>
          <w:p w14:paraId="4B7778FE" w14:textId="77777777" w:rsidR="00F149A1" w:rsidRPr="00410E0B" w:rsidRDefault="00F149A1">
            <w:pPr>
              <w:pStyle w:val="Body"/>
              <w:spacing w:after="0" w:line="240" w:lineRule="auto"/>
              <w:rPr>
                <w:rFonts w:cs="Arial"/>
                <w:szCs w:val="21"/>
              </w:rPr>
            </w:pPr>
            <w:r w:rsidRPr="00410E0B">
              <w:rPr>
                <w:rFonts w:cs="Arial"/>
                <w:szCs w:val="21"/>
              </w:rPr>
              <w:t xml:space="preserve">No </w:t>
            </w:r>
          </w:p>
        </w:tc>
      </w:tr>
      <w:tr w:rsidR="00F149A1" w:rsidRPr="008E7073" w14:paraId="7F5AC0C6" w14:textId="77777777" w:rsidTr="4DA9918C">
        <w:trPr>
          <w:trHeight w:val="256"/>
        </w:trPr>
        <w:tc>
          <w:tcPr>
            <w:tcW w:w="2802" w:type="dxa"/>
          </w:tcPr>
          <w:p w14:paraId="0AB3C18D" w14:textId="77777777" w:rsidR="00F149A1" w:rsidRPr="00410E0B" w:rsidRDefault="00F149A1">
            <w:pPr>
              <w:pStyle w:val="Body"/>
              <w:spacing w:after="0" w:line="240" w:lineRule="auto"/>
              <w:rPr>
                <w:rFonts w:cs="Arial"/>
                <w:szCs w:val="21"/>
              </w:rPr>
            </w:pPr>
            <w:r w:rsidRPr="00410E0B">
              <w:rPr>
                <w:rFonts w:cs="Arial"/>
                <w:szCs w:val="21"/>
              </w:rPr>
              <w:t xml:space="preserve">Islet cell transplants </w:t>
            </w:r>
          </w:p>
        </w:tc>
        <w:tc>
          <w:tcPr>
            <w:tcW w:w="905" w:type="dxa"/>
          </w:tcPr>
          <w:p w14:paraId="2D14F958" w14:textId="77777777" w:rsidR="00F149A1" w:rsidRPr="00410E0B" w:rsidRDefault="00F149A1">
            <w:pPr>
              <w:pStyle w:val="Body"/>
              <w:spacing w:after="0" w:line="240" w:lineRule="auto"/>
              <w:jc w:val="center"/>
              <w:rPr>
                <w:rFonts w:cs="Arial"/>
                <w:szCs w:val="21"/>
              </w:rPr>
            </w:pPr>
            <w:r w:rsidRPr="00410E0B">
              <w:rPr>
                <w:rFonts w:cs="Arial"/>
                <w:szCs w:val="21"/>
              </w:rPr>
              <w:t>1</w:t>
            </w:r>
          </w:p>
        </w:tc>
        <w:tc>
          <w:tcPr>
            <w:tcW w:w="3588" w:type="dxa"/>
          </w:tcPr>
          <w:p w14:paraId="18AE6483" w14:textId="55152C57" w:rsidR="00F149A1" w:rsidRPr="00410E0B" w:rsidRDefault="00F149A1" w:rsidP="003A2850">
            <w:pPr>
              <w:pStyle w:val="Default"/>
              <w:numPr>
                <w:ilvl w:val="0"/>
                <w:numId w:val="32"/>
              </w:numPr>
              <w:ind w:left="288" w:hanging="284"/>
              <w:rPr>
                <w:rFonts w:ascii="Arial" w:eastAsia="Times" w:hAnsi="Arial" w:cs="Arial"/>
                <w:color w:val="auto"/>
                <w:sz w:val="21"/>
                <w:szCs w:val="21"/>
                <w:lang w:eastAsia="en-US"/>
              </w:rPr>
            </w:pPr>
            <w:r w:rsidRPr="00410E0B">
              <w:rPr>
                <w:rFonts w:ascii="Arial" w:eastAsia="Times" w:hAnsi="Arial" w:cs="Arial"/>
                <w:color w:val="auto"/>
                <w:sz w:val="21"/>
                <w:szCs w:val="21"/>
                <w:lang w:eastAsia="en-US"/>
              </w:rPr>
              <w:t xml:space="preserve">St Vincent’s </w:t>
            </w:r>
            <w:r w:rsidR="7416EA98" w:rsidRPr="15D4C2B4">
              <w:rPr>
                <w:rFonts w:ascii="Arial" w:eastAsia="Times" w:hAnsi="Arial" w:cs="Arial"/>
                <w:color w:val="auto"/>
                <w:sz w:val="21"/>
                <w:szCs w:val="21"/>
                <w:lang w:eastAsia="en-US"/>
              </w:rPr>
              <w:t>Hospital</w:t>
            </w:r>
            <w:r w:rsidRPr="00410E0B">
              <w:rPr>
                <w:rFonts w:ascii="Arial" w:eastAsia="Times" w:hAnsi="Arial" w:cs="Arial"/>
                <w:color w:val="auto"/>
                <w:sz w:val="21"/>
                <w:szCs w:val="21"/>
                <w:lang w:eastAsia="en-US"/>
              </w:rPr>
              <w:t xml:space="preserve"> </w:t>
            </w:r>
          </w:p>
        </w:tc>
        <w:tc>
          <w:tcPr>
            <w:tcW w:w="2082" w:type="dxa"/>
          </w:tcPr>
          <w:p w14:paraId="7552AA43" w14:textId="77777777" w:rsidR="00F149A1" w:rsidRPr="00410E0B" w:rsidRDefault="00F149A1">
            <w:pPr>
              <w:pStyle w:val="Body"/>
              <w:spacing w:after="0" w:line="240" w:lineRule="auto"/>
              <w:rPr>
                <w:rFonts w:cs="Arial"/>
                <w:szCs w:val="21"/>
              </w:rPr>
            </w:pPr>
            <w:r w:rsidRPr="00410E0B">
              <w:rPr>
                <w:rFonts w:cs="Arial"/>
                <w:szCs w:val="21"/>
              </w:rPr>
              <w:t xml:space="preserve">Yes </w:t>
            </w:r>
          </w:p>
        </w:tc>
      </w:tr>
      <w:tr w:rsidR="00F149A1" w:rsidRPr="008E7073" w14:paraId="05CC76C1" w14:textId="77777777" w:rsidTr="4DA9918C">
        <w:trPr>
          <w:trHeight w:val="256"/>
        </w:trPr>
        <w:tc>
          <w:tcPr>
            <w:tcW w:w="2802" w:type="dxa"/>
          </w:tcPr>
          <w:p w14:paraId="57A2769F" w14:textId="77777777" w:rsidR="00F149A1" w:rsidRPr="00410E0B" w:rsidRDefault="00F149A1">
            <w:pPr>
              <w:pStyle w:val="Body"/>
              <w:spacing w:after="0" w:line="240" w:lineRule="auto"/>
              <w:rPr>
                <w:rFonts w:cs="Arial"/>
                <w:szCs w:val="21"/>
              </w:rPr>
            </w:pPr>
            <w:r w:rsidRPr="00410E0B">
              <w:rPr>
                <w:rFonts w:cs="Arial"/>
                <w:szCs w:val="21"/>
              </w:rPr>
              <w:t xml:space="preserve">Kidney/pancreas transplants – children </w:t>
            </w:r>
          </w:p>
        </w:tc>
        <w:tc>
          <w:tcPr>
            <w:tcW w:w="905" w:type="dxa"/>
          </w:tcPr>
          <w:p w14:paraId="0EAD93FF" w14:textId="77777777" w:rsidR="00F149A1" w:rsidRPr="00410E0B" w:rsidRDefault="00F149A1">
            <w:pPr>
              <w:pStyle w:val="Body"/>
              <w:spacing w:after="0" w:line="240" w:lineRule="auto"/>
              <w:jc w:val="center"/>
              <w:rPr>
                <w:rFonts w:cs="Arial"/>
                <w:szCs w:val="21"/>
              </w:rPr>
            </w:pPr>
            <w:r w:rsidRPr="00410E0B">
              <w:rPr>
                <w:rFonts w:cs="Arial"/>
                <w:szCs w:val="21"/>
              </w:rPr>
              <w:t>1</w:t>
            </w:r>
          </w:p>
        </w:tc>
        <w:tc>
          <w:tcPr>
            <w:tcW w:w="3588" w:type="dxa"/>
          </w:tcPr>
          <w:p w14:paraId="34135622" w14:textId="7E22E8D8" w:rsidR="00F149A1" w:rsidRPr="00410E0B" w:rsidRDefault="00F149A1" w:rsidP="003A2850">
            <w:pPr>
              <w:pStyle w:val="Default"/>
              <w:numPr>
                <w:ilvl w:val="0"/>
                <w:numId w:val="32"/>
              </w:numPr>
              <w:ind w:left="288" w:hanging="284"/>
              <w:rPr>
                <w:rFonts w:ascii="Arial" w:eastAsia="Times" w:hAnsi="Arial" w:cs="Arial"/>
                <w:color w:val="auto"/>
                <w:sz w:val="21"/>
                <w:szCs w:val="21"/>
                <w:lang w:eastAsia="en-US"/>
              </w:rPr>
            </w:pPr>
            <w:r w:rsidRPr="00410E0B">
              <w:rPr>
                <w:rFonts w:ascii="Arial" w:eastAsia="Times" w:hAnsi="Arial" w:cs="Arial"/>
                <w:color w:val="auto"/>
                <w:sz w:val="21"/>
                <w:szCs w:val="21"/>
                <w:lang w:eastAsia="en-US"/>
              </w:rPr>
              <w:t xml:space="preserve">Royal Children’s </w:t>
            </w:r>
            <w:r w:rsidR="7416EA98" w:rsidRPr="15D4C2B4">
              <w:rPr>
                <w:rFonts w:ascii="Arial" w:eastAsia="Times" w:hAnsi="Arial" w:cs="Arial"/>
                <w:color w:val="auto"/>
                <w:sz w:val="21"/>
                <w:szCs w:val="21"/>
                <w:lang w:eastAsia="en-US"/>
              </w:rPr>
              <w:t>Hospital</w:t>
            </w:r>
            <w:r w:rsidRPr="00410E0B">
              <w:rPr>
                <w:rFonts w:ascii="Arial" w:eastAsia="Times" w:hAnsi="Arial" w:cs="Arial"/>
                <w:color w:val="auto"/>
                <w:sz w:val="21"/>
                <w:szCs w:val="21"/>
                <w:lang w:eastAsia="en-US"/>
              </w:rPr>
              <w:t xml:space="preserve"> </w:t>
            </w:r>
          </w:p>
          <w:p w14:paraId="64DC2E8A" w14:textId="77777777" w:rsidR="00F149A1" w:rsidRPr="00410E0B" w:rsidRDefault="00F149A1" w:rsidP="003A2850">
            <w:pPr>
              <w:pStyle w:val="Default"/>
              <w:numPr>
                <w:ilvl w:val="0"/>
                <w:numId w:val="32"/>
              </w:numPr>
              <w:ind w:left="288" w:hanging="284"/>
              <w:rPr>
                <w:rFonts w:ascii="Arial" w:eastAsia="Times" w:hAnsi="Arial" w:cs="Arial"/>
                <w:color w:val="auto"/>
                <w:sz w:val="21"/>
                <w:szCs w:val="21"/>
                <w:lang w:eastAsia="en-US"/>
              </w:rPr>
            </w:pPr>
            <w:r w:rsidRPr="00410E0B">
              <w:rPr>
                <w:rFonts w:ascii="Arial" w:eastAsia="Times" w:hAnsi="Arial" w:cs="Arial"/>
                <w:color w:val="auto"/>
                <w:sz w:val="21"/>
                <w:szCs w:val="21"/>
                <w:lang w:eastAsia="en-US"/>
              </w:rPr>
              <w:t>Monash Children’s</w:t>
            </w:r>
          </w:p>
        </w:tc>
        <w:tc>
          <w:tcPr>
            <w:tcW w:w="2082" w:type="dxa"/>
          </w:tcPr>
          <w:p w14:paraId="6DF25C51" w14:textId="77777777" w:rsidR="00F149A1" w:rsidRPr="00410E0B" w:rsidRDefault="00F149A1">
            <w:pPr>
              <w:pStyle w:val="Body"/>
              <w:spacing w:after="0" w:line="240" w:lineRule="auto"/>
              <w:rPr>
                <w:rFonts w:cs="Arial"/>
                <w:szCs w:val="21"/>
              </w:rPr>
            </w:pPr>
            <w:r w:rsidRPr="00410E0B">
              <w:rPr>
                <w:rFonts w:cs="Arial"/>
                <w:szCs w:val="21"/>
              </w:rPr>
              <w:t xml:space="preserve">No </w:t>
            </w:r>
          </w:p>
        </w:tc>
      </w:tr>
      <w:tr w:rsidR="00F149A1" w:rsidRPr="008E7073" w14:paraId="17A73B7D" w14:textId="77777777" w:rsidTr="4DA9918C">
        <w:trPr>
          <w:trHeight w:val="256"/>
        </w:trPr>
        <w:tc>
          <w:tcPr>
            <w:tcW w:w="2802" w:type="dxa"/>
          </w:tcPr>
          <w:p w14:paraId="0FF4902D" w14:textId="77777777" w:rsidR="00F149A1" w:rsidRPr="00410E0B" w:rsidRDefault="00F149A1">
            <w:pPr>
              <w:pStyle w:val="Body"/>
              <w:spacing w:after="0" w:line="240" w:lineRule="auto"/>
              <w:rPr>
                <w:rFonts w:cs="Arial"/>
                <w:szCs w:val="21"/>
              </w:rPr>
            </w:pPr>
            <w:r w:rsidRPr="00410E0B">
              <w:rPr>
                <w:rFonts w:cs="Arial"/>
                <w:szCs w:val="21"/>
              </w:rPr>
              <w:t xml:space="preserve">Liver transplants – adults </w:t>
            </w:r>
          </w:p>
        </w:tc>
        <w:tc>
          <w:tcPr>
            <w:tcW w:w="905" w:type="dxa"/>
          </w:tcPr>
          <w:p w14:paraId="344BBB75" w14:textId="77777777" w:rsidR="00F149A1" w:rsidRPr="00410E0B" w:rsidRDefault="00F149A1">
            <w:pPr>
              <w:pStyle w:val="Body"/>
              <w:spacing w:after="0" w:line="240" w:lineRule="auto"/>
              <w:jc w:val="center"/>
              <w:rPr>
                <w:rFonts w:cs="Arial"/>
                <w:szCs w:val="21"/>
              </w:rPr>
            </w:pPr>
            <w:r w:rsidRPr="00410E0B">
              <w:rPr>
                <w:rFonts w:cs="Arial"/>
                <w:szCs w:val="21"/>
              </w:rPr>
              <w:t>1</w:t>
            </w:r>
          </w:p>
        </w:tc>
        <w:tc>
          <w:tcPr>
            <w:tcW w:w="3588" w:type="dxa"/>
          </w:tcPr>
          <w:p w14:paraId="58633851" w14:textId="77777777" w:rsidR="00F149A1" w:rsidRPr="00410E0B" w:rsidRDefault="00F149A1" w:rsidP="003A2850">
            <w:pPr>
              <w:pStyle w:val="Default"/>
              <w:numPr>
                <w:ilvl w:val="0"/>
                <w:numId w:val="32"/>
              </w:numPr>
              <w:ind w:left="288" w:hanging="284"/>
              <w:rPr>
                <w:rFonts w:ascii="Arial" w:eastAsia="Times" w:hAnsi="Arial" w:cs="Arial"/>
                <w:color w:val="auto"/>
                <w:sz w:val="21"/>
                <w:szCs w:val="21"/>
                <w:lang w:eastAsia="en-US"/>
              </w:rPr>
            </w:pPr>
            <w:r w:rsidRPr="00410E0B">
              <w:rPr>
                <w:rFonts w:ascii="Arial" w:eastAsia="Times" w:hAnsi="Arial" w:cs="Arial"/>
                <w:color w:val="auto"/>
                <w:sz w:val="21"/>
                <w:szCs w:val="21"/>
                <w:lang w:eastAsia="en-US"/>
              </w:rPr>
              <w:t xml:space="preserve">Austin </w:t>
            </w:r>
          </w:p>
        </w:tc>
        <w:tc>
          <w:tcPr>
            <w:tcW w:w="2082" w:type="dxa"/>
          </w:tcPr>
          <w:p w14:paraId="717459D5" w14:textId="77777777" w:rsidR="00F149A1" w:rsidRPr="00410E0B" w:rsidRDefault="00F149A1">
            <w:pPr>
              <w:pStyle w:val="Body"/>
              <w:spacing w:after="0" w:line="240" w:lineRule="auto"/>
              <w:rPr>
                <w:rFonts w:cs="Arial"/>
                <w:szCs w:val="21"/>
              </w:rPr>
            </w:pPr>
            <w:r w:rsidRPr="00410E0B">
              <w:rPr>
                <w:rFonts w:cs="Arial"/>
                <w:szCs w:val="21"/>
              </w:rPr>
              <w:t xml:space="preserve">No </w:t>
            </w:r>
          </w:p>
        </w:tc>
      </w:tr>
      <w:tr w:rsidR="00F149A1" w:rsidRPr="008E7073" w14:paraId="1C5D3CAE" w14:textId="77777777" w:rsidTr="4DA9918C">
        <w:trPr>
          <w:trHeight w:val="256"/>
        </w:trPr>
        <w:tc>
          <w:tcPr>
            <w:tcW w:w="2802" w:type="dxa"/>
          </w:tcPr>
          <w:p w14:paraId="05A1EEAC" w14:textId="77777777" w:rsidR="00F149A1" w:rsidRPr="00410E0B" w:rsidRDefault="00F149A1">
            <w:pPr>
              <w:pStyle w:val="Body"/>
              <w:spacing w:after="0" w:line="240" w:lineRule="auto"/>
              <w:rPr>
                <w:rFonts w:cs="Arial"/>
                <w:szCs w:val="21"/>
              </w:rPr>
            </w:pPr>
            <w:r w:rsidRPr="00410E0B">
              <w:rPr>
                <w:rFonts w:cs="Arial"/>
                <w:szCs w:val="21"/>
              </w:rPr>
              <w:t xml:space="preserve">Liver transplants – children </w:t>
            </w:r>
          </w:p>
        </w:tc>
        <w:tc>
          <w:tcPr>
            <w:tcW w:w="905" w:type="dxa"/>
          </w:tcPr>
          <w:p w14:paraId="304E022B" w14:textId="77777777" w:rsidR="00F149A1" w:rsidRPr="00410E0B" w:rsidRDefault="00F149A1">
            <w:pPr>
              <w:pStyle w:val="Body"/>
              <w:spacing w:after="0" w:line="240" w:lineRule="auto"/>
              <w:jc w:val="center"/>
              <w:rPr>
                <w:rFonts w:cs="Arial"/>
                <w:szCs w:val="21"/>
              </w:rPr>
            </w:pPr>
            <w:r w:rsidRPr="00410E0B">
              <w:rPr>
                <w:rFonts w:cs="Arial"/>
                <w:szCs w:val="21"/>
              </w:rPr>
              <w:t>1</w:t>
            </w:r>
          </w:p>
        </w:tc>
        <w:tc>
          <w:tcPr>
            <w:tcW w:w="3588" w:type="dxa"/>
          </w:tcPr>
          <w:p w14:paraId="3BB6029D" w14:textId="6ABC2FD2" w:rsidR="00F149A1" w:rsidRPr="00410E0B" w:rsidRDefault="00F149A1" w:rsidP="003A2850">
            <w:pPr>
              <w:pStyle w:val="Default"/>
              <w:numPr>
                <w:ilvl w:val="0"/>
                <w:numId w:val="32"/>
              </w:numPr>
              <w:ind w:left="288" w:hanging="284"/>
              <w:rPr>
                <w:rFonts w:ascii="Arial" w:eastAsia="Times" w:hAnsi="Arial" w:cs="Arial"/>
                <w:color w:val="auto"/>
                <w:sz w:val="21"/>
                <w:szCs w:val="21"/>
                <w:lang w:eastAsia="en-US"/>
              </w:rPr>
            </w:pPr>
            <w:r w:rsidRPr="00410E0B">
              <w:rPr>
                <w:rFonts w:ascii="Arial" w:eastAsia="Times" w:hAnsi="Arial" w:cs="Arial"/>
                <w:color w:val="auto"/>
                <w:sz w:val="21"/>
                <w:szCs w:val="21"/>
                <w:lang w:eastAsia="en-US"/>
              </w:rPr>
              <w:t xml:space="preserve">Royal Children’s </w:t>
            </w:r>
            <w:r w:rsidR="68DFEB56" w:rsidRPr="15D4C2B4">
              <w:rPr>
                <w:rFonts w:ascii="Arial" w:eastAsia="Times" w:hAnsi="Arial" w:cs="Arial"/>
                <w:color w:val="auto"/>
                <w:sz w:val="21"/>
                <w:szCs w:val="21"/>
                <w:lang w:eastAsia="en-US"/>
              </w:rPr>
              <w:t>Hospital</w:t>
            </w:r>
            <w:r w:rsidRPr="00410E0B">
              <w:rPr>
                <w:rFonts w:ascii="Arial" w:eastAsia="Times" w:hAnsi="Arial" w:cs="Arial"/>
                <w:color w:val="auto"/>
                <w:sz w:val="21"/>
                <w:szCs w:val="21"/>
                <w:lang w:eastAsia="en-US"/>
              </w:rPr>
              <w:t xml:space="preserve"> (supported by Austin) </w:t>
            </w:r>
          </w:p>
        </w:tc>
        <w:tc>
          <w:tcPr>
            <w:tcW w:w="2082" w:type="dxa"/>
          </w:tcPr>
          <w:p w14:paraId="508F1674" w14:textId="77777777" w:rsidR="00F149A1" w:rsidRPr="00410E0B" w:rsidRDefault="00F149A1">
            <w:pPr>
              <w:pStyle w:val="Body"/>
              <w:spacing w:after="0" w:line="240" w:lineRule="auto"/>
              <w:rPr>
                <w:rFonts w:cs="Arial"/>
                <w:szCs w:val="21"/>
              </w:rPr>
            </w:pPr>
            <w:r w:rsidRPr="00410E0B">
              <w:rPr>
                <w:rFonts w:cs="Arial"/>
                <w:szCs w:val="21"/>
              </w:rPr>
              <w:t xml:space="preserve">Yes </w:t>
            </w:r>
          </w:p>
        </w:tc>
      </w:tr>
      <w:tr w:rsidR="00F149A1" w:rsidRPr="008E7073" w14:paraId="683A5F01" w14:textId="77777777" w:rsidTr="4DA9918C">
        <w:trPr>
          <w:trHeight w:val="256"/>
        </w:trPr>
        <w:tc>
          <w:tcPr>
            <w:tcW w:w="2802" w:type="dxa"/>
          </w:tcPr>
          <w:p w14:paraId="3FED9F33" w14:textId="77777777" w:rsidR="00F149A1" w:rsidRPr="00410E0B" w:rsidRDefault="00F149A1">
            <w:pPr>
              <w:pStyle w:val="Body"/>
              <w:spacing w:after="0" w:line="240" w:lineRule="auto"/>
              <w:rPr>
                <w:rFonts w:cs="Arial"/>
                <w:szCs w:val="21"/>
              </w:rPr>
            </w:pPr>
            <w:r w:rsidRPr="00410E0B">
              <w:rPr>
                <w:rFonts w:cs="Arial"/>
                <w:szCs w:val="21"/>
              </w:rPr>
              <w:lastRenderedPageBreak/>
              <w:t xml:space="preserve">Lung transplants – adults </w:t>
            </w:r>
          </w:p>
        </w:tc>
        <w:tc>
          <w:tcPr>
            <w:tcW w:w="905" w:type="dxa"/>
          </w:tcPr>
          <w:p w14:paraId="1A014604" w14:textId="77777777" w:rsidR="00F149A1" w:rsidRPr="00410E0B" w:rsidRDefault="00F149A1">
            <w:pPr>
              <w:pStyle w:val="Body"/>
              <w:spacing w:after="0" w:line="240" w:lineRule="auto"/>
              <w:jc w:val="center"/>
              <w:rPr>
                <w:rFonts w:cs="Arial"/>
                <w:szCs w:val="21"/>
              </w:rPr>
            </w:pPr>
            <w:r w:rsidRPr="00410E0B">
              <w:rPr>
                <w:rFonts w:cs="Arial"/>
                <w:szCs w:val="21"/>
              </w:rPr>
              <w:t>1</w:t>
            </w:r>
          </w:p>
        </w:tc>
        <w:tc>
          <w:tcPr>
            <w:tcW w:w="3588" w:type="dxa"/>
          </w:tcPr>
          <w:p w14:paraId="3DE7BCCD" w14:textId="77777777" w:rsidR="00F149A1" w:rsidRPr="00410E0B" w:rsidRDefault="00F149A1" w:rsidP="003A2850">
            <w:pPr>
              <w:pStyle w:val="Default"/>
              <w:numPr>
                <w:ilvl w:val="0"/>
                <w:numId w:val="32"/>
              </w:numPr>
              <w:ind w:left="288" w:hanging="284"/>
              <w:rPr>
                <w:rFonts w:ascii="Arial" w:eastAsia="Times" w:hAnsi="Arial" w:cs="Arial"/>
                <w:color w:val="auto"/>
                <w:sz w:val="21"/>
                <w:szCs w:val="21"/>
                <w:lang w:eastAsia="en-US"/>
              </w:rPr>
            </w:pPr>
            <w:r w:rsidRPr="00410E0B">
              <w:rPr>
                <w:rFonts w:ascii="Arial" w:eastAsia="Times" w:hAnsi="Arial" w:cs="Arial"/>
                <w:color w:val="auto"/>
                <w:sz w:val="21"/>
                <w:szCs w:val="21"/>
                <w:lang w:eastAsia="en-US"/>
              </w:rPr>
              <w:t xml:space="preserve">Alfred </w:t>
            </w:r>
          </w:p>
        </w:tc>
        <w:tc>
          <w:tcPr>
            <w:tcW w:w="2082" w:type="dxa"/>
          </w:tcPr>
          <w:p w14:paraId="7E42EAE5" w14:textId="77777777" w:rsidR="00F149A1" w:rsidRPr="00410E0B" w:rsidRDefault="00F149A1">
            <w:pPr>
              <w:pStyle w:val="Body"/>
              <w:spacing w:after="0" w:line="240" w:lineRule="auto"/>
              <w:rPr>
                <w:rFonts w:cs="Arial"/>
                <w:szCs w:val="21"/>
              </w:rPr>
            </w:pPr>
            <w:r w:rsidRPr="00410E0B">
              <w:rPr>
                <w:rFonts w:cs="Arial"/>
                <w:szCs w:val="21"/>
              </w:rPr>
              <w:t xml:space="preserve">No </w:t>
            </w:r>
          </w:p>
        </w:tc>
      </w:tr>
      <w:tr w:rsidR="00F149A1" w:rsidRPr="008E7073" w14:paraId="676B86BE" w14:textId="77777777" w:rsidTr="4DA9918C">
        <w:trPr>
          <w:trHeight w:val="256"/>
        </w:trPr>
        <w:tc>
          <w:tcPr>
            <w:tcW w:w="2802" w:type="dxa"/>
          </w:tcPr>
          <w:p w14:paraId="225BA778" w14:textId="77777777" w:rsidR="00F149A1" w:rsidRPr="00410E0B" w:rsidRDefault="00F149A1">
            <w:pPr>
              <w:pStyle w:val="Body"/>
              <w:spacing w:after="0" w:line="240" w:lineRule="auto"/>
              <w:rPr>
                <w:rFonts w:cs="Arial"/>
                <w:szCs w:val="21"/>
              </w:rPr>
            </w:pPr>
            <w:r w:rsidRPr="00410E0B">
              <w:rPr>
                <w:rFonts w:cs="Arial"/>
                <w:szCs w:val="21"/>
              </w:rPr>
              <w:t xml:space="preserve">Major burns unit – adults </w:t>
            </w:r>
          </w:p>
        </w:tc>
        <w:tc>
          <w:tcPr>
            <w:tcW w:w="905" w:type="dxa"/>
          </w:tcPr>
          <w:p w14:paraId="313474F8" w14:textId="77777777" w:rsidR="00F149A1" w:rsidRPr="00410E0B" w:rsidRDefault="00F149A1">
            <w:pPr>
              <w:pStyle w:val="Body"/>
              <w:spacing w:after="0" w:line="240" w:lineRule="auto"/>
              <w:jc w:val="center"/>
              <w:rPr>
                <w:rFonts w:cs="Arial"/>
                <w:szCs w:val="21"/>
              </w:rPr>
            </w:pPr>
            <w:r w:rsidRPr="00410E0B">
              <w:rPr>
                <w:rFonts w:cs="Arial"/>
                <w:szCs w:val="21"/>
              </w:rPr>
              <w:t>1</w:t>
            </w:r>
          </w:p>
        </w:tc>
        <w:tc>
          <w:tcPr>
            <w:tcW w:w="3588" w:type="dxa"/>
          </w:tcPr>
          <w:p w14:paraId="447827C8" w14:textId="77777777" w:rsidR="00F149A1" w:rsidRPr="00410E0B" w:rsidRDefault="00F149A1" w:rsidP="003A2850">
            <w:pPr>
              <w:pStyle w:val="Default"/>
              <w:numPr>
                <w:ilvl w:val="0"/>
                <w:numId w:val="32"/>
              </w:numPr>
              <w:ind w:left="288" w:hanging="284"/>
              <w:rPr>
                <w:rFonts w:ascii="Arial" w:eastAsia="Times" w:hAnsi="Arial" w:cs="Arial"/>
                <w:color w:val="auto"/>
                <w:sz w:val="21"/>
                <w:szCs w:val="21"/>
                <w:lang w:eastAsia="en-US"/>
              </w:rPr>
            </w:pPr>
            <w:r w:rsidRPr="00410E0B">
              <w:rPr>
                <w:rFonts w:ascii="Arial" w:eastAsia="Times" w:hAnsi="Arial" w:cs="Arial"/>
                <w:color w:val="auto"/>
                <w:sz w:val="21"/>
                <w:szCs w:val="21"/>
                <w:lang w:eastAsia="en-US"/>
              </w:rPr>
              <w:t xml:space="preserve">Alfred </w:t>
            </w:r>
          </w:p>
        </w:tc>
        <w:tc>
          <w:tcPr>
            <w:tcW w:w="2082" w:type="dxa"/>
          </w:tcPr>
          <w:p w14:paraId="509B0DC1" w14:textId="77777777" w:rsidR="00F149A1" w:rsidRPr="00410E0B" w:rsidRDefault="00F149A1">
            <w:pPr>
              <w:pStyle w:val="Body"/>
              <w:spacing w:after="0" w:line="240" w:lineRule="auto"/>
              <w:rPr>
                <w:rFonts w:cs="Arial"/>
                <w:szCs w:val="21"/>
              </w:rPr>
            </w:pPr>
            <w:r w:rsidRPr="00410E0B">
              <w:rPr>
                <w:rFonts w:cs="Arial"/>
                <w:szCs w:val="21"/>
              </w:rPr>
              <w:t xml:space="preserve">No </w:t>
            </w:r>
          </w:p>
        </w:tc>
      </w:tr>
      <w:tr w:rsidR="00F149A1" w:rsidRPr="008E7073" w14:paraId="347EDB2B" w14:textId="77777777" w:rsidTr="4DA9918C">
        <w:trPr>
          <w:trHeight w:val="256"/>
        </w:trPr>
        <w:tc>
          <w:tcPr>
            <w:tcW w:w="2802" w:type="dxa"/>
          </w:tcPr>
          <w:p w14:paraId="231D1ADD" w14:textId="77777777" w:rsidR="00F149A1" w:rsidRPr="00410E0B" w:rsidRDefault="00F149A1">
            <w:pPr>
              <w:pStyle w:val="Body"/>
              <w:spacing w:after="0" w:line="240" w:lineRule="auto"/>
              <w:rPr>
                <w:rFonts w:cs="Arial"/>
                <w:szCs w:val="21"/>
              </w:rPr>
            </w:pPr>
            <w:r w:rsidRPr="00410E0B">
              <w:rPr>
                <w:rFonts w:cs="Arial"/>
                <w:szCs w:val="21"/>
              </w:rPr>
              <w:t xml:space="preserve">Major burns unit – children </w:t>
            </w:r>
          </w:p>
        </w:tc>
        <w:tc>
          <w:tcPr>
            <w:tcW w:w="905" w:type="dxa"/>
          </w:tcPr>
          <w:p w14:paraId="2E9C6315" w14:textId="77777777" w:rsidR="00F149A1" w:rsidRPr="00410E0B" w:rsidRDefault="00F149A1">
            <w:pPr>
              <w:pStyle w:val="Body"/>
              <w:spacing w:after="0" w:line="240" w:lineRule="auto"/>
              <w:jc w:val="center"/>
              <w:rPr>
                <w:rFonts w:cs="Arial"/>
                <w:szCs w:val="21"/>
              </w:rPr>
            </w:pPr>
            <w:r w:rsidRPr="00410E0B">
              <w:rPr>
                <w:rFonts w:cs="Arial"/>
                <w:szCs w:val="21"/>
              </w:rPr>
              <w:t>1</w:t>
            </w:r>
          </w:p>
        </w:tc>
        <w:tc>
          <w:tcPr>
            <w:tcW w:w="3588" w:type="dxa"/>
          </w:tcPr>
          <w:p w14:paraId="4091EB74" w14:textId="73967E05" w:rsidR="00F149A1" w:rsidRPr="00410E0B" w:rsidRDefault="00F149A1" w:rsidP="003A2850">
            <w:pPr>
              <w:pStyle w:val="Default"/>
              <w:numPr>
                <w:ilvl w:val="0"/>
                <w:numId w:val="32"/>
              </w:numPr>
              <w:ind w:left="288" w:hanging="284"/>
              <w:rPr>
                <w:rFonts w:ascii="Arial" w:eastAsia="Times" w:hAnsi="Arial" w:cs="Arial"/>
                <w:color w:val="auto"/>
                <w:sz w:val="21"/>
                <w:szCs w:val="21"/>
                <w:lang w:eastAsia="en-US"/>
              </w:rPr>
            </w:pPr>
            <w:r w:rsidRPr="00410E0B">
              <w:rPr>
                <w:rFonts w:ascii="Arial" w:eastAsia="Times" w:hAnsi="Arial" w:cs="Arial"/>
                <w:color w:val="auto"/>
                <w:sz w:val="21"/>
                <w:szCs w:val="21"/>
                <w:lang w:eastAsia="en-US"/>
              </w:rPr>
              <w:t xml:space="preserve">Royal Children’s </w:t>
            </w:r>
            <w:r w:rsidR="50D21028" w:rsidRPr="15D4C2B4">
              <w:rPr>
                <w:rFonts w:ascii="Arial" w:eastAsia="Times" w:hAnsi="Arial" w:cs="Arial"/>
                <w:color w:val="auto"/>
                <w:sz w:val="21"/>
                <w:szCs w:val="21"/>
                <w:lang w:eastAsia="en-US"/>
              </w:rPr>
              <w:t>Hospital</w:t>
            </w:r>
            <w:r w:rsidRPr="00410E0B">
              <w:rPr>
                <w:rFonts w:ascii="Arial" w:eastAsia="Times" w:hAnsi="Arial" w:cs="Arial"/>
                <w:color w:val="auto"/>
                <w:sz w:val="21"/>
                <w:szCs w:val="21"/>
                <w:lang w:eastAsia="en-US"/>
              </w:rPr>
              <w:t xml:space="preserve"> </w:t>
            </w:r>
          </w:p>
        </w:tc>
        <w:tc>
          <w:tcPr>
            <w:tcW w:w="2082" w:type="dxa"/>
          </w:tcPr>
          <w:p w14:paraId="39029E47" w14:textId="77777777" w:rsidR="00F149A1" w:rsidRPr="00410E0B" w:rsidRDefault="00F149A1">
            <w:pPr>
              <w:pStyle w:val="Body"/>
              <w:spacing w:after="0" w:line="240" w:lineRule="auto"/>
              <w:rPr>
                <w:rFonts w:cs="Arial"/>
                <w:szCs w:val="21"/>
              </w:rPr>
            </w:pPr>
            <w:r w:rsidRPr="00410E0B">
              <w:rPr>
                <w:rFonts w:cs="Arial"/>
                <w:szCs w:val="21"/>
              </w:rPr>
              <w:t xml:space="preserve">No </w:t>
            </w:r>
          </w:p>
        </w:tc>
      </w:tr>
      <w:tr w:rsidR="00F149A1" w:rsidRPr="008E7073" w14:paraId="2A9D0E0C" w14:textId="77777777" w:rsidTr="4DA9918C">
        <w:trPr>
          <w:trHeight w:val="256"/>
        </w:trPr>
        <w:tc>
          <w:tcPr>
            <w:tcW w:w="2802" w:type="dxa"/>
          </w:tcPr>
          <w:p w14:paraId="01AABE24" w14:textId="77777777" w:rsidR="00F149A1" w:rsidRPr="00410E0B" w:rsidRDefault="00F149A1">
            <w:pPr>
              <w:pStyle w:val="Body"/>
              <w:spacing w:after="0" w:line="240" w:lineRule="auto"/>
              <w:rPr>
                <w:rFonts w:cs="Arial"/>
                <w:szCs w:val="21"/>
              </w:rPr>
            </w:pPr>
            <w:r w:rsidRPr="00410E0B">
              <w:rPr>
                <w:rFonts w:cs="Arial"/>
                <w:szCs w:val="21"/>
              </w:rPr>
              <w:t xml:space="preserve">Major trauma – adults </w:t>
            </w:r>
          </w:p>
        </w:tc>
        <w:tc>
          <w:tcPr>
            <w:tcW w:w="905" w:type="dxa"/>
          </w:tcPr>
          <w:p w14:paraId="0E4D236D" w14:textId="77777777" w:rsidR="00F149A1" w:rsidRPr="00410E0B" w:rsidRDefault="00F149A1">
            <w:pPr>
              <w:pStyle w:val="Body"/>
              <w:spacing w:after="0" w:line="240" w:lineRule="auto"/>
              <w:jc w:val="center"/>
              <w:rPr>
                <w:rFonts w:cs="Arial"/>
                <w:szCs w:val="21"/>
              </w:rPr>
            </w:pPr>
            <w:r w:rsidRPr="00410E0B">
              <w:rPr>
                <w:rFonts w:cs="Arial"/>
                <w:szCs w:val="21"/>
              </w:rPr>
              <w:t>2</w:t>
            </w:r>
          </w:p>
        </w:tc>
        <w:tc>
          <w:tcPr>
            <w:tcW w:w="3588" w:type="dxa"/>
          </w:tcPr>
          <w:p w14:paraId="4054D6DB" w14:textId="77777777" w:rsidR="00F149A1" w:rsidRPr="00410E0B" w:rsidRDefault="00F149A1" w:rsidP="003A2850">
            <w:pPr>
              <w:pStyle w:val="Default"/>
              <w:numPr>
                <w:ilvl w:val="0"/>
                <w:numId w:val="32"/>
              </w:numPr>
              <w:ind w:left="288" w:hanging="284"/>
              <w:rPr>
                <w:rFonts w:ascii="Arial" w:eastAsia="Times" w:hAnsi="Arial" w:cs="Arial"/>
                <w:color w:val="auto"/>
                <w:sz w:val="21"/>
                <w:szCs w:val="21"/>
                <w:lang w:eastAsia="en-US"/>
              </w:rPr>
            </w:pPr>
            <w:r w:rsidRPr="00410E0B">
              <w:rPr>
                <w:rFonts w:ascii="Arial" w:eastAsia="Times" w:hAnsi="Arial" w:cs="Arial"/>
                <w:color w:val="auto"/>
                <w:sz w:val="21"/>
                <w:szCs w:val="21"/>
                <w:lang w:eastAsia="en-US"/>
              </w:rPr>
              <w:t xml:space="preserve">Alfred </w:t>
            </w:r>
          </w:p>
          <w:p w14:paraId="11C35A44" w14:textId="4CC2CE72" w:rsidR="00F149A1" w:rsidRPr="00410E0B" w:rsidRDefault="00F149A1" w:rsidP="003A2850">
            <w:pPr>
              <w:pStyle w:val="Default"/>
              <w:numPr>
                <w:ilvl w:val="0"/>
                <w:numId w:val="32"/>
              </w:numPr>
              <w:ind w:left="288" w:hanging="284"/>
              <w:rPr>
                <w:rFonts w:ascii="Arial" w:eastAsia="Times" w:hAnsi="Arial" w:cs="Arial"/>
                <w:color w:val="auto"/>
                <w:sz w:val="21"/>
                <w:szCs w:val="21"/>
                <w:lang w:eastAsia="en-US"/>
              </w:rPr>
            </w:pPr>
            <w:r w:rsidRPr="00410E0B">
              <w:rPr>
                <w:rFonts w:ascii="Arial" w:eastAsia="Times" w:hAnsi="Arial" w:cs="Arial"/>
                <w:color w:val="auto"/>
                <w:sz w:val="21"/>
                <w:szCs w:val="21"/>
                <w:lang w:eastAsia="en-US"/>
              </w:rPr>
              <w:t xml:space="preserve">Royal Melbourne </w:t>
            </w:r>
            <w:r w:rsidR="50D21028" w:rsidRPr="15D4C2B4">
              <w:rPr>
                <w:rFonts w:ascii="Arial" w:eastAsia="Times" w:hAnsi="Arial" w:cs="Arial"/>
                <w:color w:val="auto"/>
                <w:sz w:val="21"/>
                <w:szCs w:val="21"/>
                <w:lang w:eastAsia="en-US"/>
              </w:rPr>
              <w:t>Hospital</w:t>
            </w:r>
            <w:r w:rsidRPr="00410E0B">
              <w:rPr>
                <w:rFonts w:ascii="Arial" w:eastAsia="Times" w:hAnsi="Arial" w:cs="Arial"/>
                <w:color w:val="auto"/>
                <w:sz w:val="21"/>
                <w:szCs w:val="21"/>
                <w:lang w:eastAsia="en-US"/>
              </w:rPr>
              <w:t xml:space="preserve"> </w:t>
            </w:r>
          </w:p>
        </w:tc>
        <w:tc>
          <w:tcPr>
            <w:tcW w:w="2082" w:type="dxa"/>
          </w:tcPr>
          <w:p w14:paraId="0E6A99DB" w14:textId="77777777" w:rsidR="00F149A1" w:rsidRPr="00410E0B" w:rsidRDefault="00F149A1">
            <w:pPr>
              <w:pStyle w:val="Body"/>
              <w:spacing w:after="0" w:line="240" w:lineRule="auto"/>
              <w:rPr>
                <w:rFonts w:cs="Arial"/>
                <w:szCs w:val="21"/>
              </w:rPr>
            </w:pPr>
            <w:r w:rsidRPr="00410E0B">
              <w:rPr>
                <w:rFonts w:cs="Arial"/>
                <w:szCs w:val="21"/>
              </w:rPr>
              <w:t xml:space="preserve">No </w:t>
            </w:r>
          </w:p>
        </w:tc>
      </w:tr>
      <w:tr w:rsidR="00F149A1" w:rsidRPr="008E7073" w14:paraId="6B1FDA4E" w14:textId="77777777" w:rsidTr="4DA9918C">
        <w:trPr>
          <w:trHeight w:val="256"/>
        </w:trPr>
        <w:tc>
          <w:tcPr>
            <w:tcW w:w="2802" w:type="dxa"/>
          </w:tcPr>
          <w:p w14:paraId="6630B1A2" w14:textId="77777777" w:rsidR="00F149A1" w:rsidRPr="00410E0B" w:rsidRDefault="00F149A1">
            <w:pPr>
              <w:pStyle w:val="Body"/>
              <w:spacing w:after="0" w:line="240" w:lineRule="auto"/>
              <w:rPr>
                <w:rFonts w:cs="Arial"/>
                <w:szCs w:val="21"/>
              </w:rPr>
            </w:pPr>
            <w:r w:rsidRPr="00410E0B">
              <w:rPr>
                <w:rFonts w:cs="Arial"/>
                <w:szCs w:val="21"/>
              </w:rPr>
              <w:t xml:space="preserve">Major trauma – paediatric </w:t>
            </w:r>
          </w:p>
        </w:tc>
        <w:tc>
          <w:tcPr>
            <w:tcW w:w="905" w:type="dxa"/>
          </w:tcPr>
          <w:p w14:paraId="751B746E" w14:textId="77777777" w:rsidR="00F149A1" w:rsidRPr="00410E0B" w:rsidRDefault="00F149A1">
            <w:pPr>
              <w:pStyle w:val="Body"/>
              <w:spacing w:after="0" w:line="240" w:lineRule="auto"/>
              <w:jc w:val="center"/>
              <w:rPr>
                <w:rFonts w:cs="Arial"/>
                <w:szCs w:val="21"/>
              </w:rPr>
            </w:pPr>
            <w:r w:rsidRPr="00410E0B">
              <w:rPr>
                <w:rFonts w:cs="Arial"/>
                <w:szCs w:val="21"/>
              </w:rPr>
              <w:t>1</w:t>
            </w:r>
          </w:p>
        </w:tc>
        <w:tc>
          <w:tcPr>
            <w:tcW w:w="3588" w:type="dxa"/>
          </w:tcPr>
          <w:p w14:paraId="394EA556" w14:textId="0F4770B8" w:rsidR="00F149A1" w:rsidRPr="00410E0B" w:rsidRDefault="00F149A1" w:rsidP="003A2850">
            <w:pPr>
              <w:pStyle w:val="Default"/>
              <w:numPr>
                <w:ilvl w:val="0"/>
                <w:numId w:val="33"/>
              </w:numPr>
              <w:ind w:left="288" w:hanging="284"/>
              <w:rPr>
                <w:rFonts w:ascii="Arial" w:eastAsia="Times" w:hAnsi="Arial" w:cs="Arial"/>
                <w:color w:val="auto"/>
                <w:sz w:val="21"/>
                <w:szCs w:val="21"/>
                <w:lang w:eastAsia="en-US"/>
              </w:rPr>
            </w:pPr>
            <w:r w:rsidRPr="00410E0B">
              <w:rPr>
                <w:rFonts w:ascii="Arial" w:eastAsia="Times" w:hAnsi="Arial" w:cs="Arial"/>
                <w:color w:val="auto"/>
                <w:sz w:val="21"/>
                <w:szCs w:val="21"/>
                <w:lang w:eastAsia="en-US"/>
              </w:rPr>
              <w:t xml:space="preserve">Royal Children’s </w:t>
            </w:r>
            <w:r w:rsidR="3F81F25E" w:rsidRPr="15D4C2B4">
              <w:rPr>
                <w:rFonts w:ascii="Arial" w:eastAsia="Times" w:hAnsi="Arial" w:cs="Arial"/>
                <w:color w:val="auto"/>
                <w:sz w:val="21"/>
                <w:szCs w:val="21"/>
                <w:lang w:eastAsia="en-US"/>
              </w:rPr>
              <w:t>Hospital</w:t>
            </w:r>
            <w:r w:rsidRPr="00410E0B">
              <w:rPr>
                <w:rFonts w:ascii="Arial" w:eastAsia="Times" w:hAnsi="Arial" w:cs="Arial"/>
                <w:color w:val="auto"/>
                <w:sz w:val="21"/>
                <w:szCs w:val="21"/>
                <w:lang w:eastAsia="en-US"/>
              </w:rPr>
              <w:t xml:space="preserve"> </w:t>
            </w:r>
          </w:p>
        </w:tc>
        <w:tc>
          <w:tcPr>
            <w:tcW w:w="2082" w:type="dxa"/>
          </w:tcPr>
          <w:p w14:paraId="19299402" w14:textId="77777777" w:rsidR="00F149A1" w:rsidRPr="00410E0B" w:rsidRDefault="00F149A1">
            <w:pPr>
              <w:pStyle w:val="Body"/>
              <w:spacing w:after="0" w:line="240" w:lineRule="auto"/>
              <w:rPr>
                <w:rFonts w:cs="Arial"/>
                <w:szCs w:val="21"/>
              </w:rPr>
            </w:pPr>
            <w:r w:rsidRPr="00410E0B">
              <w:rPr>
                <w:rFonts w:cs="Arial"/>
                <w:szCs w:val="21"/>
              </w:rPr>
              <w:t xml:space="preserve">No </w:t>
            </w:r>
          </w:p>
        </w:tc>
      </w:tr>
      <w:tr w:rsidR="00F149A1" w:rsidRPr="008E7073" w14:paraId="5E5632BF" w14:textId="77777777" w:rsidTr="4DA9918C">
        <w:trPr>
          <w:trHeight w:val="256"/>
        </w:trPr>
        <w:tc>
          <w:tcPr>
            <w:tcW w:w="2802" w:type="dxa"/>
          </w:tcPr>
          <w:p w14:paraId="4006CA69" w14:textId="77777777" w:rsidR="00F149A1" w:rsidRPr="00410E0B" w:rsidRDefault="00F149A1">
            <w:pPr>
              <w:pStyle w:val="Body"/>
              <w:spacing w:after="0" w:line="240" w:lineRule="auto"/>
              <w:rPr>
                <w:rFonts w:cs="Arial"/>
                <w:szCs w:val="21"/>
              </w:rPr>
            </w:pPr>
            <w:r w:rsidRPr="00410E0B">
              <w:rPr>
                <w:rFonts w:cs="Arial"/>
                <w:szCs w:val="21"/>
              </w:rPr>
              <w:t xml:space="preserve">Neuro-degenerative rehabilitation </w:t>
            </w:r>
          </w:p>
        </w:tc>
        <w:tc>
          <w:tcPr>
            <w:tcW w:w="905" w:type="dxa"/>
          </w:tcPr>
          <w:p w14:paraId="5F900385" w14:textId="77777777" w:rsidR="00F149A1" w:rsidRPr="00410E0B" w:rsidRDefault="00F149A1">
            <w:pPr>
              <w:pStyle w:val="Body"/>
              <w:spacing w:after="0" w:line="240" w:lineRule="auto"/>
              <w:jc w:val="center"/>
              <w:rPr>
                <w:rFonts w:cs="Arial"/>
                <w:szCs w:val="21"/>
              </w:rPr>
            </w:pPr>
            <w:r w:rsidRPr="00410E0B">
              <w:rPr>
                <w:rFonts w:cs="Arial"/>
                <w:szCs w:val="21"/>
              </w:rPr>
              <w:t>1</w:t>
            </w:r>
          </w:p>
        </w:tc>
        <w:tc>
          <w:tcPr>
            <w:tcW w:w="3588" w:type="dxa"/>
          </w:tcPr>
          <w:p w14:paraId="32E3FC4E" w14:textId="77777777" w:rsidR="00F149A1" w:rsidRPr="00410E0B" w:rsidRDefault="00F149A1" w:rsidP="003A2850">
            <w:pPr>
              <w:pStyle w:val="Default"/>
              <w:numPr>
                <w:ilvl w:val="0"/>
                <w:numId w:val="33"/>
              </w:numPr>
              <w:ind w:left="288" w:hanging="284"/>
              <w:rPr>
                <w:rFonts w:ascii="Arial" w:eastAsia="Times" w:hAnsi="Arial" w:cs="Arial"/>
                <w:color w:val="auto"/>
                <w:sz w:val="21"/>
                <w:szCs w:val="21"/>
                <w:lang w:eastAsia="en-US"/>
              </w:rPr>
            </w:pPr>
            <w:r w:rsidRPr="00410E0B">
              <w:rPr>
                <w:rFonts w:ascii="Arial" w:eastAsia="Times" w:hAnsi="Arial" w:cs="Arial"/>
                <w:color w:val="auto"/>
                <w:sz w:val="21"/>
                <w:szCs w:val="21"/>
                <w:lang w:eastAsia="en-US"/>
              </w:rPr>
              <w:t xml:space="preserve">Calvary Health Care Bethlehem </w:t>
            </w:r>
          </w:p>
        </w:tc>
        <w:tc>
          <w:tcPr>
            <w:tcW w:w="2082" w:type="dxa"/>
          </w:tcPr>
          <w:p w14:paraId="6F5300E5" w14:textId="77777777" w:rsidR="00F149A1" w:rsidRPr="00410E0B" w:rsidRDefault="00F149A1">
            <w:pPr>
              <w:pStyle w:val="Body"/>
              <w:spacing w:after="0" w:line="240" w:lineRule="auto"/>
              <w:rPr>
                <w:rFonts w:cs="Arial"/>
                <w:szCs w:val="21"/>
              </w:rPr>
            </w:pPr>
            <w:r w:rsidRPr="00410E0B">
              <w:rPr>
                <w:rFonts w:cs="Arial"/>
                <w:szCs w:val="21"/>
              </w:rPr>
              <w:t xml:space="preserve">No </w:t>
            </w:r>
          </w:p>
        </w:tc>
      </w:tr>
      <w:tr w:rsidR="00F149A1" w:rsidRPr="008E7073" w14:paraId="70924582" w14:textId="77777777" w:rsidTr="4DA9918C">
        <w:trPr>
          <w:trHeight w:val="256"/>
        </w:trPr>
        <w:tc>
          <w:tcPr>
            <w:tcW w:w="2802" w:type="dxa"/>
          </w:tcPr>
          <w:p w14:paraId="2BE5B669" w14:textId="77777777" w:rsidR="00F149A1" w:rsidRPr="00410E0B" w:rsidRDefault="00F149A1">
            <w:pPr>
              <w:pStyle w:val="Body"/>
              <w:spacing w:after="0" w:line="240" w:lineRule="auto"/>
              <w:rPr>
                <w:rFonts w:cs="Arial"/>
                <w:szCs w:val="21"/>
              </w:rPr>
            </w:pPr>
            <w:r w:rsidRPr="00410E0B">
              <w:rPr>
                <w:rFonts w:cs="Arial"/>
                <w:szCs w:val="21"/>
              </w:rPr>
              <w:t xml:space="preserve">Paediatric lung and heart-lung transplants </w:t>
            </w:r>
          </w:p>
        </w:tc>
        <w:tc>
          <w:tcPr>
            <w:tcW w:w="905" w:type="dxa"/>
          </w:tcPr>
          <w:p w14:paraId="269398A3" w14:textId="77777777" w:rsidR="00F149A1" w:rsidRPr="00410E0B" w:rsidRDefault="00F149A1">
            <w:pPr>
              <w:pStyle w:val="Body"/>
              <w:spacing w:after="0" w:line="240" w:lineRule="auto"/>
              <w:jc w:val="center"/>
              <w:rPr>
                <w:rFonts w:cs="Arial"/>
                <w:szCs w:val="21"/>
              </w:rPr>
            </w:pPr>
            <w:r w:rsidRPr="00410E0B">
              <w:rPr>
                <w:rFonts w:cs="Arial"/>
                <w:szCs w:val="21"/>
              </w:rPr>
              <w:t>1</w:t>
            </w:r>
          </w:p>
        </w:tc>
        <w:tc>
          <w:tcPr>
            <w:tcW w:w="3588" w:type="dxa"/>
          </w:tcPr>
          <w:p w14:paraId="07536B6D" w14:textId="27A6304E" w:rsidR="00F149A1" w:rsidRPr="00410E0B" w:rsidRDefault="00F149A1" w:rsidP="003A2850">
            <w:pPr>
              <w:pStyle w:val="Default"/>
              <w:numPr>
                <w:ilvl w:val="0"/>
                <w:numId w:val="33"/>
              </w:numPr>
              <w:ind w:left="288" w:hanging="284"/>
              <w:rPr>
                <w:rFonts w:ascii="Arial" w:eastAsia="Times" w:hAnsi="Arial" w:cs="Arial"/>
                <w:color w:val="auto"/>
                <w:sz w:val="21"/>
                <w:szCs w:val="21"/>
                <w:lang w:eastAsia="en-US"/>
              </w:rPr>
            </w:pPr>
            <w:r w:rsidRPr="00410E0B">
              <w:rPr>
                <w:rFonts w:ascii="Arial" w:eastAsia="Times" w:hAnsi="Arial" w:cs="Arial"/>
                <w:color w:val="auto"/>
                <w:sz w:val="21"/>
                <w:szCs w:val="21"/>
                <w:lang w:eastAsia="en-US"/>
              </w:rPr>
              <w:t xml:space="preserve">Alfred (supported by Royal Children’s </w:t>
            </w:r>
            <w:r w:rsidR="078E2A4C" w:rsidRPr="15D4C2B4">
              <w:rPr>
                <w:rFonts w:ascii="Arial" w:eastAsia="Times" w:hAnsi="Arial" w:cs="Arial"/>
                <w:color w:val="auto"/>
                <w:sz w:val="21"/>
                <w:szCs w:val="21"/>
                <w:lang w:eastAsia="en-US"/>
              </w:rPr>
              <w:t>Hospital</w:t>
            </w:r>
            <w:r w:rsidRPr="00410E0B">
              <w:rPr>
                <w:rFonts w:ascii="Arial" w:eastAsia="Times" w:hAnsi="Arial" w:cs="Arial"/>
                <w:color w:val="auto"/>
                <w:sz w:val="21"/>
                <w:szCs w:val="21"/>
                <w:lang w:eastAsia="en-US"/>
              </w:rPr>
              <w:t xml:space="preserve">) </w:t>
            </w:r>
          </w:p>
        </w:tc>
        <w:tc>
          <w:tcPr>
            <w:tcW w:w="2082" w:type="dxa"/>
          </w:tcPr>
          <w:p w14:paraId="264CEFA5" w14:textId="77777777" w:rsidR="00F149A1" w:rsidRPr="00410E0B" w:rsidRDefault="00F149A1">
            <w:pPr>
              <w:pStyle w:val="Body"/>
              <w:spacing w:after="0" w:line="240" w:lineRule="auto"/>
              <w:rPr>
                <w:rFonts w:cs="Arial"/>
                <w:szCs w:val="21"/>
              </w:rPr>
            </w:pPr>
            <w:r w:rsidRPr="00410E0B">
              <w:rPr>
                <w:rFonts w:cs="Arial"/>
                <w:szCs w:val="21"/>
              </w:rPr>
              <w:t xml:space="preserve">Yes </w:t>
            </w:r>
          </w:p>
        </w:tc>
      </w:tr>
      <w:tr w:rsidR="00F149A1" w:rsidRPr="008E7073" w14:paraId="78CDFBEF" w14:textId="77777777" w:rsidTr="4DA9918C">
        <w:trPr>
          <w:trHeight w:val="256"/>
        </w:trPr>
        <w:tc>
          <w:tcPr>
            <w:tcW w:w="2802" w:type="dxa"/>
          </w:tcPr>
          <w:p w14:paraId="368191C0" w14:textId="77777777" w:rsidR="00F149A1" w:rsidRPr="00410E0B" w:rsidRDefault="00F149A1">
            <w:pPr>
              <w:pStyle w:val="Body"/>
              <w:spacing w:after="0" w:line="240" w:lineRule="auto"/>
              <w:rPr>
                <w:rFonts w:cs="Arial"/>
                <w:szCs w:val="21"/>
              </w:rPr>
            </w:pPr>
            <w:r w:rsidRPr="00410E0B">
              <w:rPr>
                <w:rFonts w:cs="Arial"/>
                <w:szCs w:val="21"/>
              </w:rPr>
              <w:t xml:space="preserve">Paediatrics rehabilitation </w:t>
            </w:r>
          </w:p>
        </w:tc>
        <w:tc>
          <w:tcPr>
            <w:tcW w:w="905" w:type="dxa"/>
          </w:tcPr>
          <w:p w14:paraId="23C1409A" w14:textId="77777777" w:rsidR="00F149A1" w:rsidRPr="00410E0B" w:rsidRDefault="00F149A1">
            <w:pPr>
              <w:pStyle w:val="Body"/>
              <w:spacing w:after="0" w:line="240" w:lineRule="auto"/>
              <w:jc w:val="center"/>
              <w:rPr>
                <w:rFonts w:cs="Arial"/>
                <w:szCs w:val="21"/>
              </w:rPr>
            </w:pPr>
            <w:r w:rsidRPr="00410E0B">
              <w:rPr>
                <w:rFonts w:cs="Arial"/>
                <w:szCs w:val="21"/>
              </w:rPr>
              <w:t>2</w:t>
            </w:r>
          </w:p>
        </w:tc>
        <w:tc>
          <w:tcPr>
            <w:tcW w:w="3588" w:type="dxa"/>
          </w:tcPr>
          <w:p w14:paraId="47D82338" w14:textId="057F5662" w:rsidR="00F149A1" w:rsidRPr="00410E0B" w:rsidRDefault="00F149A1" w:rsidP="003A2850">
            <w:pPr>
              <w:pStyle w:val="Default"/>
              <w:numPr>
                <w:ilvl w:val="0"/>
                <w:numId w:val="33"/>
              </w:numPr>
              <w:ind w:left="288" w:hanging="284"/>
              <w:rPr>
                <w:rFonts w:ascii="Arial" w:eastAsia="Times" w:hAnsi="Arial" w:cs="Arial"/>
                <w:color w:val="auto"/>
                <w:sz w:val="21"/>
                <w:szCs w:val="21"/>
                <w:lang w:eastAsia="en-US"/>
              </w:rPr>
            </w:pPr>
            <w:r w:rsidRPr="00410E0B">
              <w:rPr>
                <w:rFonts w:ascii="Arial" w:eastAsia="Times" w:hAnsi="Arial" w:cs="Arial"/>
                <w:color w:val="auto"/>
                <w:sz w:val="21"/>
                <w:szCs w:val="21"/>
                <w:lang w:eastAsia="en-US"/>
              </w:rPr>
              <w:t xml:space="preserve">Monash Children’s </w:t>
            </w:r>
            <w:r w:rsidR="522EF368" w:rsidRPr="15D4C2B4">
              <w:rPr>
                <w:rFonts w:ascii="Arial" w:eastAsia="Times" w:hAnsi="Arial" w:cs="Arial"/>
                <w:color w:val="auto"/>
                <w:sz w:val="21"/>
                <w:szCs w:val="21"/>
                <w:lang w:eastAsia="en-US"/>
              </w:rPr>
              <w:t>Hospital</w:t>
            </w:r>
            <w:r w:rsidRPr="00410E0B">
              <w:rPr>
                <w:rFonts w:ascii="Arial" w:eastAsia="Times" w:hAnsi="Arial" w:cs="Arial"/>
                <w:color w:val="auto"/>
                <w:sz w:val="21"/>
                <w:szCs w:val="21"/>
                <w:lang w:eastAsia="en-US"/>
              </w:rPr>
              <w:t xml:space="preserve"> </w:t>
            </w:r>
          </w:p>
          <w:p w14:paraId="49CBFBED" w14:textId="32092396" w:rsidR="00F149A1" w:rsidRPr="00410E0B" w:rsidRDefault="00F149A1" w:rsidP="003A2850">
            <w:pPr>
              <w:pStyle w:val="Default"/>
              <w:numPr>
                <w:ilvl w:val="0"/>
                <w:numId w:val="33"/>
              </w:numPr>
              <w:ind w:left="288" w:hanging="284"/>
              <w:rPr>
                <w:rFonts w:ascii="Arial" w:eastAsia="Times" w:hAnsi="Arial" w:cs="Arial"/>
                <w:color w:val="auto"/>
                <w:sz w:val="21"/>
                <w:szCs w:val="21"/>
                <w:lang w:eastAsia="en-US"/>
              </w:rPr>
            </w:pPr>
            <w:r w:rsidRPr="00410E0B">
              <w:rPr>
                <w:rFonts w:ascii="Arial" w:eastAsia="Times" w:hAnsi="Arial" w:cs="Arial"/>
                <w:color w:val="auto"/>
                <w:sz w:val="21"/>
                <w:szCs w:val="21"/>
                <w:lang w:eastAsia="en-US"/>
              </w:rPr>
              <w:t xml:space="preserve">Royal Children’s </w:t>
            </w:r>
            <w:r w:rsidR="522EF368" w:rsidRPr="15D4C2B4">
              <w:rPr>
                <w:rFonts w:ascii="Arial" w:eastAsia="Times" w:hAnsi="Arial" w:cs="Arial"/>
                <w:color w:val="auto"/>
                <w:sz w:val="21"/>
                <w:szCs w:val="21"/>
                <w:lang w:eastAsia="en-US"/>
              </w:rPr>
              <w:t>Hospital</w:t>
            </w:r>
            <w:r w:rsidRPr="00410E0B">
              <w:rPr>
                <w:rFonts w:ascii="Arial" w:eastAsia="Times" w:hAnsi="Arial" w:cs="Arial"/>
                <w:color w:val="auto"/>
                <w:sz w:val="21"/>
                <w:szCs w:val="21"/>
                <w:lang w:eastAsia="en-US"/>
              </w:rPr>
              <w:t xml:space="preserve"> </w:t>
            </w:r>
          </w:p>
        </w:tc>
        <w:tc>
          <w:tcPr>
            <w:tcW w:w="2082" w:type="dxa"/>
          </w:tcPr>
          <w:p w14:paraId="318C921C" w14:textId="77777777" w:rsidR="00F149A1" w:rsidRPr="00410E0B" w:rsidRDefault="00F149A1">
            <w:pPr>
              <w:pStyle w:val="Body"/>
              <w:spacing w:after="0" w:line="240" w:lineRule="auto"/>
              <w:rPr>
                <w:rFonts w:cs="Arial"/>
                <w:szCs w:val="21"/>
              </w:rPr>
            </w:pPr>
            <w:r w:rsidRPr="00410E0B">
              <w:rPr>
                <w:rFonts w:cs="Arial"/>
                <w:szCs w:val="21"/>
              </w:rPr>
              <w:t xml:space="preserve">No </w:t>
            </w:r>
          </w:p>
        </w:tc>
      </w:tr>
      <w:tr w:rsidR="00F149A1" w:rsidRPr="008E7073" w14:paraId="60F036BF" w14:textId="77777777" w:rsidTr="4DA9918C">
        <w:trPr>
          <w:trHeight w:val="256"/>
        </w:trPr>
        <w:tc>
          <w:tcPr>
            <w:tcW w:w="2802" w:type="dxa"/>
          </w:tcPr>
          <w:p w14:paraId="1146EFC5" w14:textId="77777777" w:rsidR="00F149A1" w:rsidRPr="00410E0B" w:rsidRDefault="00F149A1">
            <w:pPr>
              <w:pStyle w:val="Body"/>
              <w:spacing w:after="0" w:line="240" w:lineRule="auto"/>
              <w:rPr>
                <w:rFonts w:cs="Arial"/>
                <w:szCs w:val="21"/>
              </w:rPr>
            </w:pPr>
            <w:r w:rsidRPr="00410E0B">
              <w:rPr>
                <w:rFonts w:cs="Arial"/>
                <w:szCs w:val="21"/>
              </w:rPr>
              <w:t xml:space="preserve">Pancreas transplants – adults </w:t>
            </w:r>
          </w:p>
        </w:tc>
        <w:tc>
          <w:tcPr>
            <w:tcW w:w="905" w:type="dxa"/>
          </w:tcPr>
          <w:p w14:paraId="69691A6D" w14:textId="77777777" w:rsidR="00F149A1" w:rsidRPr="00410E0B" w:rsidRDefault="00F149A1">
            <w:pPr>
              <w:pStyle w:val="Body"/>
              <w:spacing w:after="0" w:line="240" w:lineRule="auto"/>
              <w:jc w:val="center"/>
              <w:rPr>
                <w:rFonts w:cs="Arial"/>
                <w:szCs w:val="21"/>
              </w:rPr>
            </w:pPr>
            <w:r w:rsidRPr="00410E0B">
              <w:rPr>
                <w:rFonts w:cs="Arial"/>
                <w:szCs w:val="21"/>
              </w:rPr>
              <w:t>1</w:t>
            </w:r>
          </w:p>
        </w:tc>
        <w:tc>
          <w:tcPr>
            <w:tcW w:w="3588" w:type="dxa"/>
          </w:tcPr>
          <w:p w14:paraId="0027BAD7" w14:textId="77777777" w:rsidR="00F149A1" w:rsidRPr="00410E0B" w:rsidRDefault="00F149A1" w:rsidP="003A2850">
            <w:pPr>
              <w:pStyle w:val="Default"/>
              <w:numPr>
                <w:ilvl w:val="0"/>
                <w:numId w:val="34"/>
              </w:numPr>
              <w:ind w:left="288" w:hanging="284"/>
              <w:rPr>
                <w:rFonts w:ascii="Arial" w:eastAsia="Times" w:hAnsi="Arial" w:cs="Arial"/>
                <w:color w:val="auto"/>
                <w:sz w:val="21"/>
                <w:szCs w:val="21"/>
                <w:lang w:eastAsia="en-US"/>
              </w:rPr>
            </w:pPr>
            <w:r w:rsidRPr="00410E0B">
              <w:rPr>
                <w:rFonts w:ascii="Arial" w:eastAsia="Times" w:hAnsi="Arial" w:cs="Arial"/>
                <w:color w:val="auto"/>
                <w:sz w:val="21"/>
                <w:szCs w:val="21"/>
                <w:lang w:eastAsia="en-US"/>
              </w:rPr>
              <w:t xml:space="preserve">Monash – MMC </w:t>
            </w:r>
          </w:p>
        </w:tc>
        <w:tc>
          <w:tcPr>
            <w:tcW w:w="2082" w:type="dxa"/>
          </w:tcPr>
          <w:p w14:paraId="0F378B85" w14:textId="77777777" w:rsidR="00F149A1" w:rsidRPr="00410E0B" w:rsidRDefault="00F149A1">
            <w:pPr>
              <w:pStyle w:val="Body"/>
              <w:spacing w:after="0" w:line="240" w:lineRule="auto"/>
              <w:rPr>
                <w:rFonts w:cs="Arial"/>
                <w:szCs w:val="21"/>
              </w:rPr>
            </w:pPr>
            <w:r w:rsidRPr="00410E0B">
              <w:rPr>
                <w:rFonts w:cs="Arial"/>
                <w:szCs w:val="21"/>
              </w:rPr>
              <w:t xml:space="preserve">Yes </w:t>
            </w:r>
          </w:p>
        </w:tc>
      </w:tr>
      <w:tr w:rsidR="00F149A1" w:rsidRPr="008E7073" w14:paraId="34616C4E" w14:textId="77777777" w:rsidTr="4DA9918C">
        <w:trPr>
          <w:trHeight w:val="256"/>
        </w:trPr>
        <w:tc>
          <w:tcPr>
            <w:tcW w:w="2802" w:type="dxa"/>
          </w:tcPr>
          <w:p w14:paraId="7A7125E4" w14:textId="77777777" w:rsidR="00F149A1" w:rsidRPr="00410E0B" w:rsidRDefault="00F149A1">
            <w:pPr>
              <w:pStyle w:val="Body"/>
              <w:spacing w:after="0" w:line="240" w:lineRule="auto"/>
              <w:rPr>
                <w:rFonts w:cs="Arial"/>
                <w:szCs w:val="21"/>
              </w:rPr>
            </w:pPr>
            <w:r w:rsidRPr="00410E0B">
              <w:rPr>
                <w:rFonts w:cs="Arial"/>
                <w:szCs w:val="21"/>
              </w:rPr>
              <w:t xml:space="preserve">Renal transplants – adults </w:t>
            </w:r>
          </w:p>
        </w:tc>
        <w:tc>
          <w:tcPr>
            <w:tcW w:w="905" w:type="dxa"/>
          </w:tcPr>
          <w:p w14:paraId="61C78C72" w14:textId="77777777" w:rsidR="00F149A1" w:rsidRPr="00410E0B" w:rsidRDefault="00F149A1">
            <w:pPr>
              <w:pStyle w:val="Body"/>
              <w:spacing w:after="0" w:line="240" w:lineRule="auto"/>
              <w:jc w:val="center"/>
              <w:rPr>
                <w:rFonts w:cs="Arial"/>
                <w:szCs w:val="21"/>
              </w:rPr>
            </w:pPr>
            <w:r w:rsidRPr="00410E0B">
              <w:rPr>
                <w:rFonts w:cs="Arial"/>
                <w:szCs w:val="21"/>
              </w:rPr>
              <w:t>5</w:t>
            </w:r>
          </w:p>
        </w:tc>
        <w:tc>
          <w:tcPr>
            <w:tcW w:w="3588" w:type="dxa"/>
          </w:tcPr>
          <w:p w14:paraId="3F63CB8E" w14:textId="77777777" w:rsidR="00F149A1" w:rsidRPr="00410E0B" w:rsidRDefault="00F149A1" w:rsidP="003A2850">
            <w:pPr>
              <w:pStyle w:val="Default"/>
              <w:numPr>
                <w:ilvl w:val="0"/>
                <w:numId w:val="34"/>
              </w:numPr>
              <w:ind w:left="288" w:hanging="284"/>
              <w:rPr>
                <w:rFonts w:ascii="Arial" w:eastAsia="Times" w:hAnsi="Arial" w:cs="Arial"/>
                <w:color w:val="auto"/>
                <w:sz w:val="21"/>
                <w:szCs w:val="21"/>
                <w:lang w:eastAsia="en-US"/>
              </w:rPr>
            </w:pPr>
            <w:r w:rsidRPr="00410E0B">
              <w:rPr>
                <w:rFonts w:ascii="Arial" w:eastAsia="Times" w:hAnsi="Arial" w:cs="Arial"/>
                <w:color w:val="auto"/>
                <w:sz w:val="21"/>
                <w:szCs w:val="21"/>
                <w:lang w:eastAsia="en-US"/>
              </w:rPr>
              <w:t xml:space="preserve">Alfred </w:t>
            </w:r>
          </w:p>
          <w:p w14:paraId="7284CDC4" w14:textId="77777777" w:rsidR="00F149A1" w:rsidRPr="00410E0B" w:rsidRDefault="00F149A1" w:rsidP="003A2850">
            <w:pPr>
              <w:pStyle w:val="Default"/>
              <w:numPr>
                <w:ilvl w:val="0"/>
                <w:numId w:val="34"/>
              </w:numPr>
              <w:ind w:left="288" w:hanging="284"/>
              <w:rPr>
                <w:rFonts w:ascii="Arial" w:eastAsia="Times" w:hAnsi="Arial" w:cs="Arial"/>
                <w:color w:val="auto"/>
                <w:sz w:val="21"/>
                <w:szCs w:val="21"/>
                <w:lang w:eastAsia="en-US"/>
              </w:rPr>
            </w:pPr>
            <w:r w:rsidRPr="00410E0B">
              <w:rPr>
                <w:rFonts w:ascii="Arial" w:eastAsia="Times" w:hAnsi="Arial" w:cs="Arial"/>
                <w:color w:val="auto"/>
                <w:sz w:val="21"/>
                <w:szCs w:val="21"/>
                <w:lang w:eastAsia="en-US"/>
              </w:rPr>
              <w:t xml:space="preserve">Austin </w:t>
            </w:r>
          </w:p>
          <w:p w14:paraId="6BD6C778" w14:textId="77777777" w:rsidR="00F149A1" w:rsidRPr="00410E0B" w:rsidRDefault="00F149A1" w:rsidP="003A2850">
            <w:pPr>
              <w:pStyle w:val="Default"/>
              <w:numPr>
                <w:ilvl w:val="0"/>
                <w:numId w:val="34"/>
              </w:numPr>
              <w:ind w:left="288" w:hanging="284"/>
              <w:rPr>
                <w:rFonts w:ascii="Arial" w:eastAsia="Times" w:hAnsi="Arial" w:cs="Arial"/>
                <w:color w:val="auto"/>
                <w:sz w:val="21"/>
                <w:szCs w:val="21"/>
                <w:lang w:eastAsia="en-US"/>
              </w:rPr>
            </w:pPr>
            <w:r w:rsidRPr="00410E0B">
              <w:rPr>
                <w:rFonts w:ascii="Arial" w:eastAsia="Times" w:hAnsi="Arial" w:cs="Arial"/>
                <w:color w:val="auto"/>
                <w:sz w:val="21"/>
                <w:szCs w:val="21"/>
                <w:lang w:eastAsia="en-US"/>
              </w:rPr>
              <w:t xml:space="preserve">Monash – MMC </w:t>
            </w:r>
          </w:p>
          <w:p w14:paraId="29AF3CC2" w14:textId="41033409" w:rsidR="00F149A1" w:rsidRPr="00410E0B" w:rsidRDefault="00F149A1" w:rsidP="003A2850">
            <w:pPr>
              <w:pStyle w:val="Default"/>
              <w:numPr>
                <w:ilvl w:val="0"/>
                <w:numId w:val="34"/>
              </w:numPr>
              <w:ind w:left="288" w:hanging="284"/>
              <w:rPr>
                <w:rFonts w:ascii="Arial" w:eastAsia="Times" w:hAnsi="Arial" w:cs="Arial"/>
                <w:color w:val="auto"/>
                <w:sz w:val="21"/>
                <w:szCs w:val="21"/>
                <w:lang w:eastAsia="en-US"/>
              </w:rPr>
            </w:pPr>
            <w:r w:rsidRPr="00410E0B">
              <w:rPr>
                <w:rFonts w:ascii="Arial" w:eastAsia="Times" w:hAnsi="Arial" w:cs="Arial"/>
                <w:color w:val="auto"/>
                <w:sz w:val="21"/>
                <w:szCs w:val="21"/>
                <w:lang w:eastAsia="en-US"/>
              </w:rPr>
              <w:t xml:space="preserve">Royal Melbourne </w:t>
            </w:r>
            <w:r w:rsidR="45DB8C72" w:rsidRPr="15D4C2B4">
              <w:rPr>
                <w:rFonts w:ascii="Arial" w:eastAsia="Times" w:hAnsi="Arial" w:cs="Arial"/>
                <w:color w:val="auto"/>
                <w:sz w:val="21"/>
                <w:szCs w:val="21"/>
                <w:lang w:eastAsia="en-US"/>
              </w:rPr>
              <w:t>Hospital</w:t>
            </w:r>
            <w:r w:rsidRPr="00410E0B">
              <w:rPr>
                <w:rFonts w:ascii="Arial" w:eastAsia="Times" w:hAnsi="Arial" w:cs="Arial"/>
                <w:color w:val="auto"/>
                <w:sz w:val="21"/>
                <w:szCs w:val="21"/>
                <w:lang w:eastAsia="en-US"/>
              </w:rPr>
              <w:t xml:space="preserve"> </w:t>
            </w:r>
          </w:p>
          <w:p w14:paraId="42BAA330" w14:textId="4C8918DB" w:rsidR="00F149A1" w:rsidRPr="00410E0B" w:rsidRDefault="00F149A1" w:rsidP="003A2850">
            <w:pPr>
              <w:pStyle w:val="Default"/>
              <w:numPr>
                <w:ilvl w:val="0"/>
                <w:numId w:val="34"/>
              </w:numPr>
              <w:ind w:left="288" w:hanging="284"/>
              <w:rPr>
                <w:rFonts w:ascii="Arial" w:eastAsia="Times" w:hAnsi="Arial" w:cs="Arial"/>
                <w:color w:val="auto"/>
                <w:sz w:val="21"/>
                <w:szCs w:val="21"/>
                <w:lang w:eastAsia="en-US"/>
              </w:rPr>
            </w:pPr>
            <w:r w:rsidRPr="00410E0B">
              <w:rPr>
                <w:rFonts w:ascii="Arial" w:eastAsia="Times" w:hAnsi="Arial" w:cs="Arial"/>
                <w:color w:val="auto"/>
                <w:sz w:val="21"/>
                <w:szCs w:val="21"/>
                <w:lang w:eastAsia="en-US"/>
              </w:rPr>
              <w:t xml:space="preserve">St Vincent’s </w:t>
            </w:r>
            <w:r w:rsidR="45DB8C72" w:rsidRPr="15D4C2B4">
              <w:rPr>
                <w:rFonts w:ascii="Arial" w:eastAsia="Times" w:hAnsi="Arial" w:cs="Arial"/>
                <w:color w:val="auto"/>
                <w:sz w:val="21"/>
                <w:szCs w:val="21"/>
                <w:lang w:eastAsia="en-US"/>
              </w:rPr>
              <w:t>Hospital</w:t>
            </w:r>
            <w:r w:rsidRPr="00410E0B">
              <w:rPr>
                <w:rFonts w:ascii="Arial" w:eastAsia="Times" w:hAnsi="Arial" w:cs="Arial"/>
                <w:color w:val="auto"/>
                <w:sz w:val="21"/>
                <w:szCs w:val="21"/>
                <w:lang w:eastAsia="en-US"/>
              </w:rPr>
              <w:t xml:space="preserve"> </w:t>
            </w:r>
          </w:p>
        </w:tc>
        <w:tc>
          <w:tcPr>
            <w:tcW w:w="2082" w:type="dxa"/>
          </w:tcPr>
          <w:p w14:paraId="0D133192" w14:textId="77777777" w:rsidR="00F149A1" w:rsidRPr="00410E0B" w:rsidRDefault="00F149A1">
            <w:pPr>
              <w:pStyle w:val="Body"/>
              <w:spacing w:after="0" w:line="240" w:lineRule="auto"/>
              <w:rPr>
                <w:rFonts w:cs="Arial"/>
                <w:szCs w:val="21"/>
              </w:rPr>
            </w:pPr>
            <w:r w:rsidRPr="00410E0B">
              <w:rPr>
                <w:rFonts w:cs="Arial"/>
                <w:szCs w:val="21"/>
              </w:rPr>
              <w:t xml:space="preserve">No </w:t>
            </w:r>
          </w:p>
        </w:tc>
      </w:tr>
      <w:tr w:rsidR="00F149A1" w:rsidRPr="008E7073" w14:paraId="7DD0E460" w14:textId="77777777" w:rsidTr="4DA9918C">
        <w:trPr>
          <w:trHeight w:val="256"/>
        </w:trPr>
        <w:tc>
          <w:tcPr>
            <w:tcW w:w="2802" w:type="dxa"/>
          </w:tcPr>
          <w:p w14:paraId="1884C401" w14:textId="77777777" w:rsidR="00F149A1" w:rsidRPr="00410E0B" w:rsidRDefault="00F149A1">
            <w:pPr>
              <w:pStyle w:val="Default"/>
              <w:rPr>
                <w:rFonts w:ascii="Arial" w:hAnsi="Arial" w:cs="Arial"/>
                <w:sz w:val="21"/>
                <w:szCs w:val="21"/>
              </w:rPr>
            </w:pPr>
            <w:r w:rsidRPr="00410E0B">
              <w:rPr>
                <w:rFonts w:ascii="Arial" w:hAnsi="Arial" w:cs="Arial"/>
                <w:sz w:val="21"/>
                <w:szCs w:val="21"/>
              </w:rPr>
              <w:t xml:space="preserve">Renal transplants – children </w:t>
            </w:r>
          </w:p>
        </w:tc>
        <w:tc>
          <w:tcPr>
            <w:tcW w:w="905" w:type="dxa"/>
          </w:tcPr>
          <w:p w14:paraId="386021C5" w14:textId="77777777" w:rsidR="00F149A1" w:rsidRPr="00410E0B" w:rsidRDefault="00F149A1">
            <w:pPr>
              <w:pStyle w:val="Default"/>
              <w:jc w:val="center"/>
              <w:rPr>
                <w:rFonts w:ascii="Arial" w:hAnsi="Arial" w:cs="Arial"/>
                <w:sz w:val="21"/>
                <w:szCs w:val="21"/>
              </w:rPr>
            </w:pPr>
            <w:r w:rsidRPr="00410E0B">
              <w:rPr>
                <w:rFonts w:ascii="Arial" w:hAnsi="Arial" w:cs="Arial"/>
                <w:sz w:val="21"/>
                <w:szCs w:val="21"/>
              </w:rPr>
              <w:t>1</w:t>
            </w:r>
          </w:p>
        </w:tc>
        <w:tc>
          <w:tcPr>
            <w:tcW w:w="3588" w:type="dxa"/>
          </w:tcPr>
          <w:p w14:paraId="5AFC6060" w14:textId="73DF0C76" w:rsidR="00F149A1" w:rsidRPr="00410E0B" w:rsidRDefault="00F149A1" w:rsidP="003A2850">
            <w:pPr>
              <w:pStyle w:val="Default"/>
              <w:numPr>
                <w:ilvl w:val="0"/>
                <w:numId w:val="35"/>
              </w:numPr>
              <w:ind w:left="288" w:hanging="284"/>
              <w:rPr>
                <w:rFonts w:ascii="Arial" w:eastAsia="Times" w:hAnsi="Arial" w:cs="Arial"/>
                <w:color w:val="auto"/>
                <w:sz w:val="21"/>
                <w:szCs w:val="21"/>
                <w:lang w:eastAsia="en-US"/>
              </w:rPr>
            </w:pPr>
            <w:r w:rsidRPr="00410E0B">
              <w:rPr>
                <w:rFonts w:ascii="Arial" w:eastAsia="Times" w:hAnsi="Arial" w:cs="Arial"/>
                <w:color w:val="auto"/>
                <w:sz w:val="21"/>
                <w:szCs w:val="21"/>
                <w:lang w:eastAsia="en-US"/>
              </w:rPr>
              <w:t xml:space="preserve">Royal Children’s </w:t>
            </w:r>
            <w:r w:rsidR="0CE8F2BA" w:rsidRPr="15D4C2B4">
              <w:rPr>
                <w:rFonts w:ascii="Arial" w:eastAsia="Times" w:hAnsi="Arial" w:cs="Arial"/>
                <w:color w:val="auto"/>
                <w:sz w:val="21"/>
                <w:szCs w:val="21"/>
                <w:lang w:eastAsia="en-US"/>
              </w:rPr>
              <w:t>Hospital</w:t>
            </w:r>
            <w:r w:rsidRPr="00410E0B">
              <w:rPr>
                <w:rFonts w:ascii="Arial" w:eastAsia="Times" w:hAnsi="Arial" w:cs="Arial"/>
                <w:color w:val="auto"/>
                <w:sz w:val="21"/>
                <w:szCs w:val="21"/>
                <w:lang w:eastAsia="en-US"/>
              </w:rPr>
              <w:t xml:space="preserve"> </w:t>
            </w:r>
          </w:p>
          <w:p w14:paraId="1F0A2C9A" w14:textId="77777777" w:rsidR="00F149A1" w:rsidRPr="00410E0B" w:rsidRDefault="00F149A1">
            <w:pPr>
              <w:pStyle w:val="Default"/>
              <w:ind w:left="288" w:hanging="284"/>
              <w:rPr>
                <w:rFonts w:ascii="Arial" w:hAnsi="Arial" w:cs="Arial"/>
                <w:color w:val="auto"/>
                <w:sz w:val="21"/>
                <w:szCs w:val="21"/>
              </w:rPr>
            </w:pPr>
          </w:p>
        </w:tc>
        <w:tc>
          <w:tcPr>
            <w:tcW w:w="2082" w:type="dxa"/>
          </w:tcPr>
          <w:p w14:paraId="645DCEBC" w14:textId="77777777" w:rsidR="00F149A1" w:rsidRPr="00410E0B" w:rsidRDefault="00F149A1">
            <w:pPr>
              <w:pStyle w:val="Default"/>
              <w:rPr>
                <w:rFonts w:ascii="Arial" w:hAnsi="Arial" w:cs="Arial"/>
                <w:sz w:val="21"/>
                <w:szCs w:val="21"/>
              </w:rPr>
            </w:pPr>
          </w:p>
        </w:tc>
      </w:tr>
      <w:tr w:rsidR="00F149A1" w:rsidRPr="008E7073" w14:paraId="0884CC67" w14:textId="77777777" w:rsidTr="4DA9918C">
        <w:trPr>
          <w:trHeight w:val="256"/>
        </w:trPr>
        <w:tc>
          <w:tcPr>
            <w:tcW w:w="2802" w:type="dxa"/>
          </w:tcPr>
          <w:p w14:paraId="51D62E29" w14:textId="77777777" w:rsidR="00F149A1" w:rsidRPr="00410E0B" w:rsidRDefault="00F149A1">
            <w:pPr>
              <w:pStyle w:val="Default"/>
              <w:rPr>
                <w:rFonts w:ascii="Arial" w:hAnsi="Arial" w:cs="Arial"/>
                <w:sz w:val="21"/>
                <w:szCs w:val="21"/>
              </w:rPr>
            </w:pPr>
            <w:r w:rsidRPr="00410E0B">
              <w:rPr>
                <w:rFonts w:ascii="Arial" w:hAnsi="Arial" w:cs="Arial"/>
                <w:sz w:val="21"/>
                <w:szCs w:val="21"/>
              </w:rPr>
              <w:t xml:space="preserve">Transvaginal mesh complication referral centres </w:t>
            </w:r>
          </w:p>
        </w:tc>
        <w:tc>
          <w:tcPr>
            <w:tcW w:w="905" w:type="dxa"/>
          </w:tcPr>
          <w:p w14:paraId="20B5BB54" w14:textId="77777777" w:rsidR="00F149A1" w:rsidRPr="00410E0B" w:rsidRDefault="00F149A1">
            <w:pPr>
              <w:pStyle w:val="Default"/>
              <w:jc w:val="center"/>
              <w:rPr>
                <w:rFonts w:ascii="Arial" w:hAnsi="Arial" w:cs="Arial"/>
                <w:sz w:val="21"/>
                <w:szCs w:val="21"/>
              </w:rPr>
            </w:pPr>
            <w:r w:rsidRPr="00410E0B">
              <w:rPr>
                <w:rFonts w:ascii="Arial" w:hAnsi="Arial" w:cs="Arial"/>
                <w:sz w:val="21"/>
                <w:szCs w:val="21"/>
              </w:rPr>
              <w:t>4</w:t>
            </w:r>
          </w:p>
        </w:tc>
        <w:tc>
          <w:tcPr>
            <w:tcW w:w="3588" w:type="dxa"/>
          </w:tcPr>
          <w:p w14:paraId="76E05696" w14:textId="72166E83" w:rsidR="00F149A1" w:rsidRPr="00410E0B" w:rsidRDefault="00F149A1" w:rsidP="003A2850">
            <w:pPr>
              <w:pStyle w:val="Default"/>
              <w:numPr>
                <w:ilvl w:val="0"/>
                <w:numId w:val="35"/>
              </w:numPr>
              <w:ind w:left="288" w:hanging="284"/>
              <w:rPr>
                <w:rFonts w:ascii="Arial" w:hAnsi="Arial" w:cs="Arial"/>
                <w:sz w:val="21"/>
                <w:szCs w:val="21"/>
              </w:rPr>
            </w:pPr>
            <w:r w:rsidRPr="00410E0B">
              <w:rPr>
                <w:rFonts w:ascii="Arial" w:hAnsi="Arial" w:cs="Arial"/>
                <w:sz w:val="21"/>
                <w:szCs w:val="21"/>
              </w:rPr>
              <w:t xml:space="preserve">Mercy </w:t>
            </w:r>
            <w:r w:rsidR="38590182" w:rsidRPr="15D4C2B4">
              <w:rPr>
                <w:rFonts w:ascii="Arial" w:hAnsi="Arial" w:cs="Arial"/>
                <w:sz w:val="21"/>
                <w:szCs w:val="21"/>
              </w:rPr>
              <w:t>Hospital</w:t>
            </w:r>
            <w:r w:rsidRPr="00410E0B">
              <w:rPr>
                <w:rFonts w:ascii="Arial" w:hAnsi="Arial" w:cs="Arial"/>
                <w:sz w:val="21"/>
                <w:szCs w:val="21"/>
              </w:rPr>
              <w:t xml:space="preserve"> for Women </w:t>
            </w:r>
          </w:p>
          <w:p w14:paraId="1766A6DD" w14:textId="77777777" w:rsidR="00F149A1" w:rsidRPr="00410E0B" w:rsidRDefault="00F149A1" w:rsidP="003A2850">
            <w:pPr>
              <w:pStyle w:val="Default"/>
              <w:numPr>
                <w:ilvl w:val="0"/>
                <w:numId w:val="35"/>
              </w:numPr>
              <w:ind w:left="288" w:hanging="284"/>
              <w:rPr>
                <w:rFonts w:ascii="Arial" w:hAnsi="Arial" w:cs="Arial"/>
                <w:sz w:val="21"/>
                <w:szCs w:val="21"/>
              </w:rPr>
            </w:pPr>
            <w:r w:rsidRPr="00410E0B">
              <w:rPr>
                <w:rFonts w:ascii="Arial" w:hAnsi="Arial" w:cs="Arial"/>
                <w:sz w:val="21"/>
                <w:szCs w:val="21"/>
              </w:rPr>
              <w:t>Monash – Monash Medical Centre/Moorabbin</w:t>
            </w:r>
          </w:p>
          <w:p w14:paraId="581C3530" w14:textId="0C74DC39" w:rsidR="00F149A1" w:rsidRPr="00410E0B" w:rsidRDefault="00F149A1" w:rsidP="003A2850">
            <w:pPr>
              <w:pStyle w:val="Default"/>
              <w:numPr>
                <w:ilvl w:val="0"/>
                <w:numId w:val="35"/>
              </w:numPr>
              <w:ind w:left="288" w:hanging="284"/>
              <w:rPr>
                <w:rFonts w:ascii="Arial" w:hAnsi="Arial" w:cs="Arial"/>
                <w:sz w:val="21"/>
                <w:szCs w:val="21"/>
              </w:rPr>
            </w:pPr>
            <w:r w:rsidRPr="00410E0B">
              <w:rPr>
                <w:rFonts w:ascii="Arial" w:hAnsi="Arial" w:cs="Arial"/>
                <w:sz w:val="21"/>
                <w:szCs w:val="21"/>
              </w:rPr>
              <w:t xml:space="preserve">Royal Women’s </w:t>
            </w:r>
            <w:r w:rsidR="01E24D6C" w:rsidRPr="15D4C2B4">
              <w:rPr>
                <w:rFonts w:ascii="Arial" w:hAnsi="Arial" w:cs="Arial"/>
                <w:sz w:val="21"/>
                <w:szCs w:val="21"/>
              </w:rPr>
              <w:t>Hospital</w:t>
            </w:r>
            <w:r w:rsidRPr="00410E0B">
              <w:rPr>
                <w:rFonts w:ascii="Arial" w:hAnsi="Arial" w:cs="Arial"/>
                <w:sz w:val="21"/>
                <w:szCs w:val="21"/>
              </w:rPr>
              <w:t xml:space="preserve"> </w:t>
            </w:r>
          </w:p>
          <w:p w14:paraId="4D316886" w14:textId="77777777" w:rsidR="00F149A1" w:rsidRPr="00410E0B" w:rsidRDefault="00F149A1" w:rsidP="003A2850">
            <w:pPr>
              <w:pStyle w:val="Default"/>
              <w:numPr>
                <w:ilvl w:val="0"/>
                <w:numId w:val="35"/>
              </w:numPr>
              <w:ind w:left="288" w:hanging="284"/>
              <w:rPr>
                <w:rFonts w:ascii="Arial" w:hAnsi="Arial" w:cs="Arial"/>
                <w:sz w:val="21"/>
                <w:szCs w:val="21"/>
              </w:rPr>
            </w:pPr>
            <w:r w:rsidRPr="00410E0B">
              <w:rPr>
                <w:rFonts w:ascii="Arial" w:hAnsi="Arial" w:cs="Arial"/>
                <w:sz w:val="21"/>
                <w:szCs w:val="21"/>
              </w:rPr>
              <w:t xml:space="preserve">Western Health </w:t>
            </w:r>
          </w:p>
        </w:tc>
        <w:tc>
          <w:tcPr>
            <w:tcW w:w="2082" w:type="dxa"/>
          </w:tcPr>
          <w:p w14:paraId="7B83C0B5" w14:textId="77777777" w:rsidR="00F149A1" w:rsidRPr="00410E0B" w:rsidRDefault="00F149A1">
            <w:pPr>
              <w:pStyle w:val="Default"/>
              <w:rPr>
                <w:rFonts w:ascii="Arial" w:hAnsi="Arial" w:cs="Arial"/>
                <w:sz w:val="21"/>
                <w:szCs w:val="21"/>
              </w:rPr>
            </w:pPr>
            <w:r w:rsidRPr="00410E0B">
              <w:rPr>
                <w:rFonts w:ascii="Arial" w:hAnsi="Arial" w:cs="Arial"/>
                <w:sz w:val="21"/>
                <w:szCs w:val="21"/>
              </w:rPr>
              <w:t>No</w:t>
            </w:r>
          </w:p>
        </w:tc>
      </w:tr>
      <w:tr w:rsidR="00F149A1" w:rsidRPr="008E7073" w14:paraId="21B194AC" w14:textId="77777777" w:rsidTr="4DA9918C">
        <w:trPr>
          <w:trHeight w:val="256"/>
        </w:trPr>
        <w:tc>
          <w:tcPr>
            <w:tcW w:w="2802" w:type="dxa"/>
          </w:tcPr>
          <w:p w14:paraId="69A24D94" w14:textId="77777777" w:rsidR="00F149A1" w:rsidRPr="00410E0B" w:rsidRDefault="00F149A1">
            <w:pPr>
              <w:pStyle w:val="Default"/>
              <w:rPr>
                <w:rFonts w:ascii="Arial" w:hAnsi="Arial" w:cs="Arial"/>
                <w:sz w:val="21"/>
                <w:szCs w:val="21"/>
              </w:rPr>
            </w:pPr>
            <w:r w:rsidRPr="00410E0B">
              <w:rPr>
                <w:rFonts w:ascii="Arial" w:hAnsi="Arial" w:cs="Arial"/>
                <w:sz w:val="21"/>
                <w:szCs w:val="21"/>
              </w:rPr>
              <w:t xml:space="preserve">Traumatic and non-traumatic spinal rehab </w:t>
            </w:r>
          </w:p>
        </w:tc>
        <w:tc>
          <w:tcPr>
            <w:tcW w:w="905" w:type="dxa"/>
          </w:tcPr>
          <w:p w14:paraId="12870F85" w14:textId="77777777" w:rsidR="00F149A1" w:rsidRPr="00410E0B" w:rsidRDefault="00F149A1">
            <w:pPr>
              <w:pStyle w:val="Default"/>
              <w:jc w:val="center"/>
              <w:rPr>
                <w:rFonts w:ascii="Arial" w:hAnsi="Arial" w:cs="Arial"/>
                <w:sz w:val="21"/>
                <w:szCs w:val="21"/>
              </w:rPr>
            </w:pPr>
            <w:r w:rsidRPr="00410E0B">
              <w:rPr>
                <w:rFonts w:ascii="Arial" w:hAnsi="Arial" w:cs="Arial"/>
                <w:sz w:val="21"/>
                <w:szCs w:val="21"/>
              </w:rPr>
              <w:t>2</w:t>
            </w:r>
          </w:p>
        </w:tc>
        <w:tc>
          <w:tcPr>
            <w:tcW w:w="3588" w:type="dxa"/>
          </w:tcPr>
          <w:p w14:paraId="626B123E" w14:textId="77777777" w:rsidR="00F149A1" w:rsidRPr="00410E0B" w:rsidRDefault="00F149A1" w:rsidP="003A2850">
            <w:pPr>
              <w:pStyle w:val="Default"/>
              <w:numPr>
                <w:ilvl w:val="0"/>
                <w:numId w:val="36"/>
              </w:numPr>
              <w:ind w:left="288" w:hanging="284"/>
              <w:rPr>
                <w:rFonts w:ascii="Arial" w:hAnsi="Arial" w:cs="Arial"/>
                <w:sz w:val="21"/>
                <w:szCs w:val="21"/>
              </w:rPr>
            </w:pPr>
            <w:r w:rsidRPr="00410E0B">
              <w:rPr>
                <w:rFonts w:ascii="Arial" w:hAnsi="Arial" w:cs="Arial"/>
                <w:sz w:val="21"/>
                <w:szCs w:val="21"/>
              </w:rPr>
              <w:t xml:space="preserve">Alfred </w:t>
            </w:r>
          </w:p>
          <w:p w14:paraId="40A7C5D1" w14:textId="77777777" w:rsidR="00F149A1" w:rsidRPr="00410E0B" w:rsidRDefault="00F149A1" w:rsidP="003A2850">
            <w:pPr>
              <w:pStyle w:val="Default"/>
              <w:numPr>
                <w:ilvl w:val="0"/>
                <w:numId w:val="36"/>
              </w:numPr>
              <w:ind w:left="288" w:hanging="284"/>
              <w:rPr>
                <w:rFonts w:ascii="Arial" w:hAnsi="Arial" w:cs="Arial"/>
                <w:sz w:val="21"/>
                <w:szCs w:val="21"/>
              </w:rPr>
            </w:pPr>
            <w:r w:rsidRPr="00410E0B">
              <w:rPr>
                <w:rFonts w:ascii="Arial" w:hAnsi="Arial" w:cs="Arial"/>
                <w:sz w:val="21"/>
                <w:szCs w:val="21"/>
              </w:rPr>
              <w:t xml:space="preserve">Austin </w:t>
            </w:r>
          </w:p>
        </w:tc>
        <w:tc>
          <w:tcPr>
            <w:tcW w:w="2082" w:type="dxa"/>
          </w:tcPr>
          <w:p w14:paraId="7F5CAEF9" w14:textId="77777777" w:rsidR="00F149A1" w:rsidRPr="00410E0B" w:rsidRDefault="00F149A1">
            <w:pPr>
              <w:pStyle w:val="Default"/>
              <w:rPr>
                <w:rFonts w:ascii="Arial" w:hAnsi="Arial" w:cs="Arial"/>
                <w:sz w:val="21"/>
                <w:szCs w:val="21"/>
              </w:rPr>
            </w:pPr>
            <w:r w:rsidRPr="00410E0B">
              <w:rPr>
                <w:rFonts w:ascii="Arial" w:hAnsi="Arial" w:cs="Arial"/>
                <w:sz w:val="21"/>
                <w:szCs w:val="21"/>
              </w:rPr>
              <w:t xml:space="preserve">No </w:t>
            </w:r>
          </w:p>
        </w:tc>
      </w:tr>
    </w:tbl>
    <w:p w14:paraId="76D5EDC4" w14:textId="77777777" w:rsidR="00F149A1" w:rsidRPr="008E7073" w:rsidRDefault="00F149A1" w:rsidP="00F149A1">
      <w:pPr>
        <w:pStyle w:val="Body"/>
        <w:rPr>
          <w:rFonts w:cs="Arial"/>
        </w:rPr>
      </w:pPr>
    </w:p>
    <w:p w14:paraId="090A26A3" w14:textId="77777777" w:rsidR="00F149A1" w:rsidRPr="008E7073" w:rsidRDefault="00F149A1" w:rsidP="00F149A1">
      <w:pPr>
        <w:pStyle w:val="Body"/>
        <w:rPr>
          <w:rFonts w:cs="Arial"/>
        </w:rPr>
      </w:pPr>
    </w:p>
    <w:p w14:paraId="0A7B5753" w14:textId="2C69B492" w:rsidR="00F149A1" w:rsidRPr="008E7073" w:rsidRDefault="00F149A1" w:rsidP="00F149A1">
      <w:pPr>
        <w:pStyle w:val="Heading2"/>
        <w:rPr>
          <w:rFonts w:cs="Arial"/>
        </w:rPr>
      </w:pPr>
      <w:bookmarkStart w:id="43" w:name="_Toc204251902"/>
      <w:r w:rsidRPr="008E7073">
        <w:rPr>
          <w:rFonts w:cs="Arial"/>
        </w:rPr>
        <w:t>Appendix 3: Defining and Assigning Victoria’s Health Service Site Roles</w:t>
      </w:r>
      <w:bookmarkEnd w:id="43"/>
    </w:p>
    <w:p w14:paraId="3DA392FD" w14:textId="77777777" w:rsidR="00F149A1" w:rsidRPr="00410E0B" w:rsidRDefault="00F149A1" w:rsidP="00F149A1">
      <w:pPr>
        <w:pStyle w:val="Body"/>
        <w:rPr>
          <w:rFonts w:cs="Arial"/>
          <w:szCs w:val="21"/>
        </w:rPr>
      </w:pPr>
      <w:r w:rsidRPr="00410E0B">
        <w:rPr>
          <w:rFonts w:cs="Arial"/>
          <w:szCs w:val="21"/>
        </w:rPr>
        <w:t>The manner in which the Victorian Role Delineation Framework defines and assigns health service site roles draws on a minimum set of indicators. These indicators collectively characterise the scale, scope and complexity of health service site clinical operations in the context of the breath of communities that they serve. These indicators are centred on:</w:t>
      </w:r>
    </w:p>
    <w:p w14:paraId="474ACAAD" w14:textId="77777777" w:rsidR="00F149A1" w:rsidRPr="00410E0B" w:rsidRDefault="00F149A1" w:rsidP="003A2850">
      <w:pPr>
        <w:pStyle w:val="Body"/>
        <w:numPr>
          <w:ilvl w:val="0"/>
          <w:numId w:val="38"/>
        </w:numPr>
        <w:rPr>
          <w:rFonts w:cs="Arial"/>
          <w:szCs w:val="21"/>
        </w:rPr>
      </w:pPr>
      <w:r w:rsidRPr="00410E0B">
        <w:rPr>
          <w:rFonts w:cs="Arial"/>
          <w:b/>
          <w:bCs/>
          <w:szCs w:val="21"/>
        </w:rPr>
        <w:t>Peer characteristics</w:t>
      </w:r>
      <w:r w:rsidRPr="00410E0B">
        <w:rPr>
          <w:rFonts w:cs="Arial"/>
          <w:szCs w:val="21"/>
        </w:rPr>
        <w:t xml:space="preserve"> based on health service site service mix, volume and breadth of activity, activity cost weights and geographic span of service delivery</w:t>
      </w:r>
    </w:p>
    <w:p w14:paraId="1B4E35BA" w14:textId="77777777" w:rsidR="00F149A1" w:rsidRPr="00410E0B" w:rsidRDefault="00F149A1" w:rsidP="003A2850">
      <w:pPr>
        <w:pStyle w:val="Body"/>
        <w:numPr>
          <w:ilvl w:val="0"/>
          <w:numId w:val="38"/>
        </w:numPr>
        <w:rPr>
          <w:rFonts w:cs="Arial"/>
          <w:szCs w:val="21"/>
        </w:rPr>
      </w:pPr>
      <w:r w:rsidRPr="00410E0B">
        <w:rPr>
          <w:rFonts w:cs="Arial"/>
          <w:b/>
          <w:bCs/>
          <w:szCs w:val="21"/>
        </w:rPr>
        <w:t>Clinical service capability levels</w:t>
      </w:r>
      <w:r w:rsidRPr="00410E0B">
        <w:rPr>
          <w:rFonts w:cs="Arial"/>
          <w:szCs w:val="21"/>
        </w:rPr>
        <w:t xml:space="preserve"> assigned to specific clinical streams at each health service site in accordance with Clinical Service Capability Frameworks</w:t>
      </w:r>
    </w:p>
    <w:p w14:paraId="226FE31C" w14:textId="77777777" w:rsidR="00F149A1" w:rsidRPr="00410E0B" w:rsidRDefault="00F149A1" w:rsidP="003A2850">
      <w:pPr>
        <w:pStyle w:val="Body"/>
        <w:numPr>
          <w:ilvl w:val="0"/>
          <w:numId w:val="38"/>
        </w:numPr>
        <w:rPr>
          <w:rFonts w:cs="Arial"/>
          <w:szCs w:val="21"/>
        </w:rPr>
      </w:pPr>
      <w:r w:rsidRPr="00410E0B">
        <w:rPr>
          <w:rFonts w:cs="Arial"/>
          <w:szCs w:val="21"/>
        </w:rPr>
        <w:t xml:space="preserve">The </w:t>
      </w:r>
      <w:r w:rsidRPr="00410E0B">
        <w:rPr>
          <w:rFonts w:cs="Arial"/>
          <w:b/>
          <w:bCs/>
          <w:szCs w:val="21"/>
        </w:rPr>
        <w:t>number of statewide and low volume, highly complex services</w:t>
      </w:r>
      <w:r w:rsidRPr="00410E0B">
        <w:rPr>
          <w:rFonts w:cs="Arial"/>
          <w:szCs w:val="21"/>
        </w:rPr>
        <w:t xml:space="preserve"> delivered by each health service site.</w:t>
      </w:r>
    </w:p>
    <w:p w14:paraId="53DFE8AF" w14:textId="2E5D97C0" w:rsidR="00F149A1" w:rsidRPr="008E7073" w:rsidRDefault="00F149A1" w:rsidP="00F149A1">
      <w:pPr>
        <w:pStyle w:val="Heading3"/>
        <w:rPr>
          <w:rFonts w:cs="Arial"/>
        </w:rPr>
      </w:pPr>
      <w:bookmarkStart w:id="44" w:name="_Toc204251903"/>
      <w:r w:rsidRPr="008E7073">
        <w:rPr>
          <w:rFonts w:cs="Arial"/>
        </w:rPr>
        <w:lastRenderedPageBreak/>
        <w:t>Definition and assignment of roles providing a broad range of services to all Victorian communities</w:t>
      </w:r>
      <w:bookmarkEnd w:id="44"/>
      <w:r w:rsidRPr="008E7073">
        <w:rPr>
          <w:rFonts w:cs="Arial"/>
        </w:rPr>
        <w:t xml:space="preserve"> </w:t>
      </w:r>
    </w:p>
    <w:p w14:paraId="12AD1471" w14:textId="77777777" w:rsidR="00F149A1" w:rsidRPr="00410E0B" w:rsidRDefault="00F149A1" w:rsidP="00F149A1">
      <w:pPr>
        <w:pStyle w:val="Body"/>
        <w:rPr>
          <w:rFonts w:cs="Arial"/>
          <w:szCs w:val="21"/>
        </w:rPr>
      </w:pPr>
      <w:r w:rsidRPr="00410E0B">
        <w:rPr>
          <w:rFonts w:cs="Arial"/>
          <w:szCs w:val="21"/>
        </w:rPr>
        <w:t>Many health service sites across Victoria provide a broad range of care for the general population, making these distinct from those sites outlined above. In order to distinguish specific roles among these sites, a range of peer characteristics, clinical capability characteristics and profiles of statewide and low volume, highly complex service delivery have been identified. This minimum set of indicators is outlined below.</w:t>
      </w:r>
    </w:p>
    <w:p w14:paraId="2F19FA89" w14:textId="30B18A7F" w:rsidR="00F149A1" w:rsidRPr="008E7073" w:rsidRDefault="00F149A1" w:rsidP="00F149A1">
      <w:pPr>
        <w:pStyle w:val="Heading4"/>
        <w:rPr>
          <w:rFonts w:cs="Arial"/>
        </w:rPr>
      </w:pPr>
      <w:r w:rsidRPr="008E7073">
        <w:rPr>
          <w:rFonts w:cs="Arial"/>
        </w:rPr>
        <w:t>Peer Characteristics</w:t>
      </w:r>
    </w:p>
    <w:p w14:paraId="73CDD280" w14:textId="0ADC3371" w:rsidR="00F149A1" w:rsidRPr="008E7073" w:rsidRDefault="00F149A1" w:rsidP="00F149A1">
      <w:pPr>
        <w:pStyle w:val="Heading5"/>
        <w:rPr>
          <w:rFonts w:cs="Arial"/>
        </w:rPr>
      </w:pPr>
      <w:r w:rsidRPr="008E7073">
        <w:rPr>
          <w:rFonts w:cs="Arial"/>
        </w:rPr>
        <w:t>Annual number of inpatient separations</w:t>
      </w:r>
    </w:p>
    <w:p w14:paraId="2CC3CB5F" w14:textId="77777777" w:rsidR="00F149A1" w:rsidRPr="00410E0B" w:rsidRDefault="00F149A1" w:rsidP="00F149A1">
      <w:pPr>
        <w:pStyle w:val="Body"/>
        <w:rPr>
          <w:rFonts w:cs="Arial"/>
          <w:szCs w:val="21"/>
        </w:rPr>
      </w:pPr>
      <w:r w:rsidRPr="00410E0B">
        <w:rPr>
          <w:rFonts w:cs="Arial"/>
          <w:szCs w:val="21"/>
        </w:rPr>
        <w:t>This metric is an indicator of clinical operational scale for admitted care and is inclusive of all same day and multiday inpatient separations reported to the Victorian Admitted Episode Dataset aligned to all care types.</w:t>
      </w:r>
    </w:p>
    <w:p w14:paraId="01D20254" w14:textId="653A9B09" w:rsidR="00F149A1" w:rsidRPr="008E7073" w:rsidRDefault="00F149A1" w:rsidP="00F149A1">
      <w:pPr>
        <w:pStyle w:val="Heading5"/>
        <w:rPr>
          <w:rFonts w:cs="Arial"/>
        </w:rPr>
      </w:pPr>
      <w:r w:rsidRPr="008E7073">
        <w:rPr>
          <w:rFonts w:cs="Arial"/>
        </w:rPr>
        <w:t>Annual number of emergency and urgent care presentations</w:t>
      </w:r>
    </w:p>
    <w:p w14:paraId="491599CB" w14:textId="77777777" w:rsidR="00F149A1" w:rsidRPr="00410E0B" w:rsidRDefault="00F149A1" w:rsidP="00F149A1">
      <w:pPr>
        <w:pStyle w:val="Body"/>
        <w:rPr>
          <w:rFonts w:cs="Arial"/>
          <w:szCs w:val="21"/>
        </w:rPr>
      </w:pPr>
      <w:r w:rsidRPr="00410E0B">
        <w:rPr>
          <w:rFonts w:cs="Arial"/>
          <w:szCs w:val="21"/>
        </w:rPr>
        <w:t>This metric is an indicator of clinical operational scale for emergency and urgent care and is inclusive of presentations to an emergency department that are reported to the Victorian Emergency Minimum Dataset or to an urgent care centre reported to the Agency Information Management System.</w:t>
      </w:r>
    </w:p>
    <w:p w14:paraId="730CB200" w14:textId="356B72E6" w:rsidR="00F149A1" w:rsidRPr="008E7073" w:rsidRDefault="00F149A1" w:rsidP="00F149A1">
      <w:pPr>
        <w:pStyle w:val="Heading5"/>
        <w:rPr>
          <w:rFonts w:cs="Arial"/>
        </w:rPr>
      </w:pPr>
      <w:r w:rsidRPr="008E7073">
        <w:rPr>
          <w:rFonts w:cs="Arial"/>
        </w:rPr>
        <w:t>Breadth of diagnosis related groups service</w:t>
      </w:r>
      <w:r w:rsidR="00175325">
        <w:rPr>
          <w:rFonts w:cs="Arial"/>
        </w:rPr>
        <w:t>d</w:t>
      </w:r>
    </w:p>
    <w:p w14:paraId="01311396" w14:textId="77777777" w:rsidR="00F149A1" w:rsidRPr="00410E0B" w:rsidRDefault="00F149A1" w:rsidP="00F149A1">
      <w:pPr>
        <w:pStyle w:val="Body"/>
        <w:rPr>
          <w:rFonts w:cs="Arial"/>
          <w:szCs w:val="21"/>
        </w:rPr>
      </w:pPr>
      <w:r w:rsidRPr="00410E0B">
        <w:rPr>
          <w:rFonts w:cs="Arial"/>
          <w:szCs w:val="21"/>
        </w:rPr>
        <w:t>This metric is an indicator of the breadth of clinical operations across specialties and craft areas. It is inclusive of all diagnosis related groups for same day and multiday inpatient care, aligned to all care types, where more are greater than five separations per diagnostic group.</w:t>
      </w:r>
    </w:p>
    <w:p w14:paraId="757AC053" w14:textId="42D2EBA4" w:rsidR="00F149A1" w:rsidRPr="008E7073" w:rsidRDefault="00F149A1" w:rsidP="00F149A1">
      <w:pPr>
        <w:pStyle w:val="Heading5"/>
        <w:rPr>
          <w:rFonts w:cs="Arial"/>
        </w:rPr>
      </w:pPr>
      <w:r w:rsidRPr="008E7073">
        <w:rPr>
          <w:rFonts w:cs="Arial"/>
        </w:rPr>
        <w:t>Amount of intensive care provided</w:t>
      </w:r>
    </w:p>
    <w:p w14:paraId="59696E05" w14:textId="77777777" w:rsidR="00F149A1" w:rsidRPr="00410E0B" w:rsidRDefault="00F149A1" w:rsidP="00F149A1">
      <w:pPr>
        <w:pStyle w:val="Body"/>
        <w:rPr>
          <w:rFonts w:cs="Arial"/>
          <w:szCs w:val="21"/>
        </w:rPr>
      </w:pPr>
      <w:r w:rsidRPr="00410E0B">
        <w:rPr>
          <w:rFonts w:cs="Arial"/>
          <w:szCs w:val="21"/>
        </w:rPr>
        <w:t>This metric is an indicator of the level of acuity of patients served at a given health service site based on the duration of stay in an intensive care unit (ICU) reported for inpatient separations to the Victorian Admitted Episode Dataset. It is inclusive of both stays in an ICU or a Neonatal Intensive Care Unit. Where a site has a physically combined ICU and Coronary Care Unit, the stay in both units is included.</w:t>
      </w:r>
    </w:p>
    <w:p w14:paraId="7FDCEC7D" w14:textId="508920DC" w:rsidR="00F149A1" w:rsidRPr="008E7073" w:rsidRDefault="00F149A1" w:rsidP="00F149A1">
      <w:pPr>
        <w:pStyle w:val="Heading5"/>
        <w:rPr>
          <w:rFonts w:cs="Arial"/>
        </w:rPr>
      </w:pPr>
      <w:r w:rsidRPr="008E7073">
        <w:rPr>
          <w:rFonts w:cs="Arial"/>
        </w:rPr>
        <w:t>Ratio of high cost planned admissions</w:t>
      </w:r>
    </w:p>
    <w:p w14:paraId="43424544" w14:textId="77777777" w:rsidR="00F149A1" w:rsidRPr="00410E0B" w:rsidRDefault="00F149A1" w:rsidP="00F149A1">
      <w:pPr>
        <w:pStyle w:val="Body"/>
        <w:rPr>
          <w:rFonts w:cs="Arial"/>
          <w:szCs w:val="21"/>
        </w:rPr>
      </w:pPr>
      <w:r w:rsidRPr="00410E0B">
        <w:rPr>
          <w:rFonts w:cs="Arial"/>
          <w:szCs w:val="21"/>
        </w:rPr>
        <w:t>This metric is an indicator of the level of care complexity provided at a given health service site. It includes the proportion of elective separations for same day and multiday care with a cost weight</w:t>
      </w:r>
      <w:r w:rsidRPr="008E7073">
        <w:rPr>
          <w:rFonts w:cs="Arial"/>
          <w:vertAlign w:val="superscript"/>
        </w:rPr>
        <w:footnoteReference w:id="8"/>
      </w:r>
      <w:r w:rsidRPr="00410E0B">
        <w:rPr>
          <w:rFonts w:cs="Arial"/>
          <w:szCs w:val="21"/>
          <w:vertAlign w:val="superscript"/>
        </w:rPr>
        <w:t xml:space="preserve"> </w:t>
      </w:r>
      <w:r w:rsidRPr="00410E0B">
        <w:rPr>
          <w:rFonts w:cs="Arial"/>
          <w:szCs w:val="21"/>
        </w:rPr>
        <w:t>greater than 4.0.</w:t>
      </w:r>
    </w:p>
    <w:p w14:paraId="201677E7" w14:textId="57329EBF" w:rsidR="00F149A1" w:rsidRPr="008E7073" w:rsidRDefault="00F149A1" w:rsidP="00F149A1">
      <w:pPr>
        <w:pStyle w:val="Heading5"/>
        <w:rPr>
          <w:rFonts w:cs="Arial"/>
        </w:rPr>
      </w:pPr>
      <w:r w:rsidRPr="008E7073">
        <w:rPr>
          <w:rFonts w:cs="Arial"/>
        </w:rPr>
        <w:t>Geographic coverage of admitted care</w:t>
      </w:r>
    </w:p>
    <w:p w14:paraId="5943FCF2" w14:textId="77777777" w:rsidR="00F149A1" w:rsidRPr="00410E0B" w:rsidRDefault="00F149A1" w:rsidP="00F149A1">
      <w:pPr>
        <w:pStyle w:val="Body"/>
        <w:rPr>
          <w:rFonts w:cs="Arial"/>
          <w:szCs w:val="21"/>
        </w:rPr>
      </w:pPr>
      <w:r w:rsidRPr="00410E0B">
        <w:rPr>
          <w:rFonts w:cs="Arial"/>
          <w:szCs w:val="21"/>
        </w:rPr>
        <w:t>This is an indicator of the geographic span of service delivery by a health service site. It is a count of the Local Government Areas for which a given health service site provides greater than 50 annual inpatient separations. It is inclusive of same day and multiday admitted care across all care types.</w:t>
      </w:r>
    </w:p>
    <w:p w14:paraId="6433BC16" w14:textId="4463CBA2" w:rsidR="00F149A1" w:rsidRPr="008E7073" w:rsidRDefault="00F149A1" w:rsidP="00F149A1">
      <w:pPr>
        <w:pStyle w:val="Heading4"/>
        <w:rPr>
          <w:rFonts w:cs="Arial"/>
        </w:rPr>
      </w:pPr>
      <w:r w:rsidRPr="008E7073">
        <w:rPr>
          <w:rFonts w:cs="Arial"/>
        </w:rPr>
        <w:t>Clinical Capability</w:t>
      </w:r>
    </w:p>
    <w:p w14:paraId="172D5144" w14:textId="77777777" w:rsidR="00F149A1" w:rsidRPr="00410E0B" w:rsidRDefault="00F149A1" w:rsidP="00F149A1">
      <w:pPr>
        <w:pStyle w:val="Body"/>
        <w:rPr>
          <w:rFonts w:cs="Arial"/>
          <w:szCs w:val="21"/>
        </w:rPr>
      </w:pPr>
      <w:r w:rsidRPr="00410E0B">
        <w:rPr>
          <w:rFonts w:cs="Arial"/>
          <w:szCs w:val="21"/>
        </w:rPr>
        <w:t xml:space="preserve">Clinical capability is informed by the capability levels assigned to each health service site aligned to relevant clinical streams, per Victoria’s Clinical Service Capability Frameworks. Clinical capability </w:t>
      </w:r>
      <w:r w:rsidRPr="00410E0B">
        <w:rPr>
          <w:rFonts w:cs="Arial"/>
          <w:szCs w:val="21"/>
        </w:rPr>
        <w:lastRenderedPageBreak/>
        <w:t>levels in Victoria are evaluated against these Frameworks through a self-assessment process by health services, with validation undertaken by the Department of Health.</w:t>
      </w:r>
    </w:p>
    <w:p w14:paraId="4093560D" w14:textId="77777777" w:rsidR="00F149A1" w:rsidRPr="00410E0B" w:rsidRDefault="00F149A1" w:rsidP="00F149A1">
      <w:pPr>
        <w:pStyle w:val="Body"/>
        <w:rPr>
          <w:rFonts w:cs="Arial"/>
          <w:szCs w:val="21"/>
        </w:rPr>
      </w:pPr>
      <w:r w:rsidRPr="00410E0B">
        <w:rPr>
          <w:rFonts w:cs="Arial"/>
          <w:szCs w:val="21"/>
        </w:rPr>
        <w:t>At present Victoria has released capability frameworks and assigned capability levels of one to six in the following clinical streams:</w:t>
      </w:r>
    </w:p>
    <w:p w14:paraId="6F58FAF9" w14:textId="77777777" w:rsidR="00F149A1" w:rsidRPr="00410E0B" w:rsidRDefault="00F149A1" w:rsidP="003A2850">
      <w:pPr>
        <w:pStyle w:val="Body"/>
        <w:numPr>
          <w:ilvl w:val="0"/>
          <w:numId w:val="39"/>
        </w:numPr>
        <w:spacing w:after="60"/>
        <w:rPr>
          <w:rFonts w:cs="Arial"/>
          <w:szCs w:val="21"/>
        </w:rPr>
      </w:pPr>
      <w:r w:rsidRPr="00410E0B">
        <w:rPr>
          <w:rFonts w:cs="Arial"/>
          <w:szCs w:val="21"/>
        </w:rPr>
        <w:t>Adult perioperative services</w:t>
      </w:r>
    </w:p>
    <w:p w14:paraId="43A122E2" w14:textId="77777777" w:rsidR="00F149A1" w:rsidRPr="008E7073" w:rsidRDefault="00F149A1" w:rsidP="003A2850">
      <w:pPr>
        <w:pStyle w:val="Body"/>
        <w:numPr>
          <w:ilvl w:val="0"/>
          <w:numId w:val="39"/>
        </w:numPr>
        <w:spacing w:after="60"/>
        <w:rPr>
          <w:rFonts w:cs="Arial"/>
        </w:rPr>
      </w:pPr>
      <w:r w:rsidRPr="00410E0B">
        <w:rPr>
          <w:rFonts w:cs="Arial"/>
          <w:szCs w:val="21"/>
        </w:rPr>
        <w:t>Paediatric perioperative services</w:t>
      </w:r>
    </w:p>
    <w:p w14:paraId="17C41ED5" w14:textId="77777777" w:rsidR="00F149A1" w:rsidRPr="00410E0B" w:rsidRDefault="00F149A1" w:rsidP="003A2850">
      <w:pPr>
        <w:pStyle w:val="Body"/>
        <w:numPr>
          <w:ilvl w:val="0"/>
          <w:numId w:val="39"/>
        </w:numPr>
        <w:spacing w:after="60"/>
        <w:rPr>
          <w:rFonts w:cs="Arial"/>
          <w:szCs w:val="21"/>
        </w:rPr>
      </w:pPr>
      <w:r w:rsidRPr="00410E0B">
        <w:rPr>
          <w:rFonts w:cs="Arial"/>
          <w:szCs w:val="21"/>
        </w:rPr>
        <w:t>Maternity services</w:t>
      </w:r>
    </w:p>
    <w:p w14:paraId="59DF85FA" w14:textId="77777777" w:rsidR="00F149A1" w:rsidRPr="00410E0B" w:rsidRDefault="00F149A1" w:rsidP="003A2850">
      <w:pPr>
        <w:pStyle w:val="Body"/>
        <w:numPr>
          <w:ilvl w:val="0"/>
          <w:numId w:val="39"/>
        </w:numPr>
        <w:rPr>
          <w:rFonts w:cs="Arial"/>
          <w:szCs w:val="21"/>
        </w:rPr>
      </w:pPr>
      <w:r w:rsidRPr="00410E0B">
        <w:rPr>
          <w:rFonts w:cs="Arial"/>
          <w:szCs w:val="21"/>
        </w:rPr>
        <w:t>Neonatal services</w:t>
      </w:r>
    </w:p>
    <w:p w14:paraId="6F23B54A" w14:textId="77777777" w:rsidR="00F149A1" w:rsidRPr="00410E0B" w:rsidRDefault="00F149A1" w:rsidP="00F149A1">
      <w:pPr>
        <w:pStyle w:val="Body"/>
        <w:rPr>
          <w:rFonts w:cs="Arial"/>
          <w:szCs w:val="21"/>
        </w:rPr>
      </w:pPr>
      <w:r w:rsidRPr="00410E0B">
        <w:rPr>
          <w:rFonts w:cs="Arial"/>
          <w:szCs w:val="21"/>
        </w:rPr>
        <w:t>Where a health service site has not been assessed against these Clinical Service Capability Frameworks, the capability level is set to nil.</w:t>
      </w:r>
    </w:p>
    <w:p w14:paraId="47EEC02F" w14:textId="77777777" w:rsidR="00F149A1" w:rsidRPr="00410E0B" w:rsidRDefault="00F149A1" w:rsidP="00F149A1">
      <w:pPr>
        <w:pStyle w:val="Body"/>
        <w:rPr>
          <w:rFonts w:cs="Arial"/>
          <w:szCs w:val="21"/>
        </w:rPr>
      </w:pPr>
      <w:r w:rsidRPr="00410E0B">
        <w:rPr>
          <w:rFonts w:cs="Arial"/>
          <w:szCs w:val="21"/>
        </w:rPr>
        <w:t>The suite of Victorian Clinical Service Capability Frameworks is under ongoing development with further Frameworks to be published over time. As capability levels become known in additional clinical streams, this Role Delineation Framework will be updated to reflect these.</w:t>
      </w:r>
    </w:p>
    <w:p w14:paraId="4E4CDE98" w14:textId="40590A56" w:rsidR="00F149A1" w:rsidRPr="008E7073" w:rsidRDefault="00F149A1" w:rsidP="00F149A1">
      <w:pPr>
        <w:pStyle w:val="Heading4"/>
        <w:rPr>
          <w:rFonts w:cs="Arial"/>
        </w:rPr>
      </w:pPr>
      <w:r w:rsidRPr="008E7073">
        <w:rPr>
          <w:rFonts w:cs="Arial"/>
        </w:rPr>
        <w:t>Low Volume, Highly Complex Service Profile</w:t>
      </w:r>
    </w:p>
    <w:p w14:paraId="457E4248" w14:textId="77777777" w:rsidR="00F149A1" w:rsidRPr="00410E0B" w:rsidRDefault="00F149A1" w:rsidP="00F149A1">
      <w:pPr>
        <w:spacing w:after="0" w:line="240" w:lineRule="auto"/>
        <w:rPr>
          <w:rFonts w:cs="Arial"/>
          <w:szCs w:val="21"/>
        </w:rPr>
      </w:pPr>
      <w:r w:rsidRPr="00410E0B">
        <w:rPr>
          <w:rFonts w:eastAsia="Times" w:cs="Arial"/>
          <w:szCs w:val="21"/>
        </w:rPr>
        <w:t>In Victoria, low volume, highly complex services are delivered from a limited number of health service sites to optimise clinical volumes, quality and safety, sustainability and patient outcomes. The health service sites that provide these therapies and interventions uniquely possess concentrated workforce expertise and are often leaders in clinical practice and research within their field.</w:t>
      </w:r>
    </w:p>
    <w:p w14:paraId="17C19F6C" w14:textId="77777777" w:rsidR="00F149A1" w:rsidRPr="00410E0B" w:rsidRDefault="00F149A1" w:rsidP="00F149A1">
      <w:pPr>
        <w:rPr>
          <w:rFonts w:cs="Arial"/>
          <w:szCs w:val="21"/>
        </w:rPr>
      </w:pPr>
      <w:r w:rsidRPr="00410E0B">
        <w:rPr>
          <w:rFonts w:cs="Arial"/>
          <w:szCs w:val="21"/>
        </w:rPr>
        <w:t>The definition and assignment of roles to health service sites takes into consideration the number of these types of services delivered at a given site. Victoria’s current distribution of statewide and low volume, highly complex services is outlined in Appendix 2.</w:t>
      </w:r>
    </w:p>
    <w:p w14:paraId="7F2CAA01" w14:textId="6A1D28F0" w:rsidR="00F149A1" w:rsidRPr="008E7073" w:rsidRDefault="00F149A1" w:rsidP="00F149A1">
      <w:pPr>
        <w:pStyle w:val="Heading4"/>
        <w:rPr>
          <w:rFonts w:cs="Arial"/>
        </w:rPr>
      </w:pPr>
      <w:r w:rsidRPr="008E7073">
        <w:rPr>
          <w:rFonts w:cs="Arial"/>
        </w:rPr>
        <w:t>Defining and Assigning Roles</w:t>
      </w:r>
    </w:p>
    <w:p w14:paraId="786F3795" w14:textId="7E467DC6" w:rsidR="005217B2" w:rsidRPr="005217B2" w:rsidRDefault="005217B2" w:rsidP="005217B2">
      <w:pPr>
        <w:spacing w:after="0" w:line="240" w:lineRule="auto"/>
        <w:textAlignment w:val="baseline"/>
        <w:rPr>
          <w:rFonts w:eastAsia="Times" w:cs="Arial"/>
          <w:szCs w:val="21"/>
        </w:rPr>
      </w:pPr>
      <w:r w:rsidRPr="005217B2">
        <w:rPr>
          <w:rFonts w:eastAsia="Times" w:cs="Arial"/>
          <w:szCs w:val="21"/>
        </w:rPr>
        <w:t xml:space="preserve">Leveraging the peer characteristics, clinical capability characteristics and service profiles for statewide and low volume, highly complex care at each health service site, a sensitivity tested statistical cluster </w:t>
      </w:r>
      <w:r w:rsidR="00D04A9D" w:rsidRPr="005217B2">
        <w:rPr>
          <w:rFonts w:eastAsia="Times" w:cs="Arial"/>
          <w:szCs w:val="21"/>
        </w:rPr>
        <w:t>analysis is</w:t>
      </w:r>
      <w:r w:rsidRPr="005217B2">
        <w:rPr>
          <w:rFonts w:eastAsia="Times" w:cs="Arial"/>
          <w:szCs w:val="21"/>
        </w:rPr>
        <w:t xml:space="preserve"> used to define and assign roles to each site across the state.</w:t>
      </w:r>
    </w:p>
    <w:p w14:paraId="7B342B22" w14:textId="77777777" w:rsidR="005217B2" w:rsidRDefault="005217B2" w:rsidP="005217B2">
      <w:pPr>
        <w:spacing w:after="0" w:line="240" w:lineRule="auto"/>
        <w:textAlignment w:val="baseline"/>
        <w:rPr>
          <w:rFonts w:eastAsia="Times" w:cs="Arial"/>
          <w:szCs w:val="21"/>
        </w:rPr>
      </w:pPr>
    </w:p>
    <w:p w14:paraId="3179EFBE" w14:textId="1A16E3F7" w:rsidR="00410E0B" w:rsidRDefault="005217B2" w:rsidP="005217B2">
      <w:pPr>
        <w:spacing w:after="0" w:line="240" w:lineRule="auto"/>
        <w:textAlignment w:val="baseline"/>
        <w:rPr>
          <w:rFonts w:eastAsia="Times" w:cs="Arial"/>
          <w:szCs w:val="21"/>
        </w:rPr>
      </w:pPr>
      <w:r w:rsidRPr="005217B2">
        <w:rPr>
          <w:rFonts w:eastAsia="Times" w:cs="Arial"/>
          <w:szCs w:val="21"/>
        </w:rPr>
        <w:t>A cluster analysis is a statistical technique used to find natural groupings in a set of data – in this case the characteristics of each of Victoria’s health service sites. It finds patterns in the data and groups sites into like "clusters". An illustrative representation of a cluster analysis is shown in Figure 3.</w:t>
      </w:r>
    </w:p>
    <w:p w14:paraId="5ACCC12C" w14:textId="77777777" w:rsidR="004D3EDA" w:rsidRDefault="004D3EDA" w:rsidP="005217B2">
      <w:pPr>
        <w:spacing w:after="0" w:line="240" w:lineRule="auto"/>
        <w:textAlignment w:val="baseline"/>
        <w:rPr>
          <w:rFonts w:cs="Arial"/>
          <w:szCs w:val="21"/>
          <w:lang w:eastAsia="en-GB"/>
        </w:rPr>
      </w:pPr>
    </w:p>
    <w:p w14:paraId="5F103FEC" w14:textId="16DD99CD" w:rsidR="00F149A1" w:rsidRDefault="00F149A1" w:rsidP="00F149A1">
      <w:pPr>
        <w:spacing w:after="0" w:line="240" w:lineRule="auto"/>
        <w:textAlignment w:val="baseline"/>
        <w:rPr>
          <w:rFonts w:cs="Arial"/>
          <w:b/>
          <w:bCs/>
          <w:szCs w:val="21"/>
          <w:lang w:eastAsia="en-GB"/>
        </w:rPr>
      </w:pPr>
      <w:r w:rsidRPr="00EE4830">
        <w:rPr>
          <w:rFonts w:cs="Arial"/>
          <w:b/>
          <w:bCs/>
          <w:szCs w:val="21"/>
          <w:lang w:eastAsia="en-GB"/>
        </w:rPr>
        <w:t>Figure 3</w:t>
      </w:r>
      <w:r w:rsidR="00CF3339">
        <w:rPr>
          <w:rFonts w:cs="Arial"/>
          <w:b/>
          <w:bCs/>
          <w:szCs w:val="21"/>
          <w:lang w:eastAsia="en-GB"/>
        </w:rPr>
        <w:t xml:space="preserve">: </w:t>
      </w:r>
      <w:r w:rsidR="00EE4830" w:rsidRPr="00EE4830">
        <w:rPr>
          <w:rFonts w:cs="Arial"/>
          <w:b/>
          <w:bCs/>
          <w:szCs w:val="21"/>
          <w:lang w:eastAsia="en-GB"/>
        </w:rPr>
        <w:t>An illustrative representation of a cluster analysis</w:t>
      </w:r>
    </w:p>
    <w:p w14:paraId="7E369EE7" w14:textId="77777777" w:rsidR="003A57EC" w:rsidRPr="00EE4830" w:rsidRDefault="003A57EC" w:rsidP="00F149A1">
      <w:pPr>
        <w:spacing w:after="0" w:line="240" w:lineRule="auto"/>
        <w:textAlignment w:val="baseline"/>
        <w:rPr>
          <w:rFonts w:cs="Arial"/>
          <w:b/>
          <w:bCs/>
          <w:szCs w:val="21"/>
          <w:lang w:eastAsia="en-GB"/>
        </w:rPr>
      </w:pPr>
    </w:p>
    <w:p w14:paraId="6F80568F" w14:textId="10DA41AE" w:rsidR="00F149A1" w:rsidRPr="008E7073" w:rsidRDefault="00F149A1" w:rsidP="00F149A1">
      <w:pPr>
        <w:pStyle w:val="Body"/>
        <w:rPr>
          <w:rFonts w:cs="Arial"/>
        </w:rPr>
      </w:pPr>
      <w:r w:rsidRPr="008E7073">
        <w:rPr>
          <w:rFonts w:cs="Arial"/>
          <w:noProof/>
          <w:sz w:val="18"/>
          <w:szCs w:val="18"/>
          <w:lang w:eastAsia="en-GB"/>
        </w:rPr>
        <w:drawing>
          <wp:inline distT="0" distB="0" distL="0" distR="0" wp14:anchorId="20166410" wp14:editId="6D5F6964">
            <wp:extent cx="5734050" cy="2085975"/>
            <wp:effectExtent l="0" t="0" r="0" b="9525"/>
            <wp:docPr id="209431657" name="Picture 2" descr="An Illustrative example of a cluster analysis. Data variables associated with the characteristics of each health service site (left) are statistically grouped together based on patterns of similarity into ‘clusters’ (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31657" name="Picture 2" descr="An Illustrative example of a cluster analysis. Data variables associated with the characteristics of each health service site (left) are statistically grouped together based on patterns of similarity into ‘clusters’ (right).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4050" cy="2085975"/>
                    </a:xfrm>
                    <a:prstGeom prst="rect">
                      <a:avLst/>
                    </a:prstGeom>
                    <a:noFill/>
                    <a:ln>
                      <a:noFill/>
                    </a:ln>
                  </pic:spPr>
                </pic:pic>
              </a:graphicData>
            </a:graphic>
          </wp:inline>
        </w:drawing>
      </w:r>
    </w:p>
    <w:p w14:paraId="5B0C22FD" w14:textId="77777777" w:rsidR="003A57EC" w:rsidRDefault="003A57EC" w:rsidP="00F149A1">
      <w:pPr>
        <w:pStyle w:val="Body"/>
        <w:rPr>
          <w:rFonts w:cs="Arial"/>
          <w:szCs w:val="21"/>
        </w:rPr>
      </w:pPr>
    </w:p>
    <w:p w14:paraId="77C612A7" w14:textId="107B08C5" w:rsidR="00F149A1" w:rsidRPr="00EE4830" w:rsidRDefault="00871EC2" w:rsidP="00F149A1">
      <w:pPr>
        <w:pStyle w:val="Body"/>
        <w:rPr>
          <w:rFonts w:cs="Arial"/>
          <w:szCs w:val="21"/>
        </w:rPr>
      </w:pPr>
      <w:r>
        <w:rPr>
          <w:rFonts w:cs="Arial"/>
          <w:szCs w:val="21"/>
        </w:rPr>
        <w:lastRenderedPageBreak/>
        <w:t>Seven</w:t>
      </w:r>
      <w:r w:rsidR="00F149A1" w:rsidRPr="00EE4830">
        <w:rPr>
          <w:rFonts w:cs="Arial"/>
          <w:szCs w:val="21"/>
        </w:rPr>
        <w:t xml:space="preserve"> clusters, or health service site roles, are identified by the cluster analysis for those health service sites that deliver a range of services for the general population across multiple clinical specialities. These roles are:</w:t>
      </w:r>
    </w:p>
    <w:p w14:paraId="04C687BC" w14:textId="77777777" w:rsidR="00F149A1" w:rsidRPr="00EE4830" w:rsidRDefault="00F149A1" w:rsidP="003A2850">
      <w:pPr>
        <w:pStyle w:val="Body"/>
        <w:numPr>
          <w:ilvl w:val="0"/>
          <w:numId w:val="40"/>
        </w:numPr>
        <w:spacing w:after="60"/>
        <w:rPr>
          <w:rFonts w:cs="Arial"/>
          <w:szCs w:val="21"/>
        </w:rPr>
      </w:pPr>
      <w:r w:rsidRPr="00EE4830">
        <w:rPr>
          <w:rFonts w:cs="Arial"/>
          <w:szCs w:val="21"/>
        </w:rPr>
        <w:t>Small Hospitals and Health Centres</w:t>
      </w:r>
    </w:p>
    <w:p w14:paraId="4F51DC89" w14:textId="77777777" w:rsidR="00F149A1" w:rsidRPr="00EE4830" w:rsidRDefault="00F149A1" w:rsidP="003A2850">
      <w:pPr>
        <w:pStyle w:val="Body"/>
        <w:numPr>
          <w:ilvl w:val="0"/>
          <w:numId w:val="40"/>
        </w:numPr>
        <w:spacing w:after="60"/>
        <w:rPr>
          <w:rFonts w:cs="Arial"/>
          <w:szCs w:val="21"/>
        </w:rPr>
      </w:pPr>
      <w:r w:rsidRPr="00EE4830">
        <w:rPr>
          <w:rFonts w:cs="Arial"/>
          <w:szCs w:val="21"/>
        </w:rPr>
        <w:t>District and Community Hospitals</w:t>
      </w:r>
    </w:p>
    <w:p w14:paraId="1286582D" w14:textId="77777777" w:rsidR="00F149A1" w:rsidRPr="00EE4830" w:rsidRDefault="00F149A1" w:rsidP="003A2850">
      <w:pPr>
        <w:pStyle w:val="Body"/>
        <w:numPr>
          <w:ilvl w:val="0"/>
          <w:numId w:val="40"/>
        </w:numPr>
        <w:spacing w:after="60"/>
        <w:rPr>
          <w:rFonts w:cs="Arial"/>
          <w:szCs w:val="21"/>
        </w:rPr>
      </w:pPr>
      <w:r w:rsidRPr="00EE4830">
        <w:rPr>
          <w:rFonts w:cs="Arial"/>
          <w:szCs w:val="21"/>
        </w:rPr>
        <w:t>General Hospitals</w:t>
      </w:r>
    </w:p>
    <w:p w14:paraId="46F1791C" w14:textId="77777777" w:rsidR="00F149A1" w:rsidRPr="00EE4830" w:rsidRDefault="00F149A1" w:rsidP="003A2850">
      <w:pPr>
        <w:pStyle w:val="Body"/>
        <w:numPr>
          <w:ilvl w:val="0"/>
          <w:numId w:val="40"/>
        </w:numPr>
        <w:spacing w:after="60"/>
        <w:rPr>
          <w:rFonts w:cs="Arial"/>
          <w:szCs w:val="21"/>
        </w:rPr>
      </w:pPr>
      <w:r w:rsidRPr="00EE4830">
        <w:rPr>
          <w:rFonts w:cs="Arial"/>
          <w:szCs w:val="21"/>
        </w:rPr>
        <w:t>Major Hospitals</w:t>
      </w:r>
    </w:p>
    <w:p w14:paraId="38BFFAF1" w14:textId="77777777" w:rsidR="00F149A1" w:rsidRDefault="00F149A1" w:rsidP="003A2850">
      <w:pPr>
        <w:pStyle w:val="Body"/>
        <w:numPr>
          <w:ilvl w:val="0"/>
          <w:numId w:val="40"/>
        </w:numPr>
        <w:spacing w:after="60"/>
        <w:rPr>
          <w:rFonts w:cs="Arial"/>
          <w:szCs w:val="21"/>
        </w:rPr>
      </w:pPr>
      <w:r w:rsidRPr="00EE4830">
        <w:rPr>
          <w:rFonts w:cs="Arial"/>
          <w:szCs w:val="21"/>
        </w:rPr>
        <w:t>Principal Hospitals</w:t>
      </w:r>
    </w:p>
    <w:p w14:paraId="06E879D0" w14:textId="378C9996" w:rsidR="005251E3" w:rsidRPr="00EE4830" w:rsidRDefault="00E0159C" w:rsidP="003A2850">
      <w:pPr>
        <w:pStyle w:val="Body"/>
        <w:numPr>
          <w:ilvl w:val="0"/>
          <w:numId w:val="40"/>
        </w:numPr>
        <w:spacing w:after="60"/>
        <w:rPr>
          <w:rFonts w:cs="Arial"/>
          <w:szCs w:val="21"/>
        </w:rPr>
      </w:pPr>
      <w:r>
        <w:rPr>
          <w:rFonts w:cs="Arial"/>
          <w:szCs w:val="21"/>
        </w:rPr>
        <w:t>Regional</w:t>
      </w:r>
      <w:r w:rsidR="005251E3">
        <w:rPr>
          <w:rFonts w:cs="Arial"/>
          <w:szCs w:val="21"/>
        </w:rPr>
        <w:t xml:space="preserve"> Tertiary Hospitals</w:t>
      </w:r>
    </w:p>
    <w:p w14:paraId="380ACC3D" w14:textId="77777777" w:rsidR="00F149A1" w:rsidRPr="00EE4830" w:rsidRDefault="00F149A1" w:rsidP="003A2850">
      <w:pPr>
        <w:pStyle w:val="Body"/>
        <w:numPr>
          <w:ilvl w:val="0"/>
          <w:numId w:val="40"/>
        </w:numPr>
        <w:rPr>
          <w:rFonts w:cs="Arial"/>
          <w:szCs w:val="21"/>
        </w:rPr>
      </w:pPr>
      <w:r w:rsidRPr="00EE4830">
        <w:rPr>
          <w:rFonts w:cs="Arial"/>
          <w:szCs w:val="21"/>
        </w:rPr>
        <w:t>Tertiary Hospitals</w:t>
      </w:r>
    </w:p>
    <w:p w14:paraId="790DBC02" w14:textId="50E19930" w:rsidR="00F149A1" w:rsidRPr="008E7073" w:rsidRDefault="00D55AFA" w:rsidP="00D55AFA">
      <w:pPr>
        <w:pStyle w:val="Heading5"/>
        <w:rPr>
          <w:rFonts w:cs="Arial"/>
        </w:rPr>
      </w:pPr>
      <w:r w:rsidRPr="008E7073">
        <w:rPr>
          <w:rFonts w:cs="Arial"/>
        </w:rPr>
        <w:t xml:space="preserve">Application of </w:t>
      </w:r>
      <w:r w:rsidR="00992E3B">
        <w:rPr>
          <w:rFonts w:cs="Arial"/>
        </w:rPr>
        <w:t>s</w:t>
      </w:r>
      <w:r w:rsidRPr="008E7073">
        <w:rPr>
          <w:rFonts w:cs="Arial"/>
        </w:rPr>
        <w:t xml:space="preserve">ystem </w:t>
      </w:r>
      <w:r w:rsidR="00992E3B">
        <w:rPr>
          <w:rFonts w:cs="Arial"/>
        </w:rPr>
        <w:t>d</w:t>
      </w:r>
      <w:r w:rsidRPr="008E7073">
        <w:rPr>
          <w:rFonts w:cs="Arial"/>
        </w:rPr>
        <w:t xml:space="preserve">esign </w:t>
      </w:r>
      <w:r w:rsidR="00371806">
        <w:rPr>
          <w:rFonts w:cs="Arial"/>
        </w:rPr>
        <w:t>p</w:t>
      </w:r>
      <w:r w:rsidRPr="008E7073">
        <w:rPr>
          <w:rFonts w:cs="Arial"/>
        </w:rPr>
        <w:t>rinciples</w:t>
      </w:r>
    </w:p>
    <w:p w14:paraId="5B5187BF" w14:textId="556359F7" w:rsidR="00D55AFA" w:rsidRPr="008E7073" w:rsidRDefault="00D55AFA" w:rsidP="00D55AFA">
      <w:pPr>
        <w:pStyle w:val="Body"/>
        <w:spacing w:after="20"/>
        <w:rPr>
          <w:rFonts w:cs="Arial"/>
          <w:b/>
          <w:i/>
        </w:rPr>
      </w:pPr>
      <w:r w:rsidRPr="008E7073">
        <w:rPr>
          <w:rFonts w:cs="Arial"/>
          <w:b/>
          <w:i/>
        </w:rPr>
        <w:t>Major, Principal</w:t>
      </w:r>
      <w:r w:rsidR="00992E3B">
        <w:rPr>
          <w:rFonts w:cs="Arial"/>
          <w:b/>
          <w:i/>
        </w:rPr>
        <w:t>, Regional Tertiary</w:t>
      </w:r>
      <w:r w:rsidRPr="008E7073">
        <w:rPr>
          <w:rFonts w:cs="Arial"/>
          <w:b/>
          <w:i/>
        </w:rPr>
        <w:t xml:space="preserve"> and Tertiary Hospitals must accommodate intensive care units</w:t>
      </w:r>
    </w:p>
    <w:p w14:paraId="61D19F33" w14:textId="77777777" w:rsidR="00D55AFA" w:rsidRPr="00EE4830" w:rsidRDefault="00D55AFA" w:rsidP="00D55AFA">
      <w:pPr>
        <w:pStyle w:val="Body"/>
        <w:rPr>
          <w:rFonts w:cs="Arial"/>
          <w:szCs w:val="21"/>
        </w:rPr>
      </w:pPr>
      <w:r w:rsidRPr="00EE4830">
        <w:rPr>
          <w:rFonts w:cs="Arial"/>
          <w:szCs w:val="21"/>
        </w:rPr>
        <w:t>A key differentiator of health service site roles is the presence or absence of an intensive care unit. In order to meet the criteria for assignment as a Major, Principal, Principal or Tertiary Hospital, a health service site must accommodate an intensive care unit, aligned to the responsibility of these sites to deliver moderate to high acuity care for complex patients. The accommodation of an intensive care unit does not ensure assignment as a Major, Principal, Principal or Tertiary Hospital as these sites must share other like characteristics per the cluster analysis.</w:t>
      </w:r>
    </w:p>
    <w:p w14:paraId="41D5482F" w14:textId="77777777" w:rsidR="00D55AFA" w:rsidRPr="00EE4830" w:rsidRDefault="00D55AFA" w:rsidP="00D55AFA">
      <w:pPr>
        <w:pStyle w:val="Body"/>
        <w:rPr>
          <w:rFonts w:cs="Arial"/>
          <w:szCs w:val="21"/>
        </w:rPr>
      </w:pPr>
      <w:r w:rsidRPr="00EE4830">
        <w:rPr>
          <w:rFonts w:cs="Arial"/>
          <w:szCs w:val="21"/>
        </w:rPr>
        <w:t>Once the Critical Care Capability levels are agreed this will be incorporated into the role delineation definitions and assignment.</w:t>
      </w:r>
    </w:p>
    <w:p w14:paraId="18C27491" w14:textId="57D6F90B" w:rsidR="00D55AFA" w:rsidRPr="008E7073" w:rsidRDefault="00D55AFA" w:rsidP="00D55AFA">
      <w:pPr>
        <w:pStyle w:val="Heading3"/>
        <w:rPr>
          <w:rFonts w:cs="Arial"/>
        </w:rPr>
      </w:pPr>
      <w:bookmarkStart w:id="45" w:name="_Toc204251904"/>
      <w:r w:rsidRPr="008E7073">
        <w:rPr>
          <w:rFonts w:cs="Arial"/>
        </w:rPr>
        <w:t>Definition and assignment of roles offering targeted clinical care in a specialised area or serving defined population cohorts</w:t>
      </w:r>
      <w:bookmarkEnd w:id="45"/>
      <w:r w:rsidRPr="008E7073">
        <w:rPr>
          <w:rFonts w:cs="Arial"/>
        </w:rPr>
        <w:t xml:space="preserve"> </w:t>
      </w:r>
    </w:p>
    <w:p w14:paraId="63ECF5F9" w14:textId="77777777" w:rsidR="00D55AFA" w:rsidRPr="00EE4830" w:rsidRDefault="00D55AFA" w:rsidP="00D55AFA">
      <w:pPr>
        <w:pStyle w:val="Body"/>
        <w:rPr>
          <w:rFonts w:cs="Arial"/>
          <w:szCs w:val="21"/>
        </w:rPr>
      </w:pPr>
      <w:r w:rsidRPr="00EE4830">
        <w:rPr>
          <w:rFonts w:cs="Arial"/>
          <w:szCs w:val="21"/>
        </w:rPr>
        <w:t>A further five roles have been identified that are not well characterised by the three core components outlined above. This is because these roles are specific to health service sites that either offer targeted clinical care in a specialised area or that serve defined population cohorts.</w:t>
      </w:r>
    </w:p>
    <w:p w14:paraId="14A53D48" w14:textId="77777777" w:rsidR="00D55AFA" w:rsidRPr="00EE4830" w:rsidRDefault="00D55AFA" w:rsidP="00D55AFA">
      <w:pPr>
        <w:pStyle w:val="Body"/>
        <w:rPr>
          <w:rFonts w:cs="Arial"/>
          <w:szCs w:val="21"/>
        </w:rPr>
      </w:pPr>
      <w:r w:rsidRPr="00EE4830">
        <w:rPr>
          <w:rFonts w:cs="Arial"/>
          <w:szCs w:val="21"/>
        </w:rPr>
        <w:t>These roles are outlined below.</w:t>
      </w:r>
    </w:p>
    <w:p w14:paraId="2792C8F6" w14:textId="767DF471" w:rsidR="00D55AFA" w:rsidRPr="000755AF" w:rsidRDefault="00D55AFA" w:rsidP="00D55AFA">
      <w:pPr>
        <w:pStyle w:val="Heading4"/>
        <w:rPr>
          <w:rFonts w:cs="Arial"/>
          <w:color w:val="000000" w:themeColor="text1"/>
          <w:sz w:val="21"/>
          <w:szCs w:val="21"/>
        </w:rPr>
      </w:pPr>
      <w:r w:rsidRPr="000755AF">
        <w:rPr>
          <w:rFonts w:cs="Arial"/>
          <w:color w:val="000000" w:themeColor="text1"/>
          <w:sz w:val="21"/>
          <w:szCs w:val="21"/>
        </w:rPr>
        <w:t>Sub-acute Hospitals</w:t>
      </w:r>
    </w:p>
    <w:p w14:paraId="03BD7358" w14:textId="77777777" w:rsidR="00D55AFA" w:rsidRPr="00EE4830" w:rsidRDefault="00D55AFA" w:rsidP="00D55AFA">
      <w:pPr>
        <w:pStyle w:val="Body"/>
        <w:rPr>
          <w:rFonts w:cs="Arial"/>
          <w:szCs w:val="21"/>
        </w:rPr>
      </w:pPr>
      <w:r w:rsidRPr="00EE4830">
        <w:rPr>
          <w:rFonts w:cs="Arial"/>
          <w:szCs w:val="21"/>
        </w:rPr>
        <w:t>Sub-acute sites are those that provide mostly sub-acute care on an admitted same day or overnight basis aligned to rehabilitation, geriatric evaluation and management and/or palliative care programs. These activities are reported to the Victorian Admitted Episode Dataset under care types six, eight and nine. Sub-acute sites may also deliver some limited ambulatory admitted care, such as maintenance and training dialysis.</w:t>
      </w:r>
    </w:p>
    <w:p w14:paraId="15FEB5FD" w14:textId="77777777" w:rsidR="00D55AFA" w:rsidRPr="00EE4830" w:rsidRDefault="00D55AFA" w:rsidP="00D55AFA">
      <w:pPr>
        <w:pStyle w:val="Body"/>
        <w:rPr>
          <w:rFonts w:cs="Arial"/>
          <w:szCs w:val="21"/>
        </w:rPr>
      </w:pPr>
      <w:r w:rsidRPr="00EE4830">
        <w:rPr>
          <w:rFonts w:cs="Arial"/>
          <w:szCs w:val="21"/>
        </w:rPr>
        <w:t>Sub-acute sites are identified where:</w:t>
      </w:r>
    </w:p>
    <w:p w14:paraId="6798552B" w14:textId="77777777" w:rsidR="00D55AFA" w:rsidRPr="00EE4830" w:rsidRDefault="00D55AFA" w:rsidP="003A2850">
      <w:pPr>
        <w:pStyle w:val="Body"/>
        <w:numPr>
          <w:ilvl w:val="0"/>
          <w:numId w:val="41"/>
        </w:numPr>
        <w:rPr>
          <w:rFonts w:cs="Arial"/>
          <w:szCs w:val="21"/>
        </w:rPr>
      </w:pPr>
      <w:r w:rsidRPr="00EE4830">
        <w:rPr>
          <w:rFonts w:cs="Arial"/>
          <w:szCs w:val="21"/>
        </w:rPr>
        <w:t>over 70% of separations are sub-acute separations (excluding maintenance and training dialysis), or</w:t>
      </w:r>
    </w:p>
    <w:p w14:paraId="5A083D8B" w14:textId="77777777" w:rsidR="00D55AFA" w:rsidRPr="00EE4830" w:rsidRDefault="00D55AFA" w:rsidP="003A2850">
      <w:pPr>
        <w:pStyle w:val="Body"/>
        <w:numPr>
          <w:ilvl w:val="0"/>
          <w:numId w:val="41"/>
        </w:numPr>
        <w:rPr>
          <w:rFonts w:cs="Arial"/>
          <w:szCs w:val="21"/>
        </w:rPr>
      </w:pPr>
      <w:r w:rsidRPr="00EE4830">
        <w:rPr>
          <w:rFonts w:cs="Arial"/>
          <w:szCs w:val="21"/>
        </w:rPr>
        <w:t>over 70% of patient days are sub-acute days and over 50% of separations are sub-acute separations (excluding maintenance and training dialysis).</w:t>
      </w:r>
    </w:p>
    <w:p w14:paraId="76DDE8C7" w14:textId="5C2190BE" w:rsidR="00D55AFA" w:rsidRPr="000755AF" w:rsidRDefault="00D55AFA" w:rsidP="00D55AFA">
      <w:pPr>
        <w:pStyle w:val="Heading4"/>
        <w:rPr>
          <w:rFonts w:cs="Arial"/>
          <w:color w:val="000000" w:themeColor="text1"/>
          <w:sz w:val="21"/>
          <w:szCs w:val="21"/>
        </w:rPr>
      </w:pPr>
      <w:r w:rsidRPr="000755AF">
        <w:rPr>
          <w:rFonts w:cs="Arial"/>
          <w:color w:val="000000" w:themeColor="text1"/>
          <w:sz w:val="21"/>
          <w:szCs w:val="21"/>
        </w:rPr>
        <w:lastRenderedPageBreak/>
        <w:t>Women’s and Children’s Hospitals</w:t>
      </w:r>
    </w:p>
    <w:p w14:paraId="661AD86E" w14:textId="77777777" w:rsidR="00D55AFA" w:rsidRPr="00EE4830" w:rsidRDefault="00D55AFA" w:rsidP="00D55AFA">
      <w:pPr>
        <w:pStyle w:val="Body"/>
        <w:rPr>
          <w:rFonts w:cs="Arial"/>
          <w:szCs w:val="21"/>
        </w:rPr>
      </w:pPr>
      <w:r w:rsidRPr="00EE4830">
        <w:rPr>
          <w:rFonts w:cs="Arial"/>
          <w:szCs w:val="21"/>
        </w:rPr>
        <w:t xml:space="preserve">Women’s and children’s hospitals specialise in the treatment and care of women or children, providing care to patients with varying complexity with the specific role of delivering the highest complexity care across obstetrics, gynaecology, and paediatrics. </w:t>
      </w:r>
    </w:p>
    <w:p w14:paraId="2EEDE8ED" w14:textId="77777777" w:rsidR="00D55AFA" w:rsidRPr="00EE4830" w:rsidRDefault="00D55AFA" w:rsidP="00D55AFA">
      <w:pPr>
        <w:pStyle w:val="Body"/>
        <w:rPr>
          <w:rFonts w:cs="Arial"/>
          <w:szCs w:val="21"/>
        </w:rPr>
      </w:pPr>
      <w:r w:rsidRPr="00EE4830">
        <w:rPr>
          <w:rFonts w:cs="Arial"/>
          <w:szCs w:val="21"/>
        </w:rPr>
        <w:t>Per the AIHW peer groups, children’s hospitals are those sites where the proportion of separations with patients aged 0–14 exceeds 80 per cent of total separations. The age range 0-14 is used here noting that different health service sites in Victoria have different age-based policies on the definition of paediatric care, however, in most instances these are inclusive of children under the age of 15 years.</w:t>
      </w:r>
    </w:p>
    <w:p w14:paraId="780D9453" w14:textId="77777777" w:rsidR="00D55AFA" w:rsidRPr="00EE4830" w:rsidRDefault="00D55AFA" w:rsidP="00D55AFA">
      <w:pPr>
        <w:pStyle w:val="Body"/>
        <w:rPr>
          <w:rFonts w:cs="Arial"/>
          <w:szCs w:val="21"/>
        </w:rPr>
      </w:pPr>
      <w:r w:rsidRPr="00EE4830">
        <w:rPr>
          <w:rFonts w:cs="Arial"/>
          <w:szCs w:val="21"/>
        </w:rPr>
        <w:t xml:space="preserve">Women’s hospitals are those sites where more than 70 per cent of separations are assigned to a Major Diagnostic Category of </w:t>
      </w:r>
      <w:r w:rsidRPr="00EE4830">
        <w:rPr>
          <w:rFonts w:cs="Arial"/>
          <w:i/>
          <w:iCs/>
          <w:szCs w:val="21"/>
        </w:rPr>
        <w:t>Diseases and disorders of the female reproductive system</w:t>
      </w:r>
      <w:r w:rsidRPr="00EE4830">
        <w:rPr>
          <w:rFonts w:cs="Arial"/>
          <w:szCs w:val="21"/>
        </w:rPr>
        <w:t xml:space="preserve"> or </w:t>
      </w:r>
      <w:r w:rsidRPr="00EE4830">
        <w:rPr>
          <w:rFonts w:cs="Arial"/>
          <w:i/>
          <w:iCs/>
          <w:szCs w:val="21"/>
        </w:rPr>
        <w:t xml:space="preserve">Pregnancy, childbirth and the puerperium </w:t>
      </w:r>
      <w:r w:rsidRPr="00EE4830">
        <w:rPr>
          <w:rFonts w:cs="Arial"/>
          <w:szCs w:val="21"/>
        </w:rPr>
        <w:t>per the International Classification of Diseases (ICD).</w:t>
      </w:r>
    </w:p>
    <w:p w14:paraId="2A93781D" w14:textId="2FEF13C7" w:rsidR="00D55AFA" w:rsidRPr="000755AF" w:rsidRDefault="00D55AFA" w:rsidP="00D55AFA">
      <w:pPr>
        <w:pStyle w:val="Heading4"/>
        <w:rPr>
          <w:rFonts w:cs="Arial"/>
          <w:color w:val="000000" w:themeColor="text1"/>
          <w:sz w:val="21"/>
          <w:szCs w:val="21"/>
        </w:rPr>
      </w:pPr>
      <w:r w:rsidRPr="000755AF">
        <w:rPr>
          <w:rFonts w:cs="Arial"/>
          <w:color w:val="000000" w:themeColor="text1"/>
          <w:sz w:val="21"/>
          <w:szCs w:val="21"/>
        </w:rPr>
        <w:t>Specialist Hospitals</w:t>
      </w:r>
    </w:p>
    <w:p w14:paraId="640EBAF2" w14:textId="77777777" w:rsidR="00D55AFA" w:rsidRPr="00EE4830" w:rsidRDefault="00D55AFA" w:rsidP="00D55AFA">
      <w:pPr>
        <w:pStyle w:val="Body"/>
        <w:rPr>
          <w:rFonts w:cs="Arial"/>
          <w:szCs w:val="21"/>
        </w:rPr>
      </w:pPr>
      <w:r w:rsidRPr="00EE4830">
        <w:rPr>
          <w:rFonts w:cs="Arial"/>
          <w:szCs w:val="21"/>
        </w:rPr>
        <w:t>Designated specialist hospitals in Victoria typically offer a same day or multiday admitted casemix for the lowest to highest complexity care where the majority of separations are aligned to fewer than two chapters of the ICD aligned to eye and ear care, dental care, cardiac care or cancer care.</w:t>
      </w:r>
    </w:p>
    <w:p w14:paraId="1E8CBFE6" w14:textId="68DD2938" w:rsidR="00D55AFA" w:rsidRPr="000755AF" w:rsidRDefault="00D55AFA" w:rsidP="00D55AFA">
      <w:pPr>
        <w:pStyle w:val="Heading4"/>
        <w:rPr>
          <w:rFonts w:cs="Arial"/>
          <w:color w:val="000000" w:themeColor="text1"/>
          <w:sz w:val="21"/>
          <w:szCs w:val="21"/>
        </w:rPr>
      </w:pPr>
      <w:r w:rsidRPr="000755AF">
        <w:rPr>
          <w:rFonts w:cs="Arial"/>
          <w:color w:val="000000" w:themeColor="text1"/>
          <w:sz w:val="21"/>
          <w:szCs w:val="21"/>
        </w:rPr>
        <w:t>Public Surgery Centres</w:t>
      </w:r>
    </w:p>
    <w:p w14:paraId="6FD169D3" w14:textId="77777777" w:rsidR="00D55AFA" w:rsidRPr="00EE4830" w:rsidRDefault="00D55AFA" w:rsidP="00D55AFA">
      <w:pPr>
        <w:pStyle w:val="Body"/>
        <w:rPr>
          <w:rFonts w:cs="Arial"/>
          <w:szCs w:val="21"/>
        </w:rPr>
      </w:pPr>
      <w:r w:rsidRPr="00EE4830">
        <w:rPr>
          <w:rFonts w:cs="Arial"/>
          <w:szCs w:val="21"/>
        </w:rPr>
        <w:t>Public surgery centres are standalone sites that deliver planned same day or overnight surgical and procedural care.</w:t>
      </w:r>
    </w:p>
    <w:p w14:paraId="4FD5C640" w14:textId="77777777" w:rsidR="00D55AFA" w:rsidRPr="00EE4830" w:rsidRDefault="00D55AFA" w:rsidP="00D55AFA">
      <w:pPr>
        <w:pStyle w:val="Body"/>
        <w:rPr>
          <w:rFonts w:cs="Arial"/>
          <w:szCs w:val="21"/>
        </w:rPr>
      </w:pPr>
      <w:r w:rsidRPr="00EE4830">
        <w:rPr>
          <w:rFonts w:cs="Arial"/>
          <w:szCs w:val="21"/>
        </w:rPr>
        <w:t>These sites are identified where all separations are reported to the Victorian Admitted Episode Dataset under elective admission type and where the majority of separations are aligned to surgical and procedural diagnosis related groups.</w:t>
      </w:r>
    </w:p>
    <w:p w14:paraId="524A75CC" w14:textId="2D4743BE" w:rsidR="00D55AFA" w:rsidRPr="000755AF" w:rsidRDefault="00D55AFA" w:rsidP="00D55AFA">
      <w:pPr>
        <w:pStyle w:val="Heading4"/>
        <w:rPr>
          <w:rFonts w:cs="Arial"/>
          <w:color w:val="000000" w:themeColor="text1"/>
          <w:sz w:val="21"/>
          <w:szCs w:val="21"/>
        </w:rPr>
      </w:pPr>
      <w:r w:rsidRPr="000755AF">
        <w:rPr>
          <w:rFonts w:cs="Arial"/>
          <w:color w:val="000000" w:themeColor="text1"/>
          <w:sz w:val="21"/>
          <w:szCs w:val="21"/>
        </w:rPr>
        <w:t>Early Parenting Centres</w:t>
      </w:r>
    </w:p>
    <w:p w14:paraId="4265C27B" w14:textId="77777777" w:rsidR="00D55AFA" w:rsidRPr="00EE4830" w:rsidRDefault="00D55AFA" w:rsidP="00D55AFA">
      <w:pPr>
        <w:pStyle w:val="Body"/>
        <w:rPr>
          <w:rFonts w:cs="Arial"/>
          <w:szCs w:val="21"/>
        </w:rPr>
      </w:pPr>
      <w:r w:rsidRPr="00EE4830">
        <w:rPr>
          <w:rFonts w:cs="Arial"/>
          <w:szCs w:val="21"/>
        </w:rPr>
        <w:t>Early parenting centres are sites that provide specialist support for families with children from birth and up to 4 years, delivering targeted services that aim to enhance the parent-child relationship.</w:t>
      </w:r>
    </w:p>
    <w:p w14:paraId="54E2CE49" w14:textId="77777777" w:rsidR="00D55AFA" w:rsidRPr="00EE4830" w:rsidRDefault="00D55AFA" w:rsidP="00D55AFA">
      <w:pPr>
        <w:pStyle w:val="Body"/>
        <w:rPr>
          <w:rFonts w:cs="Arial"/>
          <w:szCs w:val="21"/>
        </w:rPr>
      </w:pPr>
      <w:r w:rsidRPr="00EE4830">
        <w:rPr>
          <w:rFonts w:cs="Arial"/>
          <w:szCs w:val="21"/>
        </w:rPr>
        <w:t>Per the AIHW peer groups early parenting centres are identified where over 40% of separations are for patients aged 0–4. This group excludes Children’s hospitals which admit a greater number of children older than 0–4 and have wider casemixes.</w:t>
      </w:r>
    </w:p>
    <w:p w14:paraId="6A45768F" w14:textId="6ACDE28C" w:rsidR="00BF194A" w:rsidRPr="008E7073" w:rsidRDefault="00BF194A" w:rsidP="00BF194A">
      <w:pPr>
        <w:pStyle w:val="Heading2"/>
        <w:rPr>
          <w:rFonts w:cs="Arial"/>
        </w:rPr>
      </w:pPr>
      <w:bookmarkStart w:id="46" w:name="_Toc204251905"/>
      <w:r w:rsidRPr="008E7073">
        <w:rPr>
          <w:rFonts w:cs="Arial"/>
        </w:rPr>
        <w:t>Appendix 4: Key Characteristics of Victoria’s Health Service Site Roles</w:t>
      </w:r>
      <w:bookmarkEnd w:id="46"/>
    </w:p>
    <w:p w14:paraId="79076CC0" w14:textId="77777777" w:rsidR="00BF194A" w:rsidRPr="008E7073" w:rsidRDefault="00BF194A" w:rsidP="00BF194A">
      <w:pPr>
        <w:rPr>
          <w:rFonts w:cs="Arial"/>
        </w:rPr>
      </w:pPr>
      <w:r w:rsidRPr="008E7073">
        <w:rPr>
          <w:rFonts w:cs="Arial"/>
        </w:rPr>
        <w:t>The high-level descriptions of different system roles are outlined below. These are based on activity data from the 2023-24 financial year. Core components will be monitored and revised as health service site activity and population metrics change over time at Victoria’s health services sites.</w:t>
      </w:r>
    </w:p>
    <w:p w14:paraId="2CE40999" w14:textId="77777777" w:rsidR="00BF194A" w:rsidRPr="000755AF" w:rsidRDefault="00BF194A" w:rsidP="00BF194A">
      <w:pPr>
        <w:pStyle w:val="Body"/>
        <w:rPr>
          <w:rFonts w:cs="Arial"/>
          <w:szCs w:val="21"/>
        </w:rPr>
      </w:pPr>
      <w:r w:rsidRPr="000755AF">
        <w:rPr>
          <w:rFonts w:cs="Arial"/>
          <w:szCs w:val="21"/>
        </w:rPr>
        <w:t>It is recognised that no two health service sites are identical, given that health services tailor their service profiles to the unique demographics and health needs of local populations. As such, roles are based on average characteristics and recognise that within each role there will be nuanced variability specific to each health service site that cannot be captured within this Framework. As such, this Framework seeks to articulate high-level descriptions of the types of system roles active in the service system and the types of services consumers can expect receive at their local health service site.</w:t>
      </w:r>
    </w:p>
    <w:p w14:paraId="5F1B8655" w14:textId="77777777" w:rsidR="00BF194A" w:rsidRPr="008E7073" w:rsidRDefault="00BF194A" w:rsidP="00BF194A">
      <w:pPr>
        <w:pStyle w:val="Body"/>
        <w:rPr>
          <w:rFonts w:cs="Arial"/>
        </w:rPr>
      </w:pPr>
    </w:p>
    <w:p w14:paraId="3532E88E" w14:textId="77777777" w:rsidR="00BF194A" w:rsidRPr="00436837" w:rsidRDefault="00BF194A" w:rsidP="00BF194A">
      <w:pPr>
        <w:pStyle w:val="Caption"/>
        <w:keepNext/>
        <w:keepLines/>
        <w:rPr>
          <w:rFonts w:cs="Arial"/>
          <w:b/>
          <w:bCs/>
          <w:i w:val="0"/>
          <w:iCs w:val="0"/>
          <w:color w:val="000000" w:themeColor="text1"/>
          <w:kern w:val="24"/>
          <w:sz w:val="21"/>
          <w:szCs w:val="21"/>
        </w:rPr>
      </w:pPr>
      <w:r w:rsidRPr="00436837">
        <w:rPr>
          <w:rFonts w:cs="Arial"/>
          <w:b/>
          <w:bCs/>
          <w:i w:val="0"/>
          <w:iCs w:val="0"/>
          <w:color w:val="000000" w:themeColor="text1"/>
          <w:sz w:val="21"/>
          <w:szCs w:val="21"/>
        </w:rPr>
        <w:lastRenderedPageBreak/>
        <w:t xml:space="preserve">Table </w:t>
      </w:r>
      <w:r w:rsidRPr="00436837">
        <w:rPr>
          <w:rFonts w:cs="Arial"/>
          <w:b/>
          <w:bCs/>
          <w:i w:val="0"/>
          <w:iCs w:val="0"/>
          <w:color w:val="000000" w:themeColor="text1"/>
          <w:sz w:val="21"/>
          <w:szCs w:val="21"/>
        </w:rPr>
        <w:fldChar w:fldCharType="begin"/>
      </w:r>
      <w:r w:rsidRPr="00436837">
        <w:rPr>
          <w:rFonts w:cs="Arial"/>
          <w:b/>
          <w:bCs/>
          <w:i w:val="0"/>
          <w:iCs w:val="0"/>
          <w:color w:val="000000" w:themeColor="text1"/>
          <w:sz w:val="21"/>
          <w:szCs w:val="21"/>
        </w:rPr>
        <w:instrText xml:space="preserve"> SEQ Table \* ARABIC </w:instrText>
      </w:r>
      <w:r w:rsidRPr="00436837">
        <w:rPr>
          <w:rFonts w:cs="Arial"/>
          <w:b/>
          <w:bCs/>
          <w:i w:val="0"/>
          <w:iCs w:val="0"/>
          <w:color w:val="000000" w:themeColor="text1"/>
          <w:sz w:val="21"/>
          <w:szCs w:val="21"/>
        </w:rPr>
        <w:fldChar w:fldCharType="separate"/>
      </w:r>
      <w:r w:rsidRPr="00436837">
        <w:rPr>
          <w:rFonts w:cs="Arial"/>
          <w:b/>
          <w:bCs/>
          <w:i w:val="0"/>
          <w:iCs w:val="0"/>
          <w:noProof/>
          <w:color w:val="000000" w:themeColor="text1"/>
          <w:sz w:val="21"/>
          <w:szCs w:val="21"/>
        </w:rPr>
        <w:t>3</w:t>
      </w:r>
      <w:r w:rsidRPr="00436837">
        <w:rPr>
          <w:rFonts w:cs="Arial"/>
          <w:b/>
          <w:bCs/>
          <w:i w:val="0"/>
          <w:iCs w:val="0"/>
          <w:color w:val="000000" w:themeColor="text1"/>
          <w:sz w:val="21"/>
          <w:szCs w:val="21"/>
        </w:rPr>
        <w:fldChar w:fldCharType="end"/>
      </w:r>
      <w:r w:rsidRPr="00436837">
        <w:rPr>
          <w:rFonts w:cs="Arial"/>
          <w:b/>
          <w:bCs/>
          <w:i w:val="0"/>
          <w:iCs w:val="0"/>
          <w:color w:val="000000" w:themeColor="text1"/>
          <w:sz w:val="21"/>
          <w:szCs w:val="21"/>
        </w:rPr>
        <w:t>. Small Hospitals and Health Centre site characteristics</w:t>
      </w:r>
    </w:p>
    <w:tbl>
      <w:tblPr>
        <w:tblW w:w="5000" w:type="pct"/>
        <w:tblLayout w:type="fixed"/>
        <w:tblCellMar>
          <w:left w:w="0" w:type="dxa"/>
          <w:right w:w="0" w:type="dxa"/>
        </w:tblCellMar>
        <w:tblLook w:val="0420" w:firstRow="1" w:lastRow="0" w:firstColumn="0" w:lastColumn="0" w:noHBand="0" w:noVBand="1"/>
      </w:tblPr>
      <w:tblGrid>
        <w:gridCol w:w="1022"/>
        <w:gridCol w:w="1754"/>
        <w:gridCol w:w="6522"/>
      </w:tblGrid>
      <w:tr w:rsidR="00BF194A" w:rsidRPr="008E7073" w14:paraId="78DA5594" w14:textId="77777777">
        <w:trPr>
          <w:trHeight w:val="201"/>
          <w:tblHeader/>
        </w:trPr>
        <w:tc>
          <w:tcPr>
            <w:tcW w:w="5000" w:type="pct"/>
            <w:gridSpan w:val="3"/>
            <w:tcBorders>
              <w:top w:val="single" w:sz="18" w:space="0" w:color="000000" w:themeColor="text1"/>
              <w:left w:val="nil"/>
              <w:bottom w:val="single" w:sz="18" w:space="0" w:color="000000" w:themeColor="text1"/>
              <w:right w:val="nil"/>
            </w:tcBorders>
            <w:shd w:val="clear" w:color="auto" w:fill="F2F2F2" w:themeFill="background1" w:themeFillShade="F2"/>
            <w:tcMar>
              <w:top w:w="72" w:type="dxa"/>
              <w:left w:w="144" w:type="dxa"/>
              <w:bottom w:w="72" w:type="dxa"/>
              <w:right w:w="144" w:type="dxa"/>
            </w:tcMar>
            <w:hideMark/>
          </w:tcPr>
          <w:p w14:paraId="7D106407" w14:textId="77777777" w:rsidR="00BF194A" w:rsidRPr="00436837" w:rsidRDefault="00BF194A">
            <w:pPr>
              <w:keepNext/>
              <w:keepLines/>
              <w:rPr>
                <w:rFonts w:cs="Arial"/>
                <w:b/>
                <w:szCs w:val="21"/>
                <w:lang w:eastAsia="en-AU"/>
              </w:rPr>
            </w:pPr>
            <w:r w:rsidRPr="00436837">
              <w:rPr>
                <w:rFonts w:cs="Arial"/>
                <w:b/>
                <w:szCs w:val="21"/>
                <w:lang w:eastAsia="en-AU"/>
              </w:rPr>
              <w:t>Description – Small Hospital and Health Centre Sites</w:t>
            </w:r>
          </w:p>
        </w:tc>
      </w:tr>
      <w:tr w:rsidR="00BF194A" w:rsidRPr="008E7073" w14:paraId="278C9942" w14:textId="77777777">
        <w:trPr>
          <w:trHeight w:val="1246"/>
        </w:trPr>
        <w:tc>
          <w:tcPr>
            <w:tcW w:w="550" w:type="pct"/>
            <w:tcBorders>
              <w:top w:val="single" w:sz="18" w:space="0" w:color="000000" w:themeColor="text1"/>
              <w:left w:val="nil"/>
              <w:bottom w:val="single" w:sz="4" w:space="0" w:color="auto"/>
              <w:right w:val="nil"/>
            </w:tcBorders>
            <w:tcMar>
              <w:top w:w="72" w:type="dxa"/>
              <w:left w:w="144" w:type="dxa"/>
              <w:bottom w:w="72" w:type="dxa"/>
              <w:right w:w="144" w:type="dxa"/>
            </w:tcMar>
            <w:vAlign w:val="center"/>
            <w:hideMark/>
          </w:tcPr>
          <w:p w14:paraId="6B12047A" w14:textId="77777777" w:rsidR="00BF194A" w:rsidRPr="008E7073" w:rsidRDefault="00BF194A">
            <w:pPr>
              <w:keepNext/>
              <w:keepLines/>
              <w:rPr>
                <w:rFonts w:cs="Arial"/>
                <w:sz w:val="20"/>
                <w:szCs w:val="18"/>
                <w:lang w:eastAsia="en-AU"/>
              </w:rPr>
            </w:pPr>
            <w:r w:rsidRPr="008E7073">
              <w:rPr>
                <w:rFonts w:cs="Arial"/>
                <w:noProof/>
                <w:sz w:val="20"/>
                <w:szCs w:val="18"/>
                <w:lang w:eastAsia="en-AU"/>
              </w:rPr>
              <w:drawing>
                <wp:inline distT="0" distB="0" distL="0" distR="0" wp14:anchorId="29BAF255" wp14:editId="255DBFCF">
                  <wp:extent cx="485775" cy="485775"/>
                  <wp:effectExtent l="0" t="0" r="9525" b="0"/>
                  <wp:docPr id="670226010" name="Graphic 6702260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226010" name="Graphic 670226010">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5775" cy="485775"/>
                          </a:xfrm>
                          <a:prstGeom prst="rect">
                            <a:avLst/>
                          </a:prstGeom>
                        </pic:spPr>
                      </pic:pic>
                    </a:graphicData>
                  </a:graphic>
                </wp:inline>
              </w:drawing>
            </w:r>
          </w:p>
        </w:tc>
        <w:tc>
          <w:tcPr>
            <w:tcW w:w="943" w:type="pct"/>
            <w:tcBorders>
              <w:top w:val="single" w:sz="18" w:space="0" w:color="000000" w:themeColor="text1"/>
              <w:left w:val="nil"/>
              <w:bottom w:val="single" w:sz="4" w:space="0" w:color="auto"/>
              <w:right w:val="nil"/>
            </w:tcBorders>
            <w:tcMar>
              <w:top w:w="72" w:type="dxa"/>
              <w:left w:w="144" w:type="dxa"/>
              <w:bottom w:w="72" w:type="dxa"/>
              <w:right w:w="144" w:type="dxa"/>
            </w:tcMar>
            <w:vAlign w:val="center"/>
            <w:hideMark/>
          </w:tcPr>
          <w:p w14:paraId="2D42A3F3" w14:textId="77777777" w:rsidR="00BF194A" w:rsidRPr="008E7073" w:rsidRDefault="00BF194A">
            <w:pPr>
              <w:keepNext/>
              <w:keepLines/>
              <w:rPr>
                <w:rFonts w:cs="Arial"/>
                <w:b/>
                <w:bCs/>
                <w:color w:val="365F91" w:themeColor="accent1" w:themeShade="BF"/>
                <w:sz w:val="20"/>
                <w:szCs w:val="18"/>
                <w:lang w:eastAsia="en-AU"/>
              </w:rPr>
            </w:pPr>
            <w:r w:rsidRPr="008E7073">
              <w:rPr>
                <w:rFonts w:cs="Arial"/>
                <w:b/>
                <w:bCs/>
                <w:color w:val="365F91" w:themeColor="accent1" w:themeShade="BF"/>
                <w:sz w:val="20"/>
                <w:szCs w:val="18"/>
                <w:lang w:eastAsia="en-AU"/>
              </w:rPr>
              <w:t>Service Profile</w:t>
            </w:r>
          </w:p>
        </w:tc>
        <w:tc>
          <w:tcPr>
            <w:tcW w:w="3507" w:type="pct"/>
            <w:tcBorders>
              <w:top w:val="single" w:sz="18" w:space="0" w:color="000000" w:themeColor="text1"/>
              <w:left w:val="nil"/>
              <w:bottom w:val="single" w:sz="4" w:space="0" w:color="auto"/>
              <w:right w:val="nil"/>
            </w:tcBorders>
            <w:tcMar>
              <w:top w:w="72" w:type="dxa"/>
              <w:left w:w="144" w:type="dxa"/>
              <w:bottom w:w="72" w:type="dxa"/>
              <w:right w:w="144" w:type="dxa"/>
            </w:tcMar>
            <w:vAlign w:val="center"/>
          </w:tcPr>
          <w:p w14:paraId="70985CD8" w14:textId="77777777" w:rsidR="00BF194A" w:rsidRPr="008E7073" w:rsidRDefault="00BF194A">
            <w:pPr>
              <w:pStyle w:val="Plan-Dots-paragraphbefore"/>
              <w:keepLines/>
              <w:rPr>
                <w:rFonts w:ascii="Arial" w:hAnsi="Arial" w:cs="Arial"/>
                <w:sz w:val="18"/>
                <w:szCs w:val="18"/>
                <w:lang w:eastAsia="en-AU"/>
              </w:rPr>
            </w:pPr>
            <w:r w:rsidRPr="008E7073">
              <w:rPr>
                <w:rFonts w:ascii="Arial" w:hAnsi="Arial" w:cs="Arial"/>
                <w:sz w:val="18"/>
                <w:szCs w:val="18"/>
                <w:lang w:eastAsia="en-AU"/>
              </w:rPr>
              <w:t>Typical types of services include, but are not limited to:</w:t>
            </w:r>
          </w:p>
          <w:p w14:paraId="202EB3D2" w14:textId="77777777" w:rsidR="00BF194A" w:rsidRPr="008E7073" w:rsidRDefault="00BF194A">
            <w:pPr>
              <w:pStyle w:val="PlanXXSpecial-Appendix4figuredots"/>
              <w:keepNext/>
              <w:keepLines/>
              <w:rPr>
                <w:rFonts w:ascii="Arial" w:hAnsi="Arial" w:cs="Arial"/>
                <w:sz w:val="18"/>
                <w:szCs w:val="18"/>
              </w:rPr>
            </w:pPr>
            <w:r w:rsidRPr="008E7073">
              <w:rPr>
                <w:rFonts w:ascii="Arial" w:hAnsi="Arial" w:cs="Arial"/>
                <w:sz w:val="18"/>
                <w:szCs w:val="18"/>
              </w:rPr>
              <w:t>primary care</w:t>
            </w:r>
          </w:p>
          <w:p w14:paraId="3AB541C0" w14:textId="77777777" w:rsidR="00BF194A" w:rsidRPr="008E7073" w:rsidRDefault="00BF194A">
            <w:pPr>
              <w:pStyle w:val="PlanXXSpecial-Appendix4figuredots"/>
              <w:keepNext/>
              <w:keepLines/>
              <w:rPr>
                <w:rFonts w:ascii="Arial" w:hAnsi="Arial" w:cs="Arial"/>
                <w:sz w:val="18"/>
                <w:szCs w:val="18"/>
              </w:rPr>
            </w:pPr>
            <w:r w:rsidRPr="008E7073">
              <w:rPr>
                <w:rFonts w:ascii="Arial" w:hAnsi="Arial" w:cs="Arial"/>
                <w:sz w:val="18"/>
                <w:szCs w:val="18"/>
              </w:rPr>
              <w:t>primary mental health</w:t>
            </w:r>
          </w:p>
          <w:p w14:paraId="56A84102" w14:textId="77777777" w:rsidR="00BF194A" w:rsidRPr="008E7073" w:rsidRDefault="00BF194A">
            <w:pPr>
              <w:pStyle w:val="PlanXXSpecial-Appendix4figuredots"/>
              <w:keepNext/>
              <w:keepLines/>
              <w:rPr>
                <w:rFonts w:ascii="Arial" w:hAnsi="Arial" w:cs="Arial"/>
                <w:sz w:val="18"/>
                <w:szCs w:val="18"/>
              </w:rPr>
            </w:pPr>
            <w:r w:rsidRPr="008E7073">
              <w:rPr>
                <w:rFonts w:ascii="Arial" w:hAnsi="Arial" w:cs="Arial"/>
                <w:sz w:val="18"/>
                <w:szCs w:val="18"/>
              </w:rPr>
              <w:t>community health</w:t>
            </w:r>
          </w:p>
          <w:p w14:paraId="0FD2D6E6" w14:textId="77777777" w:rsidR="00BF194A" w:rsidRPr="008E7073" w:rsidRDefault="00BF194A">
            <w:pPr>
              <w:pStyle w:val="PlanXXSpecial-Appendix4figuredots"/>
              <w:keepNext/>
              <w:keepLines/>
              <w:rPr>
                <w:rFonts w:ascii="Arial" w:hAnsi="Arial" w:cs="Arial"/>
                <w:sz w:val="18"/>
                <w:szCs w:val="18"/>
              </w:rPr>
            </w:pPr>
            <w:r w:rsidRPr="008E7073">
              <w:rPr>
                <w:rFonts w:ascii="Arial" w:hAnsi="Arial" w:cs="Arial"/>
                <w:sz w:val="18"/>
                <w:szCs w:val="18"/>
              </w:rPr>
              <w:t>aged care</w:t>
            </w:r>
          </w:p>
          <w:p w14:paraId="268B01FC" w14:textId="77777777" w:rsidR="00BF194A" w:rsidRPr="008E7073" w:rsidRDefault="00BF194A">
            <w:pPr>
              <w:pStyle w:val="PlanXXSpecial-Appendix4figuredots"/>
              <w:keepNext/>
              <w:keepLines/>
              <w:rPr>
                <w:rFonts w:ascii="Arial" w:hAnsi="Arial" w:cs="Arial"/>
                <w:sz w:val="18"/>
                <w:szCs w:val="18"/>
              </w:rPr>
            </w:pPr>
            <w:r w:rsidRPr="008E7073">
              <w:rPr>
                <w:rFonts w:ascii="Arial" w:hAnsi="Arial" w:cs="Arial"/>
                <w:sz w:val="18"/>
                <w:szCs w:val="18"/>
              </w:rPr>
              <w:t>community AOD services</w:t>
            </w:r>
          </w:p>
          <w:p w14:paraId="3DD7DE83" w14:textId="77777777" w:rsidR="00BF194A" w:rsidRPr="008E7073" w:rsidRDefault="00BF194A">
            <w:pPr>
              <w:pStyle w:val="PlanXXSpecial-Appendix4figuredots"/>
              <w:keepNext/>
              <w:keepLines/>
              <w:rPr>
                <w:rFonts w:ascii="Arial" w:hAnsi="Arial" w:cs="Arial"/>
                <w:sz w:val="18"/>
                <w:szCs w:val="18"/>
              </w:rPr>
            </w:pPr>
            <w:r w:rsidRPr="008E7073">
              <w:rPr>
                <w:rFonts w:ascii="Arial" w:hAnsi="Arial" w:cs="Arial"/>
                <w:sz w:val="18"/>
                <w:szCs w:val="18"/>
              </w:rPr>
              <w:t>public sector residential aged care</w:t>
            </w:r>
          </w:p>
          <w:p w14:paraId="1D8029C0" w14:textId="77777777" w:rsidR="00BF194A" w:rsidRPr="008E7073" w:rsidRDefault="00BF194A">
            <w:pPr>
              <w:pStyle w:val="PlanXXSpecial-Appendix4figuredots"/>
              <w:keepNext/>
              <w:keepLines/>
              <w:rPr>
                <w:rFonts w:ascii="Arial" w:hAnsi="Arial" w:cs="Arial"/>
                <w:sz w:val="18"/>
                <w:szCs w:val="18"/>
              </w:rPr>
            </w:pPr>
            <w:r w:rsidRPr="008E7073">
              <w:rPr>
                <w:rFonts w:ascii="Arial" w:hAnsi="Arial" w:cs="Arial"/>
                <w:sz w:val="18"/>
                <w:szCs w:val="18"/>
              </w:rPr>
              <w:t>non</w:t>
            </w:r>
            <w:r w:rsidRPr="008E7073">
              <w:rPr>
                <w:rFonts w:ascii="Arial" w:hAnsi="Arial" w:cs="Arial"/>
                <w:sz w:val="18"/>
                <w:szCs w:val="18"/>
              </w:rPr>
              <w:noBreakHyphen/>
              <w:t>acute overnight care (transitional care, geriatric management, respite)</w:t>
            </w:r>
          </w:p>
          <w:p w14:paraId="58CE5C47" w14:textId="77777777" w:rsidR="00BF194A" w:rsidRPr="008E7073" w:rsidRDefault="00BF194A">
            <w:pPr>
              <w:pStyle w:val="PlanXXSpecial-Appendix4figuredots"/>
              <w:keepNext/>
              <w:keepLines/>
              <w:rPr>
                <w:rFonts w:ascii="Arial" w:hAnsi="Arial" w:cs="Arial"/>
                <w:sz w:val="18"/>
                <w:szCs w:val="18"/>
              </w:rPr>
            </w:pPr>
            <w:r w:rsidRPr="008E7073">
              <w:rPr>
                <w:rFonts w:ascii="Arial" w:hAnsi="Arial" w:cs="Arial"/>
                <w:sz w:val="18"/>
                <w:szCs w:val="18"/>
              </w:rPr>
              <w:t>may support pregnancy care in conjunction with other network health services</w:t>
            </w:r>
          </w:p>
          <w:p w14:paraId="7FB6EC1A" w14:textId="77777777" w:rsidR="00BF194A" w:rsidRPr="008E7073" w:rsidRDefault="00BF194A">
            <w:pPr>
              <w:pStyle w:val="PlanXXSpecial-Appendix4figuredots"/>
              <w:keepNext/>
              <w:keepLines/>
              <w:rPr>
                <w:rFonts w:ascii="Arial" w:hAnsi="Arial" w:cs="Arial"/>
                <w:sz w:val="18"/>
                <w:szCs w:val="18"/>
              </w:rPr>
            </w:pPr>
            <w:r w:rsidRPr="008E7073">
              <w:rPr>
                <w:rFonts w:ascii="Arial" w:hAnsi="Arial" w:cs="Arial"/>
                <w:sz w:val="18"/>
                <w:szCs w:val="18"/>
              </w:rPr>
              <w:t>may have a limited hours urgent care service, which may leverage the VVED for virtual secondary consult</w:t>
            </w:r>
          </w:p>
        </w:tc>
      </w:tr>
      <w:tr w:rsidR="00BF194A" w:rsidRPr="008E7073" w14:paraId="1FFB1589" w14:textId="77777777">
        <w:trPr>
          <w:trHeight w:val="1231"/>
        </w:trPr>
        <w:tc>
          <w:tcPr>
            <w:tcW w:w="550" w:type="pct"/>
            <w:tcBorders>
              <w:top w:val="single" w:sz="4" w:space="0" w:color="auto"/>
              <w:left w:val="nil"/>
              <w:bottom w:val="single" w:sz="4" w:space="0" w:color="auto"/>
              <w:right w:val="nil"/>
            </w:tcBorders>
            <w:tcMar>
              <w:top w:w="72" w:type="dxa"/>
              <w:left w:w="144" w:type="dxa"/>
              <w:bottom w:w="72" w:type="dxa"/>
              <w:right w:w="144" w:type="dxa"/>
            </w:tcMar>
            <w:vAlign w:val="center"/>
          </w:tcPr>
          <w:p w14:paraId="57E03D89" w14:textId="77777777" w:rsidR="00BF194A" w:rsidRPr="008E7073" w:rsidRDefault="00BF194A">
            <w:pPr>
              <w:keepNext/>
              <w:keepLines/>
              <w:rPr>
                <w:rFonts w:cs="Arial"/>
                <w:noProof/>
                <w:sz w:val="20"/>
                <w:szCs w:val="18"/>
                <w:lang w:eastAsia="en-AU"/>
              </w:rPr>
            </w:pPr>
            <w:r w:rsidRPr="008E7073">
              <w:rPr>
                <w:rFonts w:cs="Arial"/>
                <w:noProof/>
                <w:sz w:val="20"/>
                <w:szCs w:val="18"/>
                <w:lang w:eastAsia="en-AU"/>
              </w:rPr>
              <w:drawing>
                <wp:inline distT="0" distB="0" distL="0" distR="0" wp14:anchorId="131647F4" wp14:editId="18943574">
                  <wp:extent cx="475488" cy="475488"/>
                  <wp:effectExtent l="0" t="0" r="0" b="1270"/>
                  <wp:docPr id="680050278"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278" name="Graphic 2">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480114" cy="480114"/>
                          </a:xfrm>
                          <a:prstGeom prst="rect">
                            <a:avLst/>
                          </a:prstGeom>
                        </pic:spPr>
                      </pic:pic>
                    </a:graphicData>
                  </a:graphic>
                </wp:inline>
              </w:drawing>
            </w:r>
          </w:p>
        </w:tc>
        <w:tc>
          <w:tcPr>
            <w:tcW w:w="943" w:type="pct"/>
            <w:tcBorders>
              <w:top w:val="single" w:sz="4" w:space="0" w:color="auto"/>
              <w:left w:val="nil"/>
              <w:bottom w:val="single" w:sz="4" w:space="0" w:color="auto"/>
              <w:right w:val="nil"/>
            </w:tcBorders>
            <w:tcMar>
              <w:top w:w="72" w:type="dxa"/>
              <w:left w:w="144" w:type="dxa"/>
              <w:bottom w:w="72" w:type="dxa"/>
              <w:right w:w="144" w:type="dxa"/>
            </w:tcMar>
            <w:vAlign w:val="center"/>
          </w:tcPr>
          <w:p w14:paraId="50A59253" w14:textId="77777777" w:rsidR="00BF194A" w:rsidRPr="008E7073" w:rsidRDefault="00BF194A">
            <w:pPr>
              <w:keepNext/>
              <w:keepLines/>
              <w:rPr>
                <w:rFonts w:cs="Arial"/>
                <w:b/>
                <w:bCs/>
                <w:color w:val="365F91" w:themeColor="accent1" w:themeShade="BF"/>
                <w:sz w:val="20"/>
                <w:szCs w:val="18"/>
                <w:lang w:eastAsia="en-AU"/>
              </w:rPr>
            </w:pPr>
            <w:r w:rsidRPr="008E7073">
              <w:rPr>
                <w:rFonts w:cs="Arial"/>
                <w:b/>
                <w:bCs/>
                <w:color w:val="365F91" w:themeColor="accent1" w:themeShade="BF"/>
                <w:sz w:val="20"/>
                <w:szCs w:val="18"/>
                <w:lang w:eastAsia="en-AU"/>
              </w:rPr>
              <w:t>Primary &amp; Aged Care</w:t>
            </w:r>
          </w:p>
        </w:tc>
        <w:tc>
          <w:tcPr>
            <w:tcW w:w="3507" w:type="pct"/>
            <w:tcBorders>
              <w:top w:val="single" w:sz="4" w:space="0" w:color="auto"/>
              <w:left w:val="nil"/>
              <w:bottom w:val="single" w:sz="4" w:space="0" w:color="auto"/>
              <w:right w:val="nil"/>
            </w:tcBorders>
            <w:tcMar>
              <w:top w:w="72" w:type="dxa"/>
              <w:left w:w="144" w:type="dxa"/>
              <w:bottom w:w="72" w:type="dxa"/>
              <w:right w:w="144" w:type="dxa"/>
            </w:tcMar>
            <w:vAlign w:val="center"/>
          </w:tcPr>
          <w:p w14:paraId="7AEB6705" w14:textId="77777777" w:rsidR="00BF194A" w:rsidRPr="008E7073" w:rsidRDefault="00BF194A">
            <w:pPr>
              <w:pStyle w:val="Body"/>
              <w:keepNext/>
              <w:keepLines/>
              <w:rPr>
                <w:rFonts w:cs="Arial"/>
                <w:sz w:val="18"/>
                <w:szCs w:val="18"/>
              </w:rPr>
            </w:pPr>
            <w:r w:rsidRPr="008E7073">
              <w:rPr>
                <w:rFonts w:cs="Arial"/>
                <w:b/>
                <w:bCs/>
                <w:sz w:val="18"/>
                <w:szCs w:val="18"/>
              </w:rPr>
              <w:t>Co-located Public Sector Residential Aged Care places:</w:t>
            </w:r>
            <w:r w:rsidRPr="008E7073">
              <w:rPr>
                <w:rFonts w:cs="Arial"/>
                <w:sz w:val="18"/>
                <w:szCs w:val="18"/>
              </w:rPr>
              <w:t xml:space="preserve"> 7+</w:t>
            </w:r>
          </w:p>
          <w:p w14:paraId="33DC2819" w14:textId="77777777" w:rsidR="00BF194A" w:rsidRPr="008E7073" w:rsidRDefault="00BF194A">
            <w:pPr>
              <w:pStyle w:val="Body"/>
              <w:keepNext/>
              <w:keepLines/>
              <w:spacing w:after="0"/>
              <w:rPr>
                <w:rFonts w:cs="Arial"/>
                <w:sz w:val="18"/>
                <w:szCs w:val="18"/>
              </w:rPr>
            </w:pPr>
            <w:r w:rsidRPr="008E7073">
              <w:rPr>
                <w:rFonts w:cs="Arial"/>
                <w:b/>
                <w:bCs/>
                <w:sz w:val="18"/>
                <w:szCs w:val="18"/>
              </w:rPr>
              <w:t>Primary health services:</w:t>
            </w:r>
            <w:r w:rsidRPr="008E7073">
              <w:rPr>
                <w:rFonts w:cs="Arial"/>
                <w:sz w:val="18"/>
                <w:szCs w:val="18"/>
              </w:rPr>
              <w:t xml:space="preserve"> mental health, community health, low risk maternity shared care, alcohol and other drug, limited access urgent care.</w:t>
            </w:r>
          </w:p>
        </w:tc>
      </w:tr>
      <w:tr w:rsidR="00BF194A" w:rsidRPr="008E7073" w14:paraId="0C8CC521" w14:textId="77777777">
        <w:trPr>
          <w:trHeight w:val="601"/>
        </w:trPr>
        <w:tc>
          <w:tcPr>
            <w:tcW w:w="550" w:type="pct"/>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7E75E30F" w14:textId="77777777" w:rsidR="00BF194A" w:rsidRPr="008E7073" w:rsidRDefault="00BF194A">
            <w:pPr>
              <w:keepNext/>
              <w:keepLines/>
              <w:rPr>
                <w:rFonts w:cs="Arial"/>
                <w:sz w:val="20"/>
                <w:szCs w:val="18"/>
                <w:lang w:eastAsia="en-AU"/>
              </w:rPr>
            </w:pPr>
            <w:r w:rsidRPr="008E7073">
              <w:rPr>
                <w:rFonts w:cs="Arial"/>
                <w:noProof/>
                <w:sz w:val="20"/>
                <w:szCs w:val="18"/>
                <w:lang w:eastAsia="en-AU"/>
              </w:rPr>
              <w:drawing>
                <wp:inline distT="0" distB="0" distL="0" distR="0" wp14:anchorId="3664A7A3" wp14:editId="08D36109">
                  <wp:extent cx="504749" cy="504749"/>
                  <wp:effectExtent l="0" t="0" r="0" b="0"/>
                  <wp:docPr id="1451084184"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84184" name="Graphic 1">
                            <a:extLst>
                              <a:ext uri="{C183D7F6-B498-43B3-948B-1728B52AA6E4}">
                                <adec:decorative xmlns:adec="http://schemas.microsoft.com/office/drawing/2017/decorative" val="1"/>
                              </a:ext>
                            </a:extLst>
                          </pic:cNvPr>
                          <pic:cNvPicPr/>
                        </pic:nvPicPr>
                        <pic:blipFill>
                          <a:blip r:embed="rId21">
                            <a:extLst>
                              <a:ext uri="{96DAC541-7B7A-43D3-8B79-37D633B846F1}">
                                <asvg:svgBlip xmlns:asvg="http://schemas.microsoft.com/office/drawing/2016/SVG/main" r:embed="rId22"/>
                              </a:ext>
                            </a:extLst>
                          </a:blip>
                          <a:stretch>
                            <a:fillRect/>
                          </a:stretch>
                        </pic:blipFill>
                        <pic:spPr>
                          <a:xfrm>
                            <a:off x="0" y="0"/>
                            <a:ext cx="508034" cy="508034"/>
                          </a:xfrm>
                          <a:prstGeom prst="rect">
                            <a:avLst/>
                          </a:prstGeom>
                        </pic:spPr>
                      </pic:pic>
                    </a:graphicData>
                  </a:graphic>
                </wp:inline>
              </w:drawing>
            </w:r>
          </w:p>
        </w:tc>
        <w:tc>
          <w:tcPr>
            <w:tcW w:w="943" w:type="pct"/>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0B94C2CB" w14:textId="77777777" w:rsidR="00BF194A" w:rsidRPr="008E7073" w:rsidRDefault="00BF194A">
            <w:pPr>
              <w:keepNext/>
              <w:keepLines/>
              <w:rPr>
                <w:rFonts w:cs="Arial"/>
                <w:b/>
                <w:bCs/>
                <w:color w:val="365F91" w:themeColor="accent1" w:themeShade="BF"/>
                <w:sz w:val="20"/>
                <w:szCs w:val="18"/>
                <w:lang w:eastAsia="en-AU"/>
              </w:rPr>
            </w:pPr>
            <w:r w:rsidRPr="008E7073">
              <w:rPr>
                <w:rFonts w:cs="Arial"/>
                <w:b/>
                <w:bCs/>
                <w:color w:val="365F91" w:themeColor="accent1" w:themeShade="BF"/>
                <w:sz w:val="20"/>
                <w:szCs w:val="18"/>
                <w:lang w:eastAsia="en-AU"/>
              </w:rPr>
              <w:t>Acute Care*</w:t>
            </w:r>
          </w:p>
        </w:tc>
        <w:tc>
          <w:tcPr>
            <w:tcW w:w="3507" w:type="pct"/>
            <w:tcBorders>
              <w:top w:val="single" w:sz="4" w:space="0" w:color="auto"/>
              <w:left w:val="nil"/>
              <w:bottom w:val="single" w:sz="4" w:space="0" w:color="auto"/>
              <w:right w:val="nil"/>
            </w:tcBorders>
            <w:tcMar>
              <w:top w:w="72" w:type="dxa"/>
              <w:left w:w="144" w:type="dxa"/>
              <w:bottom w:w="72" w:type="dxa"/>
              <w:right w:w="144" w:type="dxa"/>
            </w:tcMar>
            <w:vAlign w:val="center"/>
          </w:tcPr>
          <w:p w14:paraId="6501A176" w14:textId="46679EC1"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Median</w:t>
            </w:r>
            <w:r w:rsidRPr="008E7073">
              <w:rPr>
                <w:rFonts w:ascii="Arial" w:hAnsi="Arial" w:cs="Arial"/>
                <w:b/>
                <w:bCs/>
                <w:sz w:val="18"/>
                <w:szCs w:val="20"/>
                <w:vertAlign w:val="superscript"/>
              </w:rPr>
              <w:t>ⱡ</w:t>
            </w:r>
            <w:r w:rsidRPr="008E7073">
              <w:rPr>
                <w:rFonts w:ascii="Arial" w:hAnsi="Arial" w:cs="Arial"/>
                <w:b/>
                <w:bCs/>
                <w:sz w:val="18"/>
                <w:szCs w:val="20"/>
              </w:rPr>
              <w:t xml:space="preserve"> acut</w:t>
            </w:r>
            <w:r w:rsidR="003B2348">
              <w:rPr>
                <w:rFonts w:ascii="Arial" w:hAnsi="Arial" w:cs="Arial"/>
                <w:b/>
                <w:bCs/>
                <w:sz w:val="18"/>
                <w:szCs w:val="20"/>
              </w:rPr>
              <w:t>e</w:t>
            </w:r>
            <w:r w:rsidRPr="008E7073">
              <w:rPr>
                <w:rFonts w:ascii="Arial" w:hAnsi="Arial" w:cs="Arial"/>
                <w:b/>
                <w:bCs/>
                <w:sz w:val="18"/>
                <w:szCs w:val="20"/>
              </w:rPr>
              <w:t xml:space="preserve"> separations per annum*:</w:t>
            </w:r>
            <w:r w:rsidRPr="008E7073">
              <w:rPr>
                <w:rFonts w:ascii="Arial" w:hAnsi="Arial" w:cs="Arial"/>
                <w:sz w:val="18"/>
                <w:szCs w:val="20"/>
              </w:rPr>
              <w:t xml:space="preserve"> 88</w:t>
            </w:r>
          </w:p>
          <w:p w14:paraId="0A9C2328" w14:textId="77777777" w:rsidR="00BF194A" w:rsidRPr="008E7073" w:rsidRDefault="00BF194A">
            <w:pPr>
              <w:pStyle w:val="PlanXXspecial-appendix4table"/>
              <w:keepNext/>
              <w:keepLines/>
              <w:rPr>
                <w:rFonts w:ascii="Arial" w:hAnsi="Arial" w:cs="Arial"/>
                <w:b/>
                <w:bCs/>
                <w:sz w:val="18"/>
                <w:szCs w:val="20"/>
              </w:rPr>
            </w:pPr>
            <w:r w:rsidRPr="008E7073">
              <w:rPr>
                <w:rFonts w:ascii="Arial" w:hAnsi="Arial" w:cs="Arial"/>
                <w:b/>
                <w:bCs/>
                <w:sz w:val="18"/>
                <w:szCs w:val="20"/>
              </w:rPr>
              <w:t>Median</w:t>
            </w:r>
            <w:r w:rsidRPr="008E7073">
              <w:rPr>
                <w:rFonts w:ascii="Arial" w:hAnsi="Arial" w:cs="Arial"/>
                <w:b/>
                <w:bCs/>
                <w:sz w:val="18"/>
                <w:szCs w:val="20"/>
                <w:vertAlign w:val="superscript"/>
              </w:rPr>
              <w:t>ⱡ</w:t>
            </w:r>
            <w:r w:rsidRPr="008E7073">
              <w:rPr>
                <w:rFonts w:ascii="Arial" w:hAnsi="Arial" w:cs="Arial"/>
                <w:b/>
                <w:bCs/>
                <w:sz w:val="18"/>
                <w:szCs w:val="20"/>
              </w:rPr>
              <w:t xml:space="preserve"> urgent &amp; emergency care presentations per annum: </w:t>
            </w:r>
            <w:r w:rsidRPr="008E7073">
              <w:rPr>
                <w:rFonts w:ascii="Arial" w:hAnsi="Arial" w:cs="Arial"/>
                <w:sz w:val="18"/>
                <w:szCs w:val="20"/>
              </w:rPr>
              <w:t>627</w:t>
            </w:r>
          </w:p>
          <w:p w14:paraId="22FD6F9A"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 xml:space="preserve">Median Diagnostic Related Groups (&gt;5 seps) per annum: </w:t>
            </w:r>
            <w:r w:rsidRPr="008E7073">
              <w:rPr>
                <w:rFonts w:ascii="Arial" w:hAnsi="Arial" w:cs="Arial"/>
                <w:sz w:val="18"/>
                <w:szCs w:val="20"/>
              </w:rPr>
              <w:t>1</w:t>
            </w:r>
          </w:p>
          <w:p w14:paraId="6FAF3804" w14:textId="77777777" w:rsidR="00BF194A" w:rsidRPr="008E7073" w:rsidRDefault="00BF194A">
            <w:pPr>
              <w:pStyle w:val="PlanXXspecial-appendix4table"/>
              <w:keepNext/>
              <w:keepLines/>
              <w:rPr>
                <w:rFonts w:ascii="Arial" w:hAnsi="Arial" w:cs="Arial"/>
                <w:b/>
                <w:bCs/>
                <w:sz w:val="18"/>
                <w:szCs w:val="20"/>
              </w:rPr>
            </w:pPr>
            <w:r w:rsidRPr="008E7073">
              <w:rPr>
                <w:rFonts w:ascii="Arial" w:hAnsi="Arial" w:cs="Arial"/>
                <w:b/>
                <w:bCs/>
                <w:sz w:val="18"/>
                <w:szCs w:val="20"/>
              </w:rPr>
              <w:t>Median Clinical Capability Levels:</w:t>
            </w:r>
          </w:p>
          <w:p w14:paraId="3004DFD3" w14:textId="77777777" w:rsidR="00BF194A" w:rsidRPr="008E7073" w:rsidRDefault="00BF194A">
            <w:pPr>
              <w:pStyle w:val="PlanXXspecial-appendix4table"/>
              <w:keepNext/>
              <w:keepLines/>
              <w:ind w:left="720"/>
              <w:rPr>
                <w:rFonts w:ascii="Arial" w:hAnsi="Arial" w:cs="Arial"/>
                <w:sz w:val="18"/>
                <w:szCs w:val="18"/>
              </w:rPr>
            </w:pPr>
            <w:r w:rsidRPr="008E7073">
              <w:rPr>
                <w:rFonts w:ascii="Arial" w:hAnsi="Arial" w:cs="Arial"/>
                <w:b/>
                <w:sz w:val="18"/>
                <w:szCs w:val="18"/>
              </w:rPr>
              <w:t>Adult Perioperative</w:t>
            </w:r>
            <w:r w:rsidRPr="008E7073">
              <w:rPr>
                <w:rFonts w:ascii="Arial" w:hAnsi="Arial" w:cs="Arial"/>
                <w:sz w:val="18"/>
                <w:szCs w:val="18"/>
              </w:rPr>
              <w:t xml:space="preserve"> – 1 (if service offered)</w:t>
            </w:r>
          </w:p>
          <w:p w14:paraId="460B6A8F"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Paediatric Perioperative</w:t>
            </w:r>
            <w:r w:rsidRPr="008E7073">
              <w:rPr>
                <w:rFonts w:ascii="Arial" w:hAnsi="Arial" w:cs="Arial"/>
                <w:sz w:val="18"/>
                <w:szCs w:val="20"/>
              </w:rPr>
              <w:t xml:space="preserve"> – typically not assessed</w:t>
            </w:r>
          </w:p>
          <w:p w14:paraId="3F03BFAC" w14:textId="77777777" w:rsidR="00BF194A" w:rsidRPr="008E7073" w:rsidRDefault="00BF194A">
            <w:pPr>
              <w:pStyle w:val="PlanXXspecial-appendix4table"/>
              <w:keepNext/>
              <w:keepLines/>
              <w:ind w:left="720"/>
              <w:rPr>
                <w:rFonts w:ascii="Arial" w:hAnsi="Arial" w:cs="Arial"/>
                <w:sz w:val="18"/>
                <w:szCs w:val="18"/>
              </w:rPr>
            </w:pPr>
            <w:r w:rsidRPr="008E7073">
              <w:rPr>
                <w:rFonts w:ascii="Arial" w:hAnsi="Arial" w:cs="Arial"/>
                <w:b/>
                <w:bCs/>
                <w:sz w:val="18"/>
                <w:szCs w:val="18"/>
              </w:rPr>
              <w:t>Maternity</w:t>
            </w:r>
            <w:r w:rsidRPr="008E7073">
              <w:rPr>
                <w:rFonts w:ascii="Arial" w:hAnsi="Arial" w:cs="Arial"/>
                <w:sz w:val="18"/>
                <w:szCs w:val="18"/>
              </w:rPr>
              <w:t xml:space="preserve"> – 1 (if service offered)</w:t>
            </w:r>
          </w:p>
          <w:p w14:paraId="0DDD0D84"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Newborn</w:t>
            </w:r>
            <w:r w:rsidRPr="008E7073">
              <w:rPr>
                <w:rFonts w:ascii="Arial" w:hAnsi="Arial" w:cs="Arial"/>
                <w:sz w:val="18"/>
                <w:szCs w:val="20"/>
              </w:rPr>
              <w:t xml:space="preserve"> - typically not assessed</w:t>
            </w:r>
          </w:p>
          <w:p w14:paraId="745C473C" w14:textId="77777777" w:rsidR="00BF194A" w:rsidRPr="008E7073" w:rsidRDefault="00BF194A">
            <w:pPr>
              <w:pStyle w:val="PlanXXspecial-appendix4table"/>
              <w:keepNext/>
              <w:keepLines/>
              <w:rPr>
                <w:rFonts w:ascii="Arial" w:hAnsi="Arial" w:cs="Arial"/>
                <w:b/>
                <w:bCs/>
                <w:sz w:val="18"/>
                <w:szCs w:val="20"/>
              </w:rPr>
            </w:pPr>
            <w:r w:rsidRPr="008E7073">
              <w:rPr>
                <w:rFonts w:ascii="Arial" w:hAnsi="Arial" w:cs="Arial"/>
                <w:b/>
                <w:bCs/>
                <w:sz w:val="18"/>
                <w:szCs w:val="20"/>
              </w:rPr>
              <w:t xml:space="preserve">Median ICU hours delivered per annum: </w:t>
            </w:r>
            <w:r w:rsidRPr="008E7073">
              <w:rPr>
                <w:rFonts w:ascii="Arial" w:hAnsi="Arial" w:cs="Arial"/>
                <w:sz w:val="18"/>
                <w:szCs w:val="20"/>
              </w:rPr>
              <w:t>0</w:t>
            </w:r>
          </w:p>
          <w:p w14:paraId="1325B12D" w14:textId="77777777" w:rsidR="00BF194A" w:rsidRPr="008E7073" w:rsidRDefault="00BF194A">
            <w:pPr>
              <w:pStyle w:val="PlanXXspecial-appendix4table"/>
              <w:keepNext/>
              <w:keepLines/>
              <w:rPr>
                <w:rFonts w:ascii="Arial" w:hAnsi="Arial" w:cs="Arial"/>
                <w:b/>
                <w:bCs/>
                <w:sz w:val="18"/>
                <w:szCs w:val="20"/>
              </w:rPr>
            </w:pPr>
            <w:r w:rsidRPr="008E7073">
              <w:rPr>
                <w:rFonts w:ascii="Arial" w:hAnsi="Arial" w:cs="Arial"/>
                <w:b/>
                <w:bCs/>
                <w:sz w:val="18"/>
                <w:szCs w:val="20"/>
              </w:rPr>
              <w:t xml:space="preserve">Median proportion of elective separations with NWAU&gt;4.0: </w:t>
            </w:r>
            <w:r w:rsidRPr="008E7073">
              <w:rPr>
                <w:rFonts w:ascii="Arial" w:hAnsi="Arial" w:cs="Arial"/>
                <w:sz w:val="18"/>
                <w:szCs w:val="20"/>
              </w:rPr>
              <w:t>N/A</w:t>
            </w:r>
            <w:r w:rsidRPr="008E7073">
              <w:rPr>
                <w:rFonts w:ascii="Arial" w:hAnsi="Arial" w:cs="Arial"/>
                <w:sz w:val="18"/>
                <w:szCs w:val="20"/>
                <w:vertAlign w:val="superscript"/>
              </w:rPr>
              <w:t>¥</w:t>
            </w:r>
          </w:p>
          <w:p w14:paraId="280ABFE0"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Median health service site beds:</w:t>
            </w:r>
            <w:r w:rsidRPr="008E7073">
              <w:rPr>
                <w:rFonts w:ascii="Arial" w:hAnsi="Arial" w:cs="Arial"/>
                <w:sz w:val="18"/>
                <w:szCs w:val="20"/>
              </w:rPr>
              <w:t xml:space="preserve"> 10</w:t>
            </w:r>
          </w:p>
          <w:p w14:paraId="3F6FB484"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 xml:space="preserve">Avg. length of stay for overnight/multiday care: </w:t>
            </w:r>
            <w:r w:rsidRPr="008E7073">
              <w:rPr>
                <w:rFonts w:ascii="Arial" w:hAnsi="Arial" w:cs="Arial"/>
                <w:sz w:val="18"/>
                <w:szCs w:val="20"/>
              </w:rPr>
              <w:t>7 days</w:t>
            </w:r>
          </w:p>
          <w:p w14:paraId="3B6CF203"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bCs/>
                <w:sz w:val="18"/>
                <w:szCs w:val="18"/>
              </w:rPr>
              <w:t>Avg. local</w:t>
            </w:r>
            <w:r w:rsidRPr="008E7073">
              <w:rPr>
                <w:rFonts w:ascii="Arial" w:hAnsi="Arial" w:cs="Arial"/>
                <w:b/>
                <w:sz w:val="18"/>
                <w:szCs w:val="18"/>
              </w:rPr>
              <w:t xml:space="preserve"> self-sufficiency for acute care:</w:t>
            </w:r>
            <w:r w:rsidRPr="008E7073">
              <w:rPr>
                <w:rFonts w:ascii="Arial" w:hAnsi="Arial" w:cs="Arial"/>
                <w:sz w:val="18"/>
                <w:szCs w:val="18"/>
              </w:rPr>
              <w:t xml:space="preserve"> 10%</w:t>
            </w:r>
          </w:p>
          <w:p w14:paraId="5D8D308F"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Medical practitioners/specialists:</w:t>
            </w:r>
            <w:r w:rsidRPr="008E7073">
              <w:rPr>
                <w:rFonts w:ascii="Arial" w:hAnsi="Arial" w:cs="Arial"/>
                <w:sz w:val="18"/>
                <w:szCs w:val="20"/>
              </w:rPr>
              <w:t xml:space="preserve"> usually Local GP on call</w:t>
            </w:r>
          </w:p>
        </w:tc>
      </w:tr>
      <w:tr w:rsidR="00BF194A" w:rsidRPr="008E7073" w14:paraId="01F62EF0" w14:textId="77777777">
        <w:trPr>
          <w:trHeight w:val="1489"/>
        </w:trPr>
        <w:tc>
          <w:tcPr>
            <w:tcW w:w="550" w:type="pct"/>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0F733B0A" w14:textId="77777777" w:rsidR="00BF194A" w:rsidRPr="008E7073" w:rsidRDefault="00BF194A">
            <w:pPr>
              <w:keepNext/>
              <w:keepLines/>
              <w:rPr>
                <w:rFonts w:cs="Arial"/>
                <w:sz w:val="20"/>
                <w:szCs w:val="18"/>
                <w:lang w:eastAsia="en-AU"/>
              </w:rPr>
            </w:pPr>
            <w:r w:rsidRPr="008E7073">
              <w:rPr>
                <w:rFonts w:cs="Arial"/>
                <w:noProof/>
                <w:sz w:val="20"/>
                <w:szCs w:val="18"/>
                <w:lang w:eastAsia="en-AU"/>
              </w:rPr>
              <w:drawing>
                <wp:inline distT="0" distB="0" distL="0" distR="0" wp14:anchorId="1C39A2FC" wp14:editId="303E4B18">
                  <wp:extent cx="477079" cy="477079"/>
                  <wp:effectExtent l="0" t="0" r="0" b="0"/>
                  <wp:docPr id="552684208" name="Graphic 5526842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684208" name="Graphic 552684208">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86216" cy="486216"/>
                          </a:xfrm>
                          <a:prstGeom prst="rect">
                            <a:avLst/>
                          </a:prstGeom>
                        </pic:spPr>
                      </pic:pic>
                    </a:graphicData>
                  </a:graphic>
                </wp:inline>
              </w:drawing>
            </w:r>
          </w:p>
        </w:tc>
        <w:tc>
          <w:tcPr>
            <w:tcW w:w="943" w:type="pct"/>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52AC9D03" w14:textId="77777777" w:rsidR="00BF194A" w:rsidRPr="008E7073" w:rsidRDefault="00BF194A">
            <w:pPr>
              <w:keepNext/>
              <w:keepLines/>
              <w:rPr>
                <w:rFonts w:cs="Arial"/>
                <w:b/>
                <w:bCs/>
                <w:color w:val="365F91" w:themeColor="accent1" w:themeShade="BF"/>
                <w:sz w:val="20"/>
                <w:szCs w:val="18"/>
                <w:lang w:eastAsia="en-AU"/>
              </w:rPr>
            </w:pPr>
            <w:r w:rsidRPr="008E7073">
              <w:rPr>
                <w:rFonts w:cs="Arial"/>
                <w:b/>
                <w:bCs/>
                <w:color w:val="365F91" w:themeColor="accent1" w:themeShade="BF"/>
                <w:sz w:val="20"/>
                <w:szCs w:val="18"/>
                <w:lang w:eastAsia="en-AU"/>
              </w:rPr>
              <w:t>Catchment Community</w:t>
            </w:r>
          </w:p>
        </w:tc>
        <w:tc>
          <w:tcPr>
            <w:tcW w:w="3507" w:type="pct"/>
            <w:tcBorders>
              <w:top w:val="single" w:sz="4" w:space="0" w:color="auto"/>
              <w:left w:val="nil"/>
              <w:bottom w:val="single" w:sz="4" w:space="0" w:color="auto"/>
              <w:right w:val="nil"/>
            </w:tcBorders>
            <w:tcMar>
              <w:top w:w="72" w:type="dxa"/>
              <w:left w:w="144" w:type="dxa"/>
              <w:bottom w:w="72" w:type="dxa"/>
              <w:right w:w="144" w:type="dxa"/>
            </w:tcMar>
            <w:vAlign w:val="center"/>
          </w:tcPr>
          <w:p w14:paraId="431066A3"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 xml:space="preserve">Median number of LGAs serviced (&gt;50 seps): </w:t>
            </w:r>
            <w:r w:rsidRPr="008E7073">
              <w:rPr>
                <w:rFonts w:ascii="Arial" w:hAnsi="Arial" w:cs="Arial"/>
                <w:sz w:val="18"/>
                <w:szCs w:val="20"/>
              </w:rPr>
              <w:t>1</w:t>
            </w:r>
          </w:p>
          <w:p w14:paraId="673E604B" w14:textId="77777777" w:rsidR="00BF194A" w:rsidRPr="008E7073" w:rsidRDefault="00BF194A">
            <w:pPr>
              <w:pStyle w:val="PlanXXspecial-appendix4table"/>
              <w:keepNext/>
              <w:keepLines/>
              <w:rPr>
                <w:rFonts w:ascii="Arial" w:hAnsi="Arial" w:cs="Arial"/>
                <w:b/>
                <w:bCs/>
                <w:sz w:val="18"/>
                <w:szCs w:val="20"/>
              </w:rPr>
            </w:pPr>
            <w:r w:rsidRPr="008E7073">
              <w:rPr>
                <w:rFonts w:ascii="Arial" w:hAnsi="Arial" w:cs="Arial"/>
                <w:b/>
                <w:bCs/>
                <w:sz w:val="18"/>
                <w:szCs w:val="20"/>
              </w:rPr>
              <w:t>Community description</w:t>
            </w:r>
          </w:p>
          <w:p w14:paraId="5F00F85B"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Population size:</w:t>
            </w:r>
            <w:r w:rsidRPr="008E7073">
              <w:rPr>
                <w:rFonts w:ascii="Arial" w:hAnsi="Arial" w:cs="Arial"/>
                <w:sz w:val="18"/>
                <w:szCs w:val="20"/>
              </w:rPr>
              <w:t xml:space="preserve"> 1,000–7,500 people</w:t>
            </w:r>
          </w:p>
          <w:p w14:paraId="4344B677"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sz w:val="18"/>
                <w:szCs w:val="20"/>
              </w:rPr>
              <w:t>Age profile:</w:t>
            </w:r>
            <w:r w:rsidRPr="008E7073">
              <w:rPr>
                <w:rFonts w:ascii="Arial" w:hAnsi="Arial" w:cs="Arial"/>
                <w:sz w:val="18"/>
                <w:szCs w:val="20"/>
              </w:rPr>
              <w:t xml:space="preserve"> older than Victorian average distribution</w:t>
            </w:r>
          </w:p>
          <w:p w14:paraId="3E18D34A"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sz w:val="18"/>
                <w:szCs w:val="20"/>
              </w:rPr>
              <w:t>Geographies:</w:t>
            </w:r>
            <w:r w:rsidRPr="008E7073">
              <w:rPr>
                <w:rFonts w:ascii="Arial" w:hAnsi="Arial" w:cs="Arial"/>
                <w:sz w:val="18"/>
                <w:szCs w:val="20"/>
              </w:rPr>
              <w:t xml:space="preserve"> Inner or Outer Remoteness areas of rural Victoria</w:t>
            </w:r>
          </w:p>
          <w:p w14:paraId="596E927A"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Average travel time to complex health service site care:</w:t>
            </w:r>
            <w:r w:rsidRPr="008E7073">
              <w:rPr>
                <w:rFonts w:ascii="Arial" w:hAnsi="Arial" w:cs="Arial"/>
                <w:sz w:val="18"/>
                <w:szCs w:val="20"/>
              </w:rPr>
              <w:t xml:space="preserve"> &gt; 60 min</w:t>
            </w:r>
          </w:p>
        </w:tc>
      </w:tr>
    </w:tbl>
    <w:p w14:paraId="5C734DC8" w14:textId="77777777" w:rsidR="00BF194A" w:rsidRPr="008E7073" w:rsidRDefault="00BF194A" w:rsidP="00BF194A">
      <w:pPr>
        <w:pStyle w:val="Body"/>
        <w:keepNext/>
        <w:keepLines/>
        <w:rPr>
          <w:rFonts w:cs="Arial"/>
          <w:i/>
          <w:sz w:val="16"/>
          <w:szCs w:val="16"/>
        </w:rPr>
      </w:pPr>
      <w:r w:rsidRPr="008E7073">
        <w:rPr>
          <w:rFonts w:cs="Arial"/>
          <w:i/>
          <w:iCs/>
          <w:sz w:val="16"/>
          <w:szCs w:val="16"/>
        </w:rPr>
        <w:t xml:space="preserve">* Excludes sub-acute and mental health admitted activity; </w:t>
      </w:r>
      <w:r w:rsidRPr="008E7073">
        <w:rPr>
          <w:rFonts w:cs="Arial"/>
          <w:i/>
          <w:iCs/>
          <w:sz w:val="16"/>
          <w:szCs w:val="16"/>
          <w:vertAlign w:val="superscript"/>
        </w:rPr>
        <w:t>ⱡ</w:t>
      </w:r>
      <w:r w:rsidRPr="008E7073">
        <w:rPr>
          <w:rFonts w:cs="Arial"/>
          <w:i/>
          <w:iCs/>
          <w:sz w:val="16"/>
          <w:szCs w:val="16"/>
        </w:rPr>
        <w:t xml:space="preserve">Median values are rounded to nearest 100; </w:t>
      </w:r>
      <w:r w:rsidRPr="008E7073">
        <w:rPr>
          <w:rFonts w:cs="Arial"/>
          <w:sz w:val="18"/>
          <w:vertAlign w:val="superscript"/>
        </w:rPr>
        <w:t>¥</w:t>
      </w:r>
      <w:r w:rsidRPr="008E7073">
        <w:rPr>
          <w:rFonts w:cs="Arial"/>
          <w:i/>
          <w:iCs/>
          <w:sz w:val="16"/>
          <w:szCs w:val="16"/>
        </w:rPr>
        <w:t>Do not receive activity-based funding</w:t>
      </w:r>
      <w:r w:rsidRPr="008E7073">
        <w:rPr>
          <w:rFonts w:cs="Arial"/>
          <w:i/>
          <w:sz w:val="16"/>
          <w:szCs w:val="16"/>
        </w:rPr>
        <w:br w:type="page"/>
      </w:r>
    </w:p>
    <w:p w14:paraId="4E7BCC06" w14:textId="77777777" w:rsidR="00BF194A" w:rsidRPr="008E7073" w:rsidRDefault="00BF194A" w:rsidP="00BF194A">
      <w:pPr>
        <w:pStyle w:val="Caption"/>
        <w:keepNext/>
        <w:keepLines/>
        <w:rPr>
          <w:rFonts w:cs="Arial"/>
        </w:rPr>
      </w:pPr>
      <w:r w:rsidRPr="008E7073">
        <w:rPr>
          <w:rFonts w:cs="Arial"/>
        </w:rPr>
        <w:lastRenderedPageBreak/>
        <w:t xml:space="preserve">Table </w:t>
      </w:r>
      <w:r w:rsidRPr="008E7073">
        <w:rPr>
          <w:rFonts w:cs="Arial"/>
        </w:rPr>
        <w:fldChar w:fldCharType="begin"/>
      </w:r>
      <w:r w:rsidRPr="008E7073">
        <w:rPr>
          <w:rFonts w:cs="Arial"/>
        </w:rPr>
        <w:instrText xml:space="preserve"> SEQ Table \* ARABIC </w:instrText>
      </w:r>
      <w:r w:rsidRPr="008E7073">
        <w:rPr>
          <w:rFonts w:cs="Arial"/>
        </w:rPr>
        <w:fldChar w:fldCharType="separate"/>
      </w:r>
      <w:r w:rsidRPr="008E7073">
        <w:rPr>
          <w:rFonts w:cs="Arial"/>
          <w:noProof/>
        </w:rPr>
        <w:t>4</w:t>
      </w:r>
      <w:r w:rsidRPr="008E7073">
        <w:rPr>
          <w:rFonts w:cs="Arial"/>
        </w:rPr>
        <w:fldChar w:fldCharType="end"/>
      </w:r>
      <w:r w:rsidRPr="008E7073">
        <w:rPr>
          <w:rFonts w:cs="Arial"/>
        </w:rPr>
        <w:t>. District and Community Hospital service site characteristics</w:t>
      </w:r>
    </w:p>
    <w:tbl>
      <w:tblPr>
        <w:tblW w:w="5000" w:type="pct"/>
        <w:tblLayout w:type="fixed"/>
        <w:tblCellMar>
          <w:left w:w="0" w:type="dxa"/>
          <w:right w:w="0" w:type="dxa"/>
        </w:tblCellMar>
        <w:tblLook w:val="0420" w:firstRow="1" w:lastRow="0" w:firstColumn="0" w:lastColumn="0" w:noHBand="0" w:noVBand="1"/>
      </w:tblPr>
      <w:tblGrid>
        <w:gridCol w:w="1022"/>
        <w:gridCol w:w="1754"/>
        <w:gridCol w:w="6522"/>
      </w:tblGrid>
      <w:tr w:rsidR="00BF194A" w:rsidRPr="008E7073" w14:paraId="3064741F" w14:textId="77777777">
        <w:trPr>
          <w:trHeight w:val="201"/>
          <w:tblHeader/>
        </w:trPr>
        <w:tc>
          <w:tcPr>
            <w:tcW w:w="5000" w:type="pct"/>
            <w:gridSpan w:val="3"/>
            <w:tcBorders>
              <w:top w:val="single" w:sz="18" w:space="0" w:color="000000" w:themeColor="text1"/>
              <w:left w:val="nil"/>
              <w:bottom w:val="single" w:sz="18" w:space="0" w:color="000000" w:themeColor="text1"/>
              <w:right w:val="nil"/>
            </w:tcBorders>
            <w:shd w:val="clear" w:color="auto" w:fill="F2F2F2" w:themeFill="background1" w:themeFillShade="F2"/>
            <w:tcMar>
              <w:top w:w="72" w:type="dxa"/>
              <w:left w:w="144" w:type="dxa"/>
              <w:bottom w:w="72" w:type="dxa"/>
              <w:right w:w="144" w:type="dxa"/>
            </w:tcMar>
            <w:hideMark/>
          </w:tcPr>
          <w:p w14:paraId="7E4ECEE7" w14:textId="77777777" w:rsidR="00BF194A" w:rsidRPr="008E7073" w:rsidRDefault="00BF194A">
            <w:pPr>
              <w:keepNext/>
              <w:keepLines/>
              <w:rPr>
                <w:rFonts w:cs="Arial"/>
                <w:b/>
                <w:lang w:eastAsia="en-AU"/>
              </w:rPr>
            </w:pPr>
            <w:r w:rsidRPr="008E7073">
              <w:rPr>
                <w:rFonts w:cs="Arial"/>
                <w:b/>
                <w:lang w:eastAsia="en-AU"/>
              </w:rPr>
              <w:t>Description - District &amp; Community Hospital Sites</w:t>
            </w:r>
          </w:p>
        </w:tc>
      </w:tr>
      <w:tr w:rsidR="00BF194A" w:rsidRPr="008E7073" w14:paraId="080F559D" w14:textId="77777777">
        <w:trPr>
          <w:trHeight w:val="708"/>
        </w:trPr>
        <w:tc>
          <w:tcPr>
            <w:tcW w:w="550" w:type="pct"/>
            <w:tcBorders>
              <w:top w:val="single" w:sz="18" w:space="0" w:color="000000" w:themeColor="text1"/>
              <w:left w:val="nil"/>
              <w:bottom w:val="single" w:sz="4" w:space="0" w:color="auto"/>
              <w:right w:val="nil"/>
            </w:tcBorders>
            <w:tcMar>
              <w:top w:w="72" w:type="dxa"/>
              <w:left w:w="144" w:type="dxa"/>
              <w:bottom w:w="72" w:type="dxa"/>
              <w:right w:w="144" w:type="dxa"/>
            </w:tcMar>
            <w:hideMark/>
          </w:tcPr>
          <w:p w14:paraId="18C79B03" w14:textId="77777777" w:rsidR="00BF194A" w:rsidRPr="008E7073" w:rsidRDefault="00BF194A">
            <w:pPr>
              <w:keepNext/>
              <w:keepLines/>
              <w:rPr>
                <w:rFonts w:cs="Arial"/>
                <w:lang w:eastAsia="en-AU"/>
              </w:rPr>
            </w:pPr>
            <w:r w:rsidRPr="008E7073">
              <w:rPr>
                <w:rFonts w:cs="Arial"/>
                <w:noProof/>
                <w:lang w:eastAsia="en-AU"/>
              </w:rPr>
              <w:drawing>
                <wp:inline distT="0" distB="0" distL="0" distR="0" wp14:anchorId="12876F93" wp14:editId="60D3B3BB">
                  <wp:extent cx="485775" cy="485775"/>
                  <wp:effectExtent l="0" t="0" r="9525" b="0"/>
                  <wp:docPr id="1074581812" name="Graphic 10745818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581812" name="Graphic 1074581812">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5775" cy="485775"/>
                          </a:xfrm>
                          <a:prstGeom prst="rect">
                            <a:avLst/>
                          </a:prstGeom>
                        </pic:spPr>
                      </pic:pic>
                    </a:graphicData>
                  </a:graphic>
                </wp:inline>
              </w:drawing>
            </w:r>
          </w:p>
        </w:tc>
        <w:tc>
          <w:tcPr>
            <w:tcW w:w="943" w:type="pct"/>
            <w:tcBorders>
              <w:top w:val="single" w:sz="18" w:space="0" w:color="000000" w:themeColor="text1"/>
              <w:left w:val="nil"/>
              <w:bottom w:val="single" w:sz="4" w:space="0" w:color="auto"/>
              <w:right w:val="nil"/>
            </w:tcBorders>
            <w:tcMar>
              <w:top w:w="72" w:type="dxa"/>
              <w:left w:w="144" w:type="dxa"/>
              <w:bottom w:w="72" w:type="dxa"/>
              <w:right w:w="144" w:type="dxa"/>
            </w:tcMar>
            <w:hideMark/>
          </w:tcPr>
          <w:p w14:paraId="3C927C16" w14:textId="77777777" w:rsidR="00BF194A" w:rsidRPr="008E7073" w:rsidRDefault="00BF194A">
            <w:pPr>
              <w:keepNext/>
              <w:keepLines/>
              <w:rPr>
                <w:rFonts w:cs="Arial"/>
                <w:b/>
                <w:bCs/>
                <w:color w:val="365F91" w:themeColor="accent1" w:themeShade="BF"/>
                <w:lang w:eastAsia="en-AU"/>
              </w:rPr>
            </w:pPr>
            <w:r w:rsidRPr="008E7073">
              <w:rPr>
                <w:rFonts w:cs="Arial"/>
                <w:b/>
                <w:bCs/>
                <w:color w:val="365F91" w:themeColor="accent1" w:themeShade="BF"/>
                <w:lang w:eastAsia="en-AU"/>
              </w:rPr>
              <w:t>Service Profile</w:t>
            </w:r>
          </w:p>
        </w:tc>
        <w:tc>
          <w:tcPr>
            <w:tcW w:w="3507" w:type="pct"/>
            <w:tcBorders>
              <w:top w:val="single" w:sz="18" w:space="0" w:color="000000" w:themeColor="text1"/>
              <w:left w:val="nil"/>
              <w:bottom w:val="single" w:sz="4" w:space="0" w:color="auto"/>
              <w:right w:val="nil"/>
            </w:tcBorders>
            <w:tcMar>
              <w:top w:w="72" w:type="dxa"/>
              <w:left w:w="144" w:type="dxa"/>
              <w:bottom w:w="72" w:type="dxa"/>
              <w:right w:w="144" w:type="dxa"/>
            </w:tcMar>
          </w:tcPr>
          <w:p w14:paraId="5AAF2218" w14:textId="77777777" w:rsidR="00BF194A" w:rsidRPr="008E7073" w:rsidRDefault="00BF194A">
            <w:pPr>
              <w:pStyle w:val="PlanXXSpecial-Appendix4figuredots"/>
              <w:keepNext/>
              <w:keepLines/>
              <w:numPr>
                <w:ilvl w:val="0"/>
                <w:numId w:val="0"/>
              </w:numPr>
              <w:ind w:left="357" w:hanging="357"/>
              <w:rPr>
                <w:rFonts w:ascii="Arial" w:hAnsi="Arial" w:cs="Arial"/>
                <w:sz w:val="18"/>
                <w:szCs w:val="18"/>
              </w:rPr>
            </w:pPr>
            <w:r w:rsidRPr="008E7073">
              <w:rPr>
                <w:rFonts w:ascii="Arial" w:hAnsi="Arial" w:cs="Arial"/>
                <w:kern w:val="2"/>
                <w:sz w:val="18"/>
                <w14:ligatures w14:val="standardContextual"/>
              </w:rPr>
              <w:t>Typical types of services per Small Health service site facilities plus:</w:t>
            </w:r>
          </w:p>
          <w:p w14:paraId="0BBBE536" w14:textId="77777777" w:rsidR="00BF194A" w:rsidRPr="008E7073" w:rsidRDefault="00BF194A">
            <w:pPr>
              <w:pStyle w:val="PlanXXSpecial-Appendix4figuredots"/>
              <w:keepNext/>
              <w:keepLines/>
              <w:spacing w:after="0"/>
              <w:ind w:left="714" w:hanging="357"/>
              <w:rPr>
                <w:rFonts w:ascii="Arial" w:hAnsi="Arial" w:cs="Arial"/>
                <w:sz w:val="18"/>
                <w:szCs w:val="18"/>
              </w:rPr>
            </w:pPr>
            <w:r w:rsidRPr="008E7073">
              <w:rPr>
                <w:rFonts w:ascii="Arial" w:hAnsi="Arial" w:cs="Arial"/>
                <w:sz w:val="18"/>
                <w:szCs w:val="18"/>
              </w:rPr>
              <w:t>urgent care service (limited hours or 24/7), which may leverage the VVED for virtual secondary consult, and seek consultation with local General Practitioner</w:t>
            </w:r>
          </w:p>
          <w:p w14:paraId="42551113" w14:textId="77777777" w:rsidR="00BF194A" w:rsidRPr="008E7073" w:rsidRDefault="00BF194A">
            <w:pPr>
              <w:pStyle w:val="PlanXXSpecial-Appendix4figuredots"/>
              <w:keepNext/>
              <w:keepLines/>
              <w:spacing w:after="0"/>
              <w:ind w:left="714" w:hanging="357"/>
              <w:rPr>
                <w:rFonts w:ascii="Arial" w:hAnsi="Arial" w:cs="Arial"/>
                <w:sz w:val="18"/>
                <w:szCs w:val="18"/>
              </w:rPr>
            </w:pPr>
            <w:r w:rsidRPr="008E7073">
              <w:rPr>
                <w:rFonts w:ascii="Arial" w:hAnsi="Arial" w:cs="Arial"/>
                <w:sz w:val="18"/>
                <w:szCs w:val="18"/>
              </w:rPr>
              <w:t>ambulatory subacute and ambulatory acute medical services, i.e., maintenance haemodialysis</w:t>
            </w:r>
          </w:p>
          <w:p w14:paraId="547CD22E" w14:textId="77777777" w:rsidR="00BF194A" w:rsidRPr="008E7073" w:rsidRDefault="00BF194A">
            <w:pPr>
              <w:pStyle w:val="PlanXXSpecial-Appendix4figuredots"/>
              <w:keepNext/>
              <w:keepLines/>
              <w:spacing w:after="0"/>
              <w:ind w:left="714" w:hanging="357"/>
              <w:rPr>
                <w:rFonts w:ascii="Arial" w:hAnsi="Arial" w:cs="Arial"/>
                <w:sz w:val="18"/>
                <w:szCs w:val="18"/>
              </w:rPr>
            </w:pPr>
            <w:r w:rsidRPr="008E7073">
              <w:rPr>
                <w:rFonts w:ascii="Arial" w:hAnsi="Arial" w:cs="Arial"/>
                <w:sz w:val="18"/>
                <w:szCs w:val="18"/>
              </w:rPr>
              <w:t xml:space="preserve">same day low complexity procedures, i.e., endoscopy, cataracts, general surgery, as described in the Perioperative Service Capability Framework </w:t>
            </w:r>
          </w:p>
          <w:p w14:paraId="5398051A" w14:textId="77777777" w:rsidR="00BF194A" w:rsidRPr="008E7073" w:rsidRDefault="00BF194A">
            <w:pPr>
              <w:pStyle w:val="PlanXXSpecial-Appendix4figuredots"/>
              <w:keepNext/>
              <w:keepLines/>
              <w:spacing w:after="0"/>
              <w:ind w:left="714" w:hanging="357"/>
              <w:rPr>
                <w:rFonts w:ascii="Arial" w:hAnsi="Arial" w:cs="Arial"/>
                <w:sz w:val="18"/>
                <w:szCs w:val="18"/>
              </w:rPr>
            </w:pPr>
            <w:r w:rsidRPr="008E7073">
              <w:rPr>
                <w:rFonts w:ascii="Arial" w:hAnsi="Arial" w:cs="Arial"/>
                <w:sz w:val="18"/>
                <w:szCs w:val="18"/>
              </w:rPr>
              <w:t>may provide low risk pregnancy and newborn care</w:t>
            </w:r>
          </w:p>
          <w:p w14:paraId="0A08A0D9" w14:textId="77777777" w:rsidR="00BF194A" w:rsidRPr="008E7073" w:rsidRDefault="00BF194A">
            <w:pPr>
              <w:pStyle w:val="PlanXXSpecial-Appendix4figuredots"/>
              <w:keepNext/>
              <w:keepLines/>
              <w:spacing w:after="0"/>
              <w:ind w:left="714" w:hanging="357"/>
              <w:rPr>
                <w:rFonts w:ascii="Arial" w:hAnsi="Arial" w:cs="Arial"/>
              </w:rPr>
            </w:pPr>
            <w:r w:rsidRPr="008E7073">
              <w:rPr>
                <w:rFonts w:ascii="Arial" w:hAnsi="Arial" w:cs="Arial"/>
                <w:sz w:val="18"/>
                <w:szCs w:val="18"/>
              </w:rPr>
              <w:t>nonacute overnight care potentially providing maintenance care.</w:t>
            </w:r>
          </w:p>
        </w:tc>
      </w:tr>
      <w:tr w:rsidR="00BF194A" w:rsidRPr="008E7073" w14:paraId="7EBB5182" w14:textId="77777777">
        <w:trPr>
          <w:trHeight w:val="1553"/>
        </w:trPr>
        <w:tc>
          <w:tcPr>
            <w:tcW w:w="550" w:type="pct"/>
            <w:tcBorders>
              <w:top w:val="single" w:sz="4" w:space="0" w:color="auto"/>
              <w:left w:val="nil"/>
              <w:bottom w:val="single" w:sz="4" w:space="0" w:color="auto"/>
              <w:right w:val="nil"/>
            </w:tcBorders>
            <w:tcMar>
              <w:top w:w="72" w:type="dxa"/>
              <w:left w:w="144" w:type="dxa"/>
              <w:bottom w:w="72" w:type="dxa"/>
              <w:right w:w="144" w:type="dxa"/>
            </w:tcMar>
          </w:tcPr>
          <w:p w14:paraId="4F542507" w14:textId="77777777" w:rsidR="00BF194A" w:rsidRPr="008E7073" w:rsidRDefault="00BF194A">
            <w:pPr>
              <w:keepNext/>
              <w:keepLines/>
              <w:rPr>
                <w:rFonts w:cs="Arial"/>
                <w:noProof/>
                <w:lang w:eastAsia="en-AU"/>
              </w:rPr>
            </w:pPr>
            <w:r w:rsidRPr="008E7073">
              <w:rPr>
                <w:rFonts w:cs="Arial"/>
                <w:noProof/>
                <w:lang w:eastAsia="en-AU"/>
              </w:rPr>
              <w:drawing>
                <wp:inline distT="0" distB="0" distL="0" distR="0" wp14:anchorId="77249441" wp14:editId="34A2E8DF">
                  <wp:extent cx="475488" cy="475488"/>
                  <wp:effectExtent l="0" t="0" r="0" b="1270"/>
                  <wp:docPr id="1159841464"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841464" name="Graphic 2">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480114" cy="480114"/>
                          </a:xfrm>
                          <a:prstGeom prst="rect">
                            <a:avLst/>
                          </a:prstGeom>
                        </pic:spPr>
                      </pic:pic>
                    </a:graphicData>
                  </a:graphic>
                </wp:inline>
              </w:drawing>
            </w:r>
          </w:p>
        </w:tc>
        <w:tc>
          <w:tcPr>
            <w:tcW w:w="943" w:type="pct"/>
            <w:tcBorders>
              <w:top w:val="single" w:sz="4" w:space="0" w:color="auto"/>
              <w:left w:val="nil"/>
              <w:bottom w:val="single" w:sz="4" w:space="0" w:color="auto"/>
              <w:right w:val="nil"/>
            </w:tcBorders>
            <w:tcMar>
              <w:top w:w="72" w:type="dxa"/>
              <w:left w:w="144" w:type="dxa"/>
              <w:bottom w:w="72" w:type="dxa"/>
              <w:right w:w="144" w:type="dxa"/>
            </w:tcMar>
          </w:tcPr>
          <w:p w14:paraId="6A1D51D6" w14:textId="77777777" w:rsidR="00BF194A" w:rsidRPr="008E7073" w:rsidRDefault="00BF194A">
            <w:pPr>
              <w:keepNext/>
              <w:keepLines/>
              <w:rPr>
                <w:rFonts w:cs="Arial"/>
                <w:b/>
                <w:bCs/>
                <w:color w:val="365F91" w:themeColor="accent1" w:themeShade="BF"/>
                <w:lang w:eastAsia="en-AU"/>
              </w:rPr>
            </w:pPr>
            <w:r w:rsidRPr="008E7073">
              <w:rPr>
                <w:rFonts w:cs="Arial"/>
                <w:b/>
                <w:bCs/>
                <w:color w:val="365F91" w:themeColor="accent1" w:themeShade="BF"/>
                <w:lang w:eastAsia="en-AU"/>
              </w:rPr>
              <w:t>Primary &amp; Aged Care</w:t>
            </w:r>
          </w:p>
        </w:tc>
        <w:tc>
          <w:tcPr>
            <w:tcW w:w="3507" w:type="pct"/>
            <w:tcBorders>
              <w:top w:val="single" w:sz="4" w:space="0" w:color="auto"/>
              <w:left w:val="nil"/>
              <w:bottom w:val="single" w:sz="4" w:space="0" w:color="auto"/>
              <w:right w:val="nil"/>
            </w:tcBorders>
            <w:tcMar>
              <w:top w:w="72" w:type="dxa"/>
              <w:left w:w="144" w:type="dxa"/>
              <w:bottom w:w="72" w:type="dxa"/>
              <w:right w:w="144" w:type="dxa"/>
            </w:tcMar>
          </w:tcPr>
          <w:p w14:paraId="01D965D9" w14:textId="77777777" w:rsidR="00BF194A" w:rsidRPr="008E7073" w:rsidRDefault="00BF194A">
            <w:pPr>
              <w:pStyle w:val="Body"/>
              <w:keepNext/>
              <w:keepLines/>
              <w:rPr>
                <w:rFonts w:cs="Arial"/>
                <w:sz w:val="18"/>
                <w:szCs w:val="18"/>
              </w:rPr>
            </w:pPr>
            <w:r w:rsidRPr="008E7073">
              <w:rPr>
                <w:rFonts w:cs="Arial"/>
                <w:b/>
                <w:bCs/>
                <w:sz w:val="18"/>
                <w:szCs w:val="18"/>
              </w:rPr>
              <w:t>Co-located Public Sector Residential Aged Care places:</w:t>
            </w:r>
            <w:r w:rsidRPr="008E7073">
              <w:rPr>
                <w:rFonts w:cs="Arial"/>
                <w:b/>
                <w:sz w:val="18"/>
                <w:szCs w:val="18"/>
              </w:rPr>
              <w:t xml:space="preserve"> </w:t>
            </w:r>
            <w:r w:rsidRPr="008E7073">
              <w:rPr>
                <w:rFonts w:cs="Arial"/>
                <w:sz w:val="18"/>
                <w:szCs w:val="18"/>
              </w:rPr>
              <w:t>12 or more</w:t>
            </w:r>
          </w:p>
          <w:p w14:paraId="0C24E6EA" w14:textId="77777777" w:rsidR="00BF194A" w:rsidRPr="008E7073" w:rsidRDefault="00BF194A">
            <w:pPr>
              <w:pStyle w:val="Body"/>
              <w:keepNext/>
              <w:keepLines/>
              <w:rPr>
                <w:rFonts w:cs="Arial"/>
                <w:sz w:val="18"/>
                <w:szCs w:val="18"/>
              </w:rPr>
            </w:pPr>
            <w:r w:rsidRPr="008E7073">
              <w:rPr>
                <w:rFonts w:cs="Arial"/>
                <w:b/>
                <w:bCs/>
                <w:sz w:val="18"/>
                <w:szCs w:val="18"/>
              </w:rPr>
              <w:t>Primary health services:</w:t>
            </w:r>
            <w:r w:rsidRPr="008E7073">
              <w:rPr>
                <w:rFonts w:cs="Arial"/>
                <w:sz w:val="18"/>
                <w:szCs w:val="18"/>
              </w:rPr>
              <w:t xml:space="preserve"> mental health, community health, low risk maternity shared care, alcohol and other drug, limited access urgent care, virtual secondary consult through the Victorian Virtual Emergency Department.</w:t>
            </w:r>
          </w:p>
        </w:tc>
      </w:tr>
      <w:tr w:rsidR="00BF194A" w:rsidRPr="008E7073" w14:paraId="2836DB75" w14:textId="77777777">
        <w:trPr>
          <w:trHeight w:val="1553"/>
        </w:trPr>
        <w:tc>
          <w:tcPr>
            <w:tcW w:w="550" w:type="pct"/>
            <w:tcBorders>
              <w:top w:val="single" w:sz="4" w:space="0" w:color="auto"/>
              <w:left w:val="nil"/>
              <w:bottom w:val="single" w:sz="4" w:space="0" w:color="auto"/>
              <w:right w:val="nil"/>
            </w:tcBorders>
            <w:tcMar>
              <w:top w:w="72" w:type="dxa"/>
              <w:left w:w="144" w:type="dxa"/>
              <w:bottom w:w="72" w:type="dxa"/>
              <w:right w:w="144" w:type="dxa"/>
            </w:tcMar>
            <w:hideMark/>
          </w:tcPr>
          <w:p w14:paraId="7332E964" w14:textId="77777777" w:rsidR="00BF194A" w:rsidRPr="008E7073" w:rsidRDefault="00BF194A">
            <w:pPr>
              <w:keepNext/>
              <w:keepLines/>
              <w:rPr>
                <w:rFonts w:cs="Arial"/>
                <w:lang w:eastAsia="en-AU"/>
              </w:rPr>
            </w:pPr>
            <w:r w:rsidRPr="008E7073">
              <w:rPr>
                <w:rFonts w:cs="Arial"/>
                <w:noProof/>
                <w:lang w:eastAsia="en-AU"/>
              </w:rPr>
              <w:drawing>
                <wp:inline distT="0" distB="0" distL="0" distR="0" wp14:anchorId="4A650D16" wp14:editId="68CC87FA">
                  <wp:extent cx="504749" cy="504749"/>
                  <wp:effectExtent l="0" t="0" r="0" b="0"/>
                  <wp:docPr id="161195222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52221" name="Graphic 1">
                            <a:extLst>
                              <a:ext uri="{C183D7F6-B498-43B3-948B-1728B52AA6E4}">
                                <adec:decorative xmlns:adec="http://schemas.microsoft.com/office/drawing/2017/decorative" val="1"/>
                              </a:ext>
                            </a:extLst>
                          </pic:cNvPr>
                          <pic:cNvPicPr/>
                        </pic:nvPicPr>
                        <pic:blipFill>
                          <a:blip r:embed="rId21">
                            <a:extLst>
                              <a:ext uri="{96DAC541-7B7A-43D3-8B79-37D633B846F1}">
                                <asvg:svgBlip xmlns:asvg="http://schemas.microsoft.com/office/drawing/2016/SVG/main" r:embed="rId22"/>
                              </a:ext>
                            </a:extLst>
                          </a:blip>
                          <a:stretch>
                            <a:fillRect/>
                          </a:stretch>
                        </pic:blipFill>
                        <pic:spPr>
                          <a:xfrm>
                            <a:off x="0" y="0"/>
                            <a:ext cx="508034" cy="508034"/>
                          </a:xfrm>
                          <a:prstGeom prst="rect">
                            <a:avLst/>
                          </a:prstGeom>
                        </pic:spPr>
                      </pic:pic>
                    </a:graphicData>
                  </a:graphic>
                </wp:inline>
              </w:drawing>
            </w:r>
          </w:p>
        </w:tc>
        <w:tc>
          <w:tcPr>
            <w:tcW w:w="943" w:type="pct"/>
            <w:tcBorders>
              <w:top w:val="single" w:sz="4" w:space="0" w:color="auto"/>
              <w:left w:val="nil"/>
              <w:bottom w:val="single" w:sz="4" w:space="0" w:color="auto"/>
              <w:right w:val="nil"/>
            </w:tcBorders>
            <w:tcMar>
              <w:top w:w="72" w:type="dxa"/>
              <w:left w:w="144" w:type="dxa"/>
              <w:bottom w:w="72" w:type="dxa"/>
              <w:right w:w="144" w:type="dxa"/>
            </w:tcMar>
            <w:hideMark/>
          </w:tcPr>
          <w:p w14:paraId="03309818" w14:textId="77777777" w:rsidR="00BF194A" w:rsidRPr="008E7073" w:rsidRDefault="00BF194A">
            <w:pPr>
              <w:keepNext/>
              <w:keepLines/>
              <w:rPr>
                <w:rFonts w:cs="Arial"/>
                <w:b/>
                <w:bCs/>
                <w:color w:val="365F91" w:themeColor="accent1" w:themeShade="BF"/>
                <w:lang w:eastAsia="en-AU"/>
              </w:rPr>
            </w:pPr>
            <w:r w:rsidRPr="008E7073">
              <w:rPr>
                <w:rFonts w:cs="Arial"/>
                <w:b/>
                <w:bCs/>
                <w:color w:val="365F91" w:themeColor="accent1" w:themeShade="BF"/>
                <w:lang w:eastAsia="en-AU"/>
              </w:rPr>
              <w:t>Acute Care*</w:t>
            </w:r>
          </w:p>
        </w:tc>
        <w:tc>
          <w:tcPr>
            <w:tcW w:w="3507" w:type="pct"/>
            <w:tcBorders>
              <w:top w:val="single" w:sz="4" w:space="0" w:color="auto"/>
              <w:left w:val="nil"/>
              <w:bottom w:val="single" w:sz="4" w:space="0" w:color="auto"/>
              <w:right w:val="nil"/>
            </w:tcBorders>
            <w:tcMar>
              <w:top w:w="72" w:type="dxa"/>
              <w:left w:w="144" w:type="dxa"/>
              <w:bottom w:w="72" w:type="dxa"/>
              <w:right w:w="144" w:type="dxa"/>
            </w:tcMar>
          </w:tcPr>
          <w:p w14:paraId="7A478072"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Median</w:t>
            </w:r>
            <w:r w:rsidRPr="008E7073">
              <w:rPr>
                <w:rFonts w:ascii="Arial" w:hAnsi="Arial" w:cs="Arial"/>
                <w:b/>
                <w:bCs/>
                <w:sz w:val="18"/>
                <w:szCs w:val="20"/>
                <w:vertAlign w:val="superscript"/>
              </w:rPr>
              <w:t>ⱡ</w:t>
            </w:r>
            <w:r w:rsidRPr="008E7073">
              <w:rPr>
                <w:rFonts w:ascii="Arial" w:hAnsi="Arial" w:cs="Arial"/>
                <w:b/>
                <w:bCs/>
                <w:sz w:val="18"/>
                <w:szCs w:val="20"/>
              </w:rPr>
              <w:t xml:space="preserve"> acute separations*:</w:t>
            </w:r>
            <w:r w:rsidRPr="008E7073">
              <w:rPr>
                <w:rFonts w:ascii="Arial" w:hAnsi="Arial" w:cs="Arial"/>
                <w:sz w:val="18"/>
                <w:szCs w:val="20"/>
              </w:rPr>
              <w:t xml:space="preserve"> 2,630</w:t>
            </w:r>
          </w:p>
          <w:p w14:paraId="24178A4E"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Median</w:t>
            </w:r>
            <w:r w:rsidRPr="008E7073">
              <w:rPr>
                <w:rFonts w:ascii="Arial" w:hAnsi="Arial" w:cs="Arial"/>
                <w:b/>
                <w:bCs/>
                <w:sz w:val="18"/>
                <w:szCs w:val="20"/>
                <w:vertAlign w:val="superscript"/>
              </w:rPr>
              <w:t>ⱡ</w:t>
            </w:r>
            <w:r w:rsidRPr="008E7073">
              <w:rPr>
                <w:rFonts w:ascii="Arial" w:hAnsi="Arial" w:cs="Arial"/>
                <w:b/>
                <w:bCs/>
                <w:sz w:val="18"/>
                <w:szCs w:val="20"/>
              </w:rPr>
              <w:t xml:space="preserve"> urgent &amp; emergency care presentations: </w:t>
            </w:r>
            <w:r w:rsidRPr="008E7073">
              <w:rPr>
                <w:rFonts w:ascii="Arial" w:hAnsi="Arial" w:cs="Arial"/>
                <w:sz w:val="18"/>
                <w:szCs w:val="20"/>
              </w:rPr>
              <w:t>4,294</w:t>
            </w:r>
          </w:p>
          <w:p w14:paraId="3621AAAD"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 xml:space="preserve">Median Diagnostic Related Groups (&gt;5 seps): </w:t>
            </w:r>
            <w:r w:rsidRPr="008E7073">
              <w:rPr>
                <w:rFonts w:ascii="Arial" w:hAnsi="Arial" w:cs="Arial"/>
                <w:sz w:val="18"/>
                <w:szCs w:val="20"/>
              </w:rPr>
              <w:t>31</w:t>
            </w:r>
          </w:p>
          <w:p w14:paraId="449D8E9B" w14:textId="77777777" w:rsidR="00BF194A" w:rsidRPr="008E7073" w:rsidRDefault="00BF194A">
            <w:pPr>
              <w:pStyle w:val="PlanXXspecial-appendix4table"/>
              <w:keepNext/>
              <w:keepLines/>
              <w:rPr>
                <w:rFonts w:ascii="Arial" w:hAnsi="Arial" w:cs="Arial"/>
                <w:b/>
                <w:bCs/>
                <w:sz w:val="18"/>
                <w:szCs w:val="20"/>
              </w:rPr>
            </w:pPr>
            <w:r w:rsidRPr="008E7073">
              <w:rPr>
                <w:rFonts w:ascii="Arial" w:hAnsi="Arial" w:cs="Arial"/>
                <w:b/>
                <w:bCs/>
                <w:sz w:val="18"/>
                <w:szCs w:val="20"/>
              </w:rPr>
              <w:t>Median Clinical Capability Levels:</w:t>
            </w:r>
          </w:p>
          <w:p w14:paraId="6B74AF64"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Adult Perioperative</w:t>
            </w:r>
            <w:r w:rsidRPr="008E7073">
              <w:rPr>
                <w:rFonts w:ascii="Arial" w:hAnsi="Arial" w:cs="Arial"/>
                <w:sz w:val="18"/>
                <w:szCs w:val="20"/>
              </w:rPr>
              <w:t xml:space="preserve"> – 2 (if service offered)</w:t>
            </w:r>
          </w:p>
          <w:p w14:paraId="76797C6C"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Paediatric Perioperative</w:t>
            </w:r>
            <w:r w:rsidRPr="008E7073">
              <w:rPr>
                <w:rFonts w:ascii="Arial" w:hAnsi="Arial" w:cs="Arial"/>
                <w:sz w:val="18"/>
                <w:szCs w:val="20"/>
              </w:rPr>
              <w:t xml:space="preserve"> – 2 (if service offered)</w:t>
            </w:r>
          </w:p>
          <w:p w14:paraId="2DA7270F" w14:textId="77777777" w:rsidR="00BF194A" w:rsidRPr="008E7073" w:rsidRDefault="00BF194A">
            <w:pPr>
              <w:pStyle w:val="PlanXXspecial-appendix4table"/>
              <w:keepNext/>
              <w:keepLines/>
              <w:ind w:left="720"/>
              <w:rPr>
                <w:rFonts w:ascii="Arial" w:hAnsi="Arial" w:cs="Arial"/>
                <w:sz w:val="18"/>
                <w:szCs w:val="18"/>
              </w:rPr>
            </w:pPr>
            <w:r w:rsidRPr="008E7073">
              <w:rPr>
                <w:rFonts w:ascii="Arial" w:hAnsi="Arial" w:cs="Arial"/>
                <w:b/>
                <w:bCs/>
                <w:sz w:val="18"/>
                <w:szCs w:val="18"/>
              </w:rPr>
              <w:t>Maternity</w:t>
            </w:r>
            <w:r w:rsidRPr="008E7073">
              <w:rPr>
                <w:rFonts w:ascii="Arial" w:hAnsi="Arial" w:cs="Arial"/>
                <w:sz w:val="18"/>
                <w:szCs w:val="18"/>
              </w:rPr>
              <w:t xml:space="preserve"> – 1-2 (if service offered)</w:t>
            </w:r>
          </w:p>
          <w:p w14:paraId="00922C9D" w14:textId="77777777" w:rsidR="00BF194A" w:rsidRPr="008E7073" w:rsidRDefault="00BF194A">
            <w:pPr>
              <w:pStyle w:val="PlanXXspecial-appendix4table"/>
              <w:keepNext/>
              <w:keepLines/>
              <w:ind w:left="720"/>
              <w:rPr>
                <w:rFonts w:ascii="Arial" w:hAnsi="Arial" w:cs="Arial"/>
                <w:sz w:val="18"/>
                <w:szCs w:val="18"/>
              </w:rPr>
            </w:pPr>
            <w:r w:rsidRPr="008E7073">
              <w:rPr>
                <w:rFonts w:ascii="Arial" w:hAnsi="Arial" w:cs="Arial"/>
                <w:b/>
                <w:bCs/>
                <w:sz w:val="18"/>
                <w:szCs w:val="18"/>
              </w:rPr>
              <w:t>Newborn</w:t>
            </w:r>
            <w:r w:rsidRPr="008E7073">
              <w:rPr>
                <w:rFonts w:ascii="Arial" w:hAnsi="Arial" w:cs="Arial"/>
                <w:sz w:val="18"/>
                <w:szCs w:val="18"/>
              </w:rPr>
              <w:t xml:space="preserve"> – 1-2 (if service offered)</w:t>
            </w:r>
          </w:p>
          <w:p w14:paraId="02C6456D" w14:textId="77777777" w:rsidR="00BF194A" w:rsidRPr="008E7073" w:rsidRDefault="00BF194A">
            <w:pPr>
              <w:pStyle w:val="PlanXXspecial-appendix4table"/>
              <w:keepNext/>
              <w:keepLines/>
              <w:rPr>
                <w:rFonts w:ascii="Arial" w:hAnsi="Arial" w:cs="Arial"/>
                <w:b/>
                <w:bCs/>
                <w:sz w:val="18"/>
                <w:szCs w:val="20"/>
              </w:rPr>
            </w:pPr>
            <w:r w:rsidRPr="008E7073">
              <w:rPr>
                <w:rFonts w:ascii="Arial" w:hAnsi="Arial" w:cs="Arial"/>
                <w:b/>
                <w:bCs/>
                <w:sz w:val="18"/>
                <w:szCs w:val="20"/>
              </w:rPr>
              <w:t xml:space="preserve">Median ICU hours delivered per annum: </w:t>
            </w:r>
            <w:r w:rsidRPr="008E7073">
              <w:rPr>
                <w:rFonts w:ascii="Arial" w:hAnsi="Arial" w:cs="Arial"/>
                <w:sz w:val="18"/>
                <w:szCs w:val="20"/>
              </w:rPr>
              <w:t>0</w:t>
            </w:r>
          </w:p>
          <w:p w14:paraId="0B621788" w14:textId="77777777" w:rsidR="00BF194A" w:rsidRPr="008E7073" w:rsidRDefault="00BF194A">
            <w:pPr>
              <w:pStyle w:val="PlanXXspecial-appendix4table"/>
              <w:keepNext/>
              <w:keepLines/>
              <w:rPr>
                <w:rFonts w:ascii="Arial" w:hAnsi="Arial" w:cs="Arial"/>
                <w:b/>
                <w:bCs/>
                <w:sz w:val="18"/>
                <w:szCs w:val="20"/>
              </w:rPr>
            </w:pPr>
            <w:r w:rsidRPr="008E7073">
              <w:rPr>
                <w:rFonts w:ascii="Arial" w:hAnsi="Arial" w:cs="Arial"/>
                <w:b/>
                <w:bCs/>
                <w:sz w:val="18"/>
                <w:szCs w:val="20"/>
              </w:rPr>
              <w:t xml:space="preserve">Median proportion of elective separations with NWAU&gt;4.0: </w:t>
            </w:r>
            <w:r w:rsidRPr="008E7073">
              <w:rPr>
                <w:rFonts w:ascii="Arial" w:hAnsi="Arial" w:cs="Arial"/>
                <w:sz w:val="18"/>
                <w:szCs w:val="20"/>
              </w:rPr>
              <w:t>N/A</w:t>
            </w:r>
            <w:r w:rsidRPr="008E7073">
              <w:rPr>
                <w:rFonts w:ascii="Arial" w:hAnsi="Arial" w:cs="Arial"/>
                <w:sz w:val="18"/>
                <w:szCs w:val="20"/>
                <w:vertAlign w:val="superscript"/>
              </w:rPr>
              <w:t>¥</w:t>
            </w:r>
          </w:p>
          <w:p w14:paraId="4D2D6C78"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bCs/>
                <w:sz w:val="18"/>
                <w:szCs w:val="18"/>
              </w:rPr>
              <w:t>Median health service site beds:</w:t>
            </w:r>
            <w:r w:rsidRPr="008E7073">
              <w:rPr>
                <w:rFonts w:ascii="Arial" w:hAnsi="Arial" w:cs="Arial"/>
                <w:sz w:val="18"/>
                <w:szCs w:val="18"/>
              </w:rPr>
              <w:t xml:space="preserve"> 27</w:t>
            </w:r>
          </w:p>
          <w:p w14:paraId="62A721AA"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bCs/>
                <w:sz w:val="18"/>
                <w:szCs w:val="18"/>
              </w:rPr>
              <w:t>Avg. length of stay for overnight care:</w:t>
            </w:r>
            <w:r w:rsidRPr="008E7073">
              <w:rPr>
                <w:rFonts w:ascii="Arial" w:hAnsi="Arial" w:cs="Arial"/>
                <w:sz w:val="18"/>
                <w:szCs w:val="18"/>
              </w:rPr>
              <w:t xml:space="preserve"> 6.7 days</w:t>
            </w:r>
          </w:p>
          <w:p w14:paraId="40C350F9"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bCs/>
                <w:sz w:val="18"/>
                <w:szCs w:val="18"/>
              </w:rPr>
              <w:t>Avg. Local self-sufficiency for acute care:</w:t>
            </w:r>
            <w:r w:rsidRPr="008E7073">
              <w:rPr>
                <w:rFonts w:ascii="Arial" w:hAnsi="Arial" w:cs="Arial"/>
                <w:sz w:val="18"/>
                <w:szCs w:val="18"/>
              </w:rPr>
              <w:t xml:space="preserve"> 35%</w:t>
            </w:r>
          </w:p>
          <w:p w14:paraId="20062E9C"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bCs/>
                <w:sz w:val="18"/>
                <w:szCs w:val="18"/>
              </w:rPr>
              <w:t>Medical practitioners/specialists:</w:t>
            </w:r>
            <w:r w:rsidRPr="008E7073">
              <w:rPr>
                <w:rFonts w:ascii="Arial" w:hAnsi="Arial" w:cs="Arial"/>
                <w:sz w:val="18"/>
                <w:szCs w:val="18"/>
              </w:rPr>
              <w:t xml:space="preserve"> Typically attend when needed, some may have direct employees</w:t>
            </w:r>
          </w:p>
        </w:tc>
      </w:tr>
      <w:tr w:rsidR="00BF194A" w:rsidRPr="008E7073" w14:paraId="3EC35E08" w14:textId="77777777">
        <w:trPr>
          <w:trHeight w:val="1209"/>
        </w:trPr>
        <w:tc>
          <w:tcPr>
            <w:tcW w:w="550" w:type="pct"/>
            <w:tcBorders>
              <w:top w:val="single" w:sz="4" w:space="0" w:color="auto"/>
              <w:left w:val="nil"/>
              <w:bottom w:val="single" w:sz="4" w:space="0" w:color="auto"/>
              <w:right w:val="nil"/>
            </w:tcBorders>
            <w:tcMar>
              <w:top w:w="72" w:type="dxa"/>
              <w:left w:w="144" w:type="dxa"/>
              <w:bottom w:w="72" w:type="dxa"/>
              <w:right w:w="144" w:type="dxa"/>
            </w:tcMar>
            <w:hideMark/>
          </w:tcPr>
          <w:p w14:paraId="5B8DE79A" w14:textId="77777777" w:rsidR="00BF194A" w:rsidRPr="008E7073" w:rsidRDefault="00BF194A">
            <w:pPr>
              <w:keepNext/>
              <w:keepLines/>
              <w:rPr>
                <w:rFonts w:cs="Arial"/>
                <w:lang w:eastAsia="en-AU"/>
              </w:rPr>
            </w:pPr>
            <w:r w:rsidRPr="008E7073">
              <w:rPr>
                <w:rFonts w:cs="Arial"/>
                <w:noProof/>
                <w:lang w:eastAsia="en-AU"/>
              </w:rPr>
              <w:drawing>
                <wp:inline distT="0" distB="0" distL="0" distR="0" wp14:anchorId="0F3E631C" wp14:editId="09898147">
                  <wp:extent cx="477079" cy="477079"/>
                  <wp:effectExtent l="0" t="0" r="0" b="0"/>
                  <wp:docPr id="1662755005" name="Graphic 16627550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55005" name="Graphic 1662755005">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86216" cy="486216"/>
                          </a:xfrm>
                          <a:prstGeom prst="rect">
                            <a:avLst/>
                          </a:prstGeom>
                        </pic:spPr>
                      </pic:pic>
                    </a:graphicData>
                  </a:graphic>
                </wp:inline>
              </w:drawing>
            </w:r>
          </w:p>
        </w:tc>
        <w:tc>
          <w:tcPr>
            <w:tcW w:w="943" w:type="pct"/>
            <w:tcBorders>
              <w:top w:val="single" w:sz="4" w:space="0" w:color="auto"/>
              <w:left w:val="nil"/>
              <w:bottom w:val="single" w:sz="4" w:space="0" w:color="auto"/>
              <w:right w:val="nil"/>
            </w:tcBorders>
            <w:tcMar>
              <w:top w:w="72" w:type="dxa"/>
              <w:left w:w="144" w:type="dxa"/>
              <w:bottom w:w="72" w:type="dxa"/>
              <w:right w:w="144" w:type="dxa"/>
            </w:tcMar>
            <w:hideMark/>
          </w:tcPr>
          <w:p w14:paraId="6DFADF73" w14:textId="77777777" w:rsidR="00BF194A" w:rsidRPr="008E7073" w:rsidRDefault="00BF194A">
            <w:pPr>
              <w:keepNext/>
              <w:keepLines/>
              <w:rPr>
                <w:rFonts w:cs="Arial"/>
                <w:b/>
                <w:bCs/>
                <w:color w:val="365F91" w:themeColor="accent1" w:themeShade="BF"/>
                <w:lang w:eastAsia="en-AU"/>
              </w:rPr>
            </w:pPr>
            <w:r w:rsidRPr="008E7073">
              <w:rPr>
                <w:rFonts w:cs="Arial"/>
                <w:b/>
                <w:bCs/>
                <w:color w:val="365F91" w:themeColor="accent1" w:themeShade="BF"/>
                <w:lang w:eastAsia="en-AU"/>
              </w:rPr>
              <w:t>Catchment Community</w:t>
            </w:r>
          </w:p>
        </w:tc>
        <w:tc>
          <w:tcPr>
            <w:tcW w:w="3507" w:type="pct"/>
            <w:tcBorders>
              <w:top w:val="single" w:sz="4" w:space="0" w:color="auto"/>
              <w:left w:val="nil"/>
              <w:bottom w:val="single" w:sz="4" w:space="0" w:color="auto"/>
              <w:right w:val="nil"/>
            </w:tcBorders>
            <w:tcMar>
              <w:top w:w="72" w:type="dxa"/>
              <w:left w:w="144" w:type="dxa"/>
              <w:bottom w:w="72" w:type="dxa"/>
              <w:right w:w="144" w:type="dxa"/>
            </w:tcMar>
          </w:tcPr>
          <w:p w14:paraId="4C5B3D2E"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Median number of LGAs serviced (&gt;50 seps): 4</w:t>
            </w:r>
          </w:p>
          <w:p w14:paraId="6346F808" w14:textId="77777777" w:rsidR="00BF194A" w:rsidRPr="008E7073" w:rsidRDefault="00BF194A">
            <w:pPr>
              <w:pStyle w:val="PlanXXspecial-appendix4table"/>
              <w:keepNext/>
              <w:keepLines/>
              <w:rPr>
                <w:rFonts w:ascii="Arial" w:hAnsi="Arial" w:cs="Arial"/>
                <w:b/>
                <w:bCs/>
                <w:sz w:val="18"/>
                <w:szCs w:val="18"/>
              </w:rPr>
            </w:pPr>
            <w:r w:rsidRPr="008E7073">
              <w:rPr>
                <w:rFonts w:ascii="Arial" w:hAnsi="Arial" w:cs="Arial"/>
                <w:b/>
                <w:bCs/>
                <w:sz w:val="18"/>
                <w:szCs w:val="18"/>
              </w:rPr>
              <w:t>Community description</w:t>
            </w:r>
          </w:p>
          <w:p w14:paraId="34A64172" w14:textId="77777777" w:rsidR="00BF194A" w:rsidRPr="008E7073" w:rsidRDefault="00BF194A">
            <w:pPr>
              <w:pStyle w:val="PlanXXspecial-appendix4table"/>
              <w:keepNext/>
              <w:keepLines/>
              <w:ind w:left="720"/>
              <w:rPr>
                <w:rFonts w:ascii="Arial" w:hAnsi="Arial" w:cs="Arial"/>
                <w:sz w:val="18"/>
                <w:szCs w:val="18"/>
              </w:rPr>
            </w:pPr>
            <w:r w:rsidRPr="008E7073">
              <w:rPr>
                <w:rFonts w:ascii="Arial" w:hAnsi="Arial" w:cs="Arial"/>
                <w:b/>
                <w:bCs/>
                <w:sz w:val="18"/>
                <w:szCs w:val="18"/>
              </w:rPr>
              <w:t>Population size:</w:t>
            </w:r>
            <w:r w:rsidRPr="008E7073">
              <w:rPr>
                <w:rFonts w:ascii="Arial" w:hAnsi="Arial" w:cs="Arial"/>
                <w:sz w:val="18"/>
                <w:szCs w:val="18"/>
              </w:rPr>
              <w:t xml:space="preserve"> 7,500–17,500 people</w:t>
            </w:r>
          </w:p>
          <w:p w14:paraId="69297386" w14:textId="77777777" w:rsidR="00BF194A" w:rsidRPr="008E7073" w:rsidRDefault="00BF194A">
            <w:pPr>
              <w:pStyle w:val="PlanXXspecial-appendix4table"/>
              <w:keepNext/>
              <w:keepLines/>
              <w:ind w:left="720"/>
              <w:rPr>
                <w:rFonts w:ascii="Arial" w:hAnsi="Arial" w:cs="Arial"/>
                <w:sz w:val="18"/>
                <w:szCs w:val="18"/>
              </w:rPr>
            </w:pPr>
            <w:r w:rsidRPr="008E7073">
              <w:rPr>
                <w:rFonts w:ascii="Arial" w:hAnsi="Arial" w:cs="Arial"/>
                <w:b/>
                <w:sz w:val="18"/>
                <w:szCs w:val="18"/>
              </w:rPr>
              <w:t>Age profile:</w:t>
            </w:r>
            <w:r w:rsidRPr="008E7073">
              <w:rPr>
                <w:rFonts w:ascii="Arial" w:hAnsi="Arial" w:cs="Arial"/>
                <w:sz w:val="18"/>
                <w:szCs w:val="18"/>
              </w:rPr>
              <w:t xml:space="preserve"> older than Victorian average</w:t>
            </w:r>
          </w:p>
          <w:p w14:paraId="7641D5F6" w14:textId="77777777" w:rsidR="00BF194A" w:rsidRPr="008E7073" w:rsidRDefault="00BF194A">
            <w:pPr>
              <w:pStyle w:val="PlanXXspecial-appendix4table"/>
              <w:keepNext/>
              <w:keepLines/>
              <w:ind w:left="720"/>
              <w:rPr>
                <w:rFonts w:ascii="Arial" w:hAnsi="Arial" w:cs="Arial"/>
                <w:sz w:val="18"/>
                <w:szCs w:val="18"/>
              </w:rPr>
            </w:pPr>
            <w:r w:rsidRPr="008E7073">
              <w:rPr>
                <w:rFonts w:ascii="Arial" w:hAnsi="Arial" w:cs="Arial"/>
                <w:b/>
                <w:sz w:val="18"/>
                <w:szCs w:val="18"/>
              </w:rPr>
              <w:t>Geographies:</w:t>
            </w:r>
            <w:r w:rsidRPr="008E7073">
              <w:rPr>
                <w:rFonts w:ascii="Arial" w:hAnsi="Arial" w:cs="Arial"/>
                <w:sz w:val="18"/>
                <w:szCs w:val="18"/>
              </w:rPr>
              <w:t xml:space="preserve"> From inner or outer remoteness areas of rural Victoria to metropolitan suburbs</w:t>
            </w:r>
          </w:p>
          <w:p w14:paraId="56BA28FD" w14:textId="77777777" w:rsidR="00BF194A" w:rsidRPr="008E7073" w:rsidRDefault="00BF194A">
            <w:pPr>
              <w:pStyle w:val="PlanXXspecial-appendix4table"/>
              <w:keepNext/>
              <w:keepLines/>
              <w:ind w:left="720"/>
              <w:rPr>
                <w:rFonts w:ascii="Arial" w:hAnsi="Arial" w:cs="Arial"/>
                <w:sz w:val="18"/>
                <w:szCs w:val="18"/>
              </w:rPr>
            </w:pPr>
            <w:r w:rsidRPr="008E7073">
              <w:rPr>
                <w:rFonts w:ascii="Arial" w:hAnsi="Arial" w:cs="Arial"/>
                <w:b/>
                <w:bCs/>
                <w:sz w:val="18"/>
                <w:szCs w:val="18"/>
              </w:rPr>
              <w:t>Average travel time to complex health service site care:</w:t>
            </w:r>
            <w:r w:rsidRPr="008E7073">
              <w:rPr>
                <w:rFonts w:ascii="Arial" w:hAnsi="Arial" w:cs="Arial"/>
                <w:sz w:val="18"/>
                <w:szCs w:val="18"/>
              </w:rPr>
              <w:t xml:space="preserve"> 50 min (regional Victoria only)</w:t>
            </w:r>
          </w:p>
        </w:tc>
      </w:tr>
    </w:tbl>
    <w:p w14:paraId="67FB36DD" w14:textId="77777777" w:rsidR="00BF194A" w:rsidRPr="008E7073" w:rsidRDefault="00BF194A" w:rsidP="00BF194A">
      <w:pPr>
        <w:pStyle w:val="Body"/>
        <w:keepNext/>
        <w:keepLines/>
        <w:rPr>
          <w:rFonts w:eastAsia="Times New Roman" w:cs="Arial"/>
          <w:i/>
          <w:iCs/>
          <w:sz w:val="18"/>
          <w:szCs w:val="18"/>
        </w:rPr>
      </w:pPr>
      <w:r w:rsidRPr="008E7073">
        <w:rPr>
          <w:rFonts w:eastAsia="Times New Roman" w:cs="Arial"/>
          <w:i/>
          <w:iCs/>
          <w:sz w:val="16"/>
          <w:szCs w:val="16"/>
        </w:rPr>
        <w:t xml:space="preserve">* Excludes sub-acute and mental health admitted activity; </w:t>
      </w:r>
      <w:r w:rsidRPr="008E7073">
        <w:rPr>
          <w:rFonts w:cs="Arial"/>
          <w:i/>
          <w:iCs/>
          <w:sz w:val="16"/>
          <w:szCs w:val="16"/>
          <w:vertAlign w:val="superscript"/>
        </w:rPr>
        <w:t>ⱡ</w:t>
      </w:r>
      <w:r w:rsidRPr="008E7073">
        <w:rPr>
          <w:rFonts w:cs="Arial"/>
          <w:i/>
          <w:iCs/>
          <w:sz w:val="16"/>
          <w:szCs w:val="16"/>
        </w:rPr>
        <w:t xml:space="preserve">Median values are rounded to nearest 100; </w:t>
      </w:r>
      <w:r w:rsidRPr="008E7073">
        <w:rPr>
          <w:rFonts w:cs="Arial"/>
          <w:sz w:val="18"/>
          <w:vertAlign w:val="superscript"/>
        </w:rPr>
        <w:t>¥</w:t>
      </w:r>
      <w:r w:rsidRPr="008E7073">
        <w:rPr>
          <w:rFonts w:cs="Arial"/>
          <w:i/>
          <w:iCs/>
          <w:sz w:val="16"/>
          <w:szCs w:val="16"/>
        </w:rPr>
        <w:t>Most sites do not receive activity-based funding</w:t>
      </w:r>
    </w:p>
    <w:p w14:paraId="7030807E" w14:textId="77777777" w:rsidR="00F03707" w:rsidRDefault="00F03707" w:rsidP="00BF194A">
      <w:pPr>
        <w:pStyle w:val="Caption"/>
        <w:keepNext/>
        <w:keepLines/>
        <w:rPr>
          <w:rFonts w:cs="Arial"/>
        </w:rPr>
      </w:pPr>
    </w:p>
    <w:p w14:paraId="36D9D4D0" w14:textId="77777777" w:rsidR="00F03707" w:rsidRDefault="00F03707">
      <w:pPr>
        <w:spacing w:after="0" w:line="240" w:lineRule="auto"/>
        <w:rPr>
          <w:rFonts w:cs="Arial"/>
          <w:i/>
          <w:iCs/>
          <w:color w:val="1F497D" w:themeColor="text2"/>
          <w:sz w:val="18"/>
          <w:szCs w:val="18"/>
        </w:rPr>
      </w:pPr>
      <w:r>
        <w:rPr>
          <w:rFonts w:cs="Arial"/>
        </w:rPr>
        <w:br w:type="page"/>
      </w:r>
    </w:p>
    <w:p w14:paraId="2B74B3F2" w14:textId="77777777" w:rsidR="00BF194A" w:rsidRPr="008E7073" w:rsidRDefault="00BF194A" w:rsidP="00BF194A">
      <w:pPr>
        <w:pStyle w:val="Caption"/>
        <w:keepNext/>
        <w:keepLines/>
        <w:rPr>
          <w:rFonts w:cs="Arial"/>
        </w:rPr>
      </w:pPr>
      <w:r w:rsidRPr="008E7073">
        <w:rPr>
          <w:rFonts w:cs="Arial"/>
        </w:rPr>
        <w:lastRenderedPageBreak/>
        <w:t xml:space="preserve">Table </w:t>
      </w:r>
      <w:r w:rsidRPr="008E7073">
        <w:rPr>
          <w:rFonts w:cs="Arial"/>
        </w:rPr>
        <w:fldChar w:fldCharType="begin"/>
      </w:r>
      <w:r w:rsidRPr="008E7073">
        <w:rPr>
          <w:rFonts w:cs="Arial"/>
        </w:rPr>
        <w:instrText xml:space="preserve"> SEQ Table \* ARABIC </w:instrText>
      </w:r>
      <w:r w:rsidRPr="008E7073">
        <w:rPr>
          <w:rFonts w:cs="Arial"/>
        </w:rPr>
        <w:fldChar w:fldCharType="separate"/>
      </w:r>
      <w:r w:rsidRPr="008E7073">
        <w:rPr>
          <w:rFonts w:cs="Arial"/>
          <w:noProof/>
        </w:rPr>
        <w:t>5</w:t>
      </w:r>
      <w:r w:rsidRPr="008E7073">
        <w:rPr>
          <w:rFonts w:cs="Arial"/>
        </w:rPr>
        <w:fldChar w:fldCharType="end"/>
      </w:r>
      <w:r w:rsidRPr="008E7073">
        <w:rPr>
          <w:rFonts w:cs="Arial"/>
        </w:rPr>
        <w:t>. General Hospital site characteristics</w:t>
      </w:r>
    </w:p>
    <w:tbl>
      <w:tblPr>
        <w:tblW w:w="9298" w:type="dxa"/>
        <w:tblCellMar>
          <w:left w:w="0" w:type="dxa"/>
          <w:right w:w="0" w:type="dxa"/>
        </w:tblCellMar>
        <w:tblLook w:val="0420" w:firstRow="1" w:lastRow="0" w:firstColumn="0" w:lastColumn="0" w:noHBand="0" w:noVBand="1"/>
      </w:tblPr>
      <w:tblGrid>
        <w:gridCol w:w="1082"/>
        <w:gridCol w:w="1755"/>
        <w:gridCol w:w="6461"/>
      </w:tblGrid>
      <w:tr w:rsidR="00BF194A" w:rsidRPr="008E7073" w14:paraId="1A8CAC7C" w14:textId="77777777">
        <w:trPr>
          <w:trHeight w:val="274"/>
          <w:tblHeader/>
        </w:trPr>
        <w:tc>
          <w:tcPr>
            <w:tcW w:w="9298" w:type="dxa"/>
            <w:gridSpan w:val="3"/>
            <w:tcBorders>
              <w:top w:val="single" w:sz="18" w:space="0" w:color="000000" w:themeColor="text1"/>
              <w:left w:val="nil"/>
              <w:bottom w:val="single" w:sz="18" w:space="0" w:color="000000" w:themeColor="text1"/>
              <w:right w:val="nil"/>
            </w:tcBorders>
            <w:shd w:val="clear" w:color="auto" w:fill="F2F2F2" w:themeFill="background1" w:themeFillShade="F2"/>
            <w:tcMar>
              <w:top w:w="72" w:type="dxa"/>
              <w:left w:w="144" w:type="dxa"/>
              <w:bottom w:w="72" w:type="dxa"/>
              <w:right w:w="144" w:type="dxa"/>
            </w:tcMar>
            <w:hideMark/>
          </w:tcPr>
          <w:p w14:paraId="372827D3" w14:textId="77777777" w:rsidR="00BF194A" w:rsidRPr="008E7073" w:rsidRDefault="00BF194A">
            <w:pPr>
              <w:keepNext/>
              <w:keepLines/>
              <w:rPr>
                <w:rFonts w:cs="Arial"/>
                <w:b/>
                <w:bCs/>
                <w:lang w:eastAsia="en-AU"/>
              </w:rPr>
            </w:pPr>
            <w:r w:rsidRPr="008E7073">
              <w:rPr>
                <w:rFonts w:cs="Arial"/>
                <w:b/>
                <w:bCs/>
                <w:lang w:eastAsia="en-AU"/>
              </w:rPr>
              <w:t>Description – General Hospital Sites</w:t>
            </w:r>
          </w:p>
        </w:tc>
      </w:tr>
      <w:tr w:rsidR="00BF194A" w:rsidRPr="008E7073" w14:paraId="6F2F43DC" w14:textId="77777777">
        <w:trPr>
          <w:trHeight w:val="1246"/>
        </w:trPr>
        <w:tc>
          <w:tcPr>
            <w:tcW w:w="1082" w:type="dxa"/>
            <w:tcBorders>
              <w:top w:val="single" w:sz="18" w:space="0" w:color="000000" w:themeColor="text1"/>
              <w:left w:val="nil"/>
              <w:bottom w:val="single" w:sz="4" w:space="0" w:color="auto"/>
              <w:right w:val="nil"/>
            </w:tcBorders>
            <w:tcMar>
              <w:top w:w="72" w:type="dxa"/>
              <w:left w:w="144" w:type="dxa"/>
              <w:bottom w:w="72" w:type="dxa"/>
              <w:right w:w="144" w:type="dxa"/>
            </w:tcMar>
            <w:vAlign w:val="center"/>
            <w:hideMark/>
          </w:tcPr>
          <w:p w14:paraId="21C1DAEE" w14:textId="77777777" w:rsidR="00BF194A" w:rsidRPr="008E7073" w:rsidRDefault="00BF194A">
            <w:pPr>
              <w:keepNext/>
              <w:keepLines/>
              <w:rPr>
                <w:rFonts w:cs="Arial"/>
                <w:lang w:eastAsia="en-AU"/>
              </w:rPr>
            </w:pPr>
            <w:r w:rsidRPr="008E7073">
              <w:rPr>
                <w:rFonts w:cs="Arial"/>
                <w:noProof/>
                <w:lang w:eastAsia="en-AU"/>
              </w:rPr>
              <w:drawing>
                <wp:inline distT="0" distB="0" distL="0" distR="0" wp14:anchorId="58F75FD8" wp14:editId="7B313324">
                  <wp:extent cx="485775" cy="485775"/>
                  <wp:effectExtent l="0" t="0" r="9525" b="0"/>
                  <wp:docPr id="837406457" name="Graphic 8374064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406457" name="Graphic 837406457">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5775" cy="485775"/>
                          </a:xfrm>
                          <a:prstGeom prst="rect">
                            <a:avLst/>
                          </a:prstGeom>
                        </pic:spPr>
                      </pic:pic>
                    </a:graphicData>
                  </a:graphic>
                </wp:inline>
              </w:drawing>
            </w:r>
          </w:p>
        </w:tc>
        <w:tc>
          <w:tcPr>
            <w:tcW w:w="1755" w:type="dxa"/>
            <w:tcBorders>
              <w:top w:val="single" w:sz="18" w:space="0" w:color="000000" w:themeColor="text1"/>
              <w:left w:val="nil"/>
              <w:bottom w:val="single" w:sz="4" w:space="0" w:color="auto"/>
              <w:right w:val="nil"/>
            </w:tcBorders>
            <w:tcMar>
              <w:top w:w="72" w:type="dxa"/>
              <w:left w:w="144" w:type="dxa"/>
              <w:bottom w:w="72" w:type="dxa"/>
              <w:right w:w="144" w:type="dxa"/>
            </w:tcMar>
            <w:vAlign w:val="center"/>
            <w:hideMark/>
          </w:tcPr>
          <w:p w14:paraId="24F893AF" w14:textId="77777777" w:rsidR="00BF194A" w:rsidRPr="008E7073" w:rsidRDefault="00BF194A">
            <w:pPr>
              <w:keepNext/>
              <w:keepLines/>
              <w:rPr>
                <w:rFonts w:cs="Arial"/>
                <w:b/>
                <w:bCs/>
                <w:color w:val="365F91" w:themeColor="accent1" w:themeShade="BF"/>
                <w:lang w:eastAsia="en-AU"/>
              </w:rPr>
            </w:pPr>
            <w:r w:rsidRPr="008E7073">
              <w:rPr>
                <w:rFonts w:cs="Arial"/>
                <w:b/>
                <w:bCs/>
                <w:color w:val="365F91" w:themeColor="accent1" w:themeShade="BF"/>
                <w:lang w:eastAsia="en-AU"/>
              </w:rPr>
              <w:t>Service Profile</w:t>
            </w:r>
          </w:p>
        </w:tc>
        <w:tc>
          <w:tcPr>
            <w:tcW w:w="6461" w:type="dxa"/>
            <w:tcBorders>
              <w:top w:val="single" w:sz="18" w:space="0" w:color="000000" w:themeColor="text1"/>
              <w:left w:val="nil"/>
              <w:bottom w:val="single" w:sz="4" w:space="0" w:color="auto"/>
              <w:right w:val="nil"/>
            </w:tcBorders>
            <w:tcMar>
              <w:top w:w="72" w:type="dxa"/>
              <w:left w:w="144" w:type="dxa"/>
              <w:bottom w:w="72" w:type="dxa"/>
              <w:right w:w="144" w:type="dxa"/>
            </w:tcMar>
            <w:vAlign w:val="center"/>
          </w:tcPr>
          <w:p w14:paraId="6F467564"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sz w:val="18"/>
                <w:szCs w:val="20"/>
              </w:rPr>
              <w:t>Typical types of services per District Health service site facilities plus:</w:t>
            </w:r>
          </w:p>
          <w:p w14:paraId="7D126ED7" w14:textId="77777777" w:rsidR="00BF194A" w:rsidRPr="008E7073" w:rsidRDefault="00BF194A">
            <w:pPr>
              <w:pStyle w:val="PlanXXSpecial-Appendix4figuredots"/>
              <w:keepNext/>
              <w:keepLines/>
              <w:spacing w:after="0"/>
              <w:ind w:left="714" w:hanging="357"/>
              <w:rPr>
                <w:rFonts w:ascii="Arial" w:hAnsi="Arial" w:cs="Arial"/>
                <w:sz w:val="18"/>
              </w:rPr>
            </w:pPr>
            <w:r w:rsidRPr="008E7073">
              <w:rPr>
                <w:rFonts w:ascii="Arial" w:hAnsi="Arial" w:cs="Arial"/>
                <w:sz w:val="18"/>
              </w:rPr>
              <w:t>all hours urgent care service or may have an emergency department</w:t>
            </w:r>
          </w:p>
          <w:p w14:paraId="47333580" w14:textId="77777777" w:rsidR="00BF194A" w:rsidRPr="008E7073" w:rsidRDefault="00BF194A">
            <w:pPr>
              <w:pStyle w:val="PlanXXSpecial-Appendix4figuredots"/>
              <w:keepNext/>
              <w:keepLines/>
              <w:spacing w:after="0"/>
              <w:ind w:left="714" w:hanging="357"/>
              <w:rPr>
                <w:rFonts w:ascii="Arial" w:hAnsi="Arial" w:cs="Arial"/>
                <w:sz w:val="18"/>
              </w:rPr>
            </w:pPr>
            <w:r w:rsidRPr="008E7073">
              <w:rPr>
                <w:rFonts w:ascii="Arial" w:hAnsi="Arial" w:cs="Arial"/>
                <w:sz w:val="18"/>
              </w:rPr>
              <w:t>ambulatory acute medical services, i.e., chemotherapy may be available at some sites partnering with larger services</w:t>
            </w:r>
          </w:p>
          <w:p w14:paraId="12985209" w14:textId="77777777" w:rsidR="00BF194A" w:rsidRPr="008E7073" w:rsidRDefault="00BF194A">
            <w:pPr>
              <w:pStyle w:val="PlanXXSpecial-Appendix4figuredots"/>
              <w:keepNext/>
              <w:keepLines/>
              <w:spacing w:after="0"/>
              <w:ind w:left="714" w:hanging="357"/>
              <w:rPr>
                <w:rFonts w:ascii="Arial" w:hAnsi="Arial" w:cs="Arial"/>
                <w:sz w:val="18"/>
                <w:szCs w:val="18"/>
              </w:rPr>
            </w:pPr>
            <w:r w:rsidRPr="008E7073">
              <w:rPr>
                <w:rFonts w:ascii="Arial" w:hAnsi="Arial" w:cs="Arial"/>
                <w:sz w:val="18"/>
                <w:szCs w:val="18"/>
              </w:rPr>
              <w:t>multiday low to moderate complexity general surgery and medicine but some subspecialties may be available</w:t>
            </w:r>
          </w:p>
          <w:p w14:paraId="788FD146" w14:textId="77777777" w:rsidR="00BF194A" w:rsidRPr="008E7073" w:rsidRDefault="00BF194A">
            <w:pPr>
              <w:pStyle w:val="PlanXXSpecial-Appendix4figuredots"/>
              <w:keepNext/>
              <w:keepLines/>
              <w:spacing w:after="0"/>
              <w:ind w:left="714" w:hanging="357"/>
              <w:rPr>
                <w:rFonts w:ascii="Arial" w:hAnsi="Arial" w:cs="Arial"/>
                <w:sz w:val="18"/>
              </w:rPr>
            </w:pPr>
            <w:r w:rsidRPr="008E7073">
              <w:rPr>
                <w:rFonts w:ascii="Arial" w:hAnsi="Arial" w:cs="Arial"/>
                <w:sz w:val="18"/>
              </w:rPr>
              <w:t>paediatric care for lower acuity patients</w:t>
            </w:r>
          </w:p>
          <w:p w14:paraId="405C5880" w14:textId="77777777" w:rsidR="00BF194A" w:rsidRPr="008E7073" w:rsidRDefault="00BF194A">
            <w:pPr>
              <w:pStyle w:val="PlanXXSpecial-Appendix4figuredots"/>
              <w:keepNext/>
              <w:keepLines/>
              <w:spacing w:after="0"/>
              <w:ind w:left="714" w:hanging="357"/>
              <w:rPr>
                <w:rFonts w:ascii="Arial" w:hAnsi="Arial" w:cs="Arial"/>
                <w:sz w:val="18"/>
              </w:rPr>
            </w:pPr>
            <w:r w:rsidRPr="008E7073">
              <w:rPr>
                <w:rFonts w:ascii="Arial" w:hAnsi="Arial" w:cs="Arial"/>
                <w:sz w:val="18"/>
              </w:rPr>
              <w:t>may provide critical care with small ICU or high dependency unit</w:t>
            </w:r>
          </w:p>
          <w:p w14:paraId="31BBF9E5" w14:textId="7569EA86" w:rsidR="00BF194A" w:rsidRPr="008E7073" w:rsidRDefault="00BF194A">
            <w:pPr>
              <w:pStyle w:val="PlanXXSpecial-Appendix4figuredots"/>
              <w:keepNext/>
              <w:keepLines/>
              <w:spacing w:after="0"/>
              <w:ind w:left="714" w:hanging="357"/>
              <w:rPr>
                <w:rFonts w:ascii="Arial" w:hAnsi="Arial" w:cs="Arial"/>
                <w:sz w:val="18"/>
              </w:rPr>
            </w:pPr>
            <w:r w:rsidRPr="008E7073">
              <w:rPr>
                <w:rFonts w:ascii="Arial" w:hAnsi="Arial" w:cs="Arial"/>
                <w:sz w:val="18"/>
              </w:rPr>
              <w:t>geriatric evaluation and management and rehabilitation overnight care</w:t>
            </w:r>
          </w:p>
          <w:p w14:paraId="136EA667" w14:textId="77777777" w:rsidR="00BF194A" w:rsidRPr="008E7073" w:rsidRDefault="00BF194A">
            <w:pPr>
              <w:pStyle w:val="PlanXXSpecial-Appendix4figuredots"/>
              <w:keepNext/>
              <w:keepLines/>
              <w:spacing w:after="0"/>
              <w:ind w:left="714" w:hanging="357"/>
              <w:rPr>
                <w:rFonts w:ascii="Arial" w:hAnsi="Arial" w:cs="Arial"/>
                <w:sz w:val="18"/>
              </w:rPr>
            </w:pPr>
            <w:r w:rsidRPr="008E7073">
              <w:rPr>
                <w:rFonts w:ascii="Arial" w:hAnsi="Arial" w:cs="Arial"/>
                <w:sz w:val="18"/>
              </w:rPr>
              <w:t>pregnancy care for low and moderate risk pregnancies and newborns</w:t>
            </w:r>
          </w:p>
          <w:p w14:paraId="16F27997" w14:textId="77777777" w:rsidR="00BF194A" w:rsidRPr="008E7073" w:rsidRDefault="00BF194A">
            <w:pPr>
              <w:pStyle w:val="PlanXXSpecial-Appendix4figuredots"/>
              <w:keepNext/>
              <w:keepLines/>
              <w:spacing w:after="0"/>
              <w:ind w:left="714" w:hanging="357"/>
              <w:rPr>
                <w:rFonts w:ascii="Arial" w:hAnsi="Arial" w:cs="Arial"/>
                <w:sz w:val="18"/>
              </w:rPr>
            </w:pPr>
            <w:r w:rsidRPr="008E7073">
              <w:rPr>
                <w:rFonts w:ascii="Arial" w:hAnsi="Arial" w:cs="Arial"/>
                <w:sz w:val="18"/>
              </w:rPr>
              <w:t>education and training performed on site</w:t>
            </w:r>
          </w:p>
        </w:tc>
      </w:tr>
      <w:tr w:rsidR="00BF194A" w:rsidRPr="008E7073" w14:paraId="545BD8F8" w14:textId="77777777">
        <w:trPr>
          <w:trHeight w:val="1091"/>
        </w:trPr>
        <w:tc>
          <w:tcPr>
            <w:tcW w:w="1082" w:type="dxa"/>
            <w:tcBorders>
              <w:top w:val="single" w:sz="4" w:space="0" w:color="auto"/>
              <w:left w:val="nil"/>
              <w:bottom w:val="single" w:sz="4" w:space="0" w:color="auto"/>
              <w:right w:val="nil"/>
            </w:tcBorders>
            <w:tcMar>
              <w:top w:w="72" w:type="dxa"/>
              <w:left w:w="144" w:type="dxa"/>
              <w:bottom w:w="72" w:type="dxa"/>
              <w:right w:w="144" w:type="dxa"/>
            </w:tcMar>
            <w:vAlign w:val="center"/>
          </w:tcPr>
          <w:p w14:paraId="034B3CFF" w14:textId="77777777" w:rsidR="00BF194A" w:rsidRPr="008E7073" w:rsidRDefault="00BF194A">
            <w:pPr>
              <w:keepNext/>
              <w:keepLines/>
              <w:rPr>
                <w:rFonts w:cs="Arial"/>
                <w:noProof/>
                <w:lang w:eastAsia="en-AU"/>
              </w:rPr>
            </w:pPr>
            <w:r w:rsidRPr="008E7073">
              <w:rPr>
                <w:rFonts w:cs="Arial"/>
                <w:noProof/>
                <w:lang w:eastAsia="en-AU"/>
              </w:rPr>
              <w:drawing>
                <wp:inline distT="0" distB="0" distL="0" distR="0" wp14:anchorId="0CF63A17" wp14:editId="2983EEAE">
                  <wp:extent cx="475488" cy="475488"/>
                  <wp:effectExtent l="0" t="0" r="0" b="1270"/>
                  <wp:docPr id="433603247"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03247" name="Graphic 2">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480114" cy="480114"/>
                          </a:xfrm>
                          <a:prstGeom prst="rect">
                            <a:avLst/>
                          </a:prstGeom>
                        </pic:spPr>
                      </pic:pic>
                    </a:graphicData>
                  </a:graphic>
                </wp:inline>
              </w:drawing>
            </w:r>
          </w:p>
        </w:tc>
        <w:tc>
          <w:tcPr>
            <w:tcW w:w="1755" w:type="dxa"/>
            <w:tcBorders>
              <w:top w:val="single" w:sz="4" w:space="0" w:color="auto"/>
              <w:left w:val="nil"/>
              <w:bottom w:val="single" w:sz="4" w:space="0" w:color="auto"/>
              <w:right w:val="nil"/>
            </w:tcBorders>
            <w:tcMar>
              <w:top w:w="72" w:type="dxa"/>
              <w:left w:w="144" w:type="dxa"/>
              <w:bottom w:w="72" w:type="dxa"/>
              <w:right w:w="144" w:type="dxa"/>
            </w:tcMar>
            <w:vAlign w:val="center"/>
          </w:tcPr>
          <w:p w14:paraId="786FAFAA" w14:textId="77777777" w:rsidR="00BF194A" w:rsidRPr="008E7073" w:rsidRDefault="00BF194A">
            <w:pPr>
              <w:keepNext/>
              <w:keepLines/>
              <w:rPr>
                <w:rFonts w:cs="Arial"/>
                <w:b/>
                <w:bCs/>
                <w:color w:val="365F91" w:themeColor="accent1" w:themeShade="BF"/>
                <w:lang w:eastAsia="en-AU"/>
              </w:rPr>
            </w:pPr>
            <w:r w:rsidRPr="008E7073">
              <w:rPr>
                <w:rFonts w:cs="Arial"/>
                <w:b/>
                <w:bCs/>
                <w:color w:val="365F91" w:themeColor="accent1" w:themeShade="BF"/>
                <w:lang w:eastAsia="en-AU"/>
              </w:rPr>
              <w:t>Primary &amp; Aged Care</w:t>
            </w:r>
          </w:p>
        </w:tc>
        <w:tc>
          <w:tcPr>
            <w:tcW w:w="6461" w:type="dxa"/>
            <w:tcBorders>
              <w:top w:val="single" w:sz="4" w:space="0" w:color="auto"/>
              <w:left w:val="nil"/>
              <w:bottom w:val="single" w:sz="4" w:space="0" w:color="auto"/>
              <w:right w:val="nil"/>
            </w:tcBorders>
            <w:tcMar>
              <w:top w:w="72" w:type="dxa"/>
              <w:left w:w="144" w:type="dxa"/>
              <w:bottom w:w="72" w:type="dxa"/>
              <w:right w:w="144" w:type="dxa"/>
            </w:tcMar>
            <w:vAlign w:val="center"/>
          </w:tcPr>
          <w:p w14:paraId="6FB31354" w14:textId="77777777" w:rsidR="00BF194A" w:rsidRPr="008E7073" w:rsidRDefault="00BF194A">
            <w:pPr>
              <w:pStyle w:val="Body"/>
              <w:keepNext/>
              <w:keepLines/>
              <w:spacing w:after="0" w:line="240" w:lineRule="atLeast"/>
              <w:rPr>
                <w:rFonts w:cs="Arial"/>
                <w:sz w:val="18"/>
              </w:rPr>
            </w:pPr>
            <w:r w:rsidRPr="008E7073">
              <w:rPr>
                <w:rFonts w:cs="Arial"/>
                <w:b/>
                <w:bCs/>
                <w:sz w:val="18"/>
                <w:szCs w:val="18"/>
              </w:rPr>
              <w:t xml:space="preserve">Co-located </w:t>
            </w:r>
            <w:r w:rsidRPr="008E7073">
              <w:rPr>
                <w:rFonts w:cs="Arial"/>
                <w:b/>
                <w:bCs/>
                <w:sz w:val="18"/>
              </w:rPr>
              <w:t>Public Sector Residential Aged Care places:</w:t>
            </w:r>
            <w:r w:rsidRPr="008E7073">
              <w:rPr>
                <w:rFonts w:cs="Arial"/>
                <w:sz w:val="18"/>
              </w:rPr>
              <w:t xml:space="preserve"> 0 - 100</w:t>
            </w:r>
          </w:p>
          <w:p w14:paraId="43F97720" w14:textId="77777777" w:rsidR="00BF194A" w:rsidRPr="008E7073" w:rsidRDefault="00BF194A">
            <w:pPr>
              <w:pStyle w:val="Body"/>
              <w:keepNext/>
              <w:keepLines/>
              <w:spacing w:after="0" w:line="240" w:lineRule="atLeast"/>
              <w:rPr>
                <w:rFonts w:cs="Arial"/>
                <w:sz w:val="18"/>
              </w:rPr>
            </w:pPr>
            <w:r w:rsidRPr="008E7073">
              <w:rPr>
                <w:rFonts w:cs="Arial"/>
                <w:b/>
                <w:bCs/>
                <w:sz w:val="18"/>
              </w:rPr>
              <w:t>Primary health services:</w:t>
            </w:r>
            <w:r w:rsidRPr="008E7073">
              <w:rPr>
                <w:rFonts w:cs="Arial"/>
                <w:sz w:val="18"/>
              </w:rPr>
              <w:t xml:space="preserve"> may provide services like District Health service sites or have patient referral pathways to local community health service organisation. </w:t>
            </w:r>
          </w:p>
        </w:tc>
      </w:tr>
      <w:tr w:rsidR="00BF194A" w:rsidRPr="008E7073" w14:paraId="6727C865" w14:textId="77777777">
        <w:trPr>
          <w:trHeight w:val="1374"/>
        </w:trPr>
        <w:tc>
          <w:tcPr>
            <w:tcW w:w="1082"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629F93D5" w14:textId="77777777" w:rsidR="00BF194A" w:rsidRPr="008E7073" w:rsidRDefault="00BF194A">
            <w:pPr>
              <w:keepNext/>
              <w:keepLines/>
              <w:rPr>
                <w:rFonts w:cs="Arial"/>
                <w:lang w:eastAsia="en-AU"/>
              </w:rPr>
            </w:pPr>
            <w:r w:rsidRPr="008E7073">
              <w:rPr>
                <w:rFonts w:cs="Arial"/>
                <w:noProof/>
                <w:lang w:eastAsia="en-AU"/>
              </w:rPr>
              <w:drawing>
                <wp:inline distT="0" distB="0" distL="0" distR="0" wp14:anchorId="131507E3" wp14:editId="456853C4">
                  <wp:extent cx="504749" cy="504749"/>
                  <wp:effectExtent l="0" t="0" r="0" b="0"/>
                  <wp:docPr id="441380977"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80977" name="Graphic 1">
                            <a:extLst>
                              <a:ext uri="{C183D7F6-B498-43B3-948B-1728B52AA6E4}">
                                <adec:decorative xmlns:adec="http://schemas.microsoft.com/office/drawing/2017/decorative" val="1"/>
                              </a:ext>
                            </a:extLst>
                          </pic:cNvPr>
                          <pic:cNvPicPr/>
                        </pic:nvPicPr>
                        <pic:blipFill>
                          <a:blip r:embed="rId21">
                            <a:extLst>
                              <a:ext uri="{96DAC541-7B7A-43D3-8B79-37D633B846F1}">
                                <asvg:svgBlip xmlns:asvg="http://schemas.microsoft.com/office/drawing/2016/SVG/main" r:embed="rId22"/>
                              </a:ext>
                            </a:extLst>
                          </a:blip>
                          <a:stretch>
                            <a:fillRect/>
                          </a:stretch>
                        </pic:blipFill>
                        <pic:spPr>
                          <a:xfrm>
                            <a:off x="0" y="0"/>
                            <a:ext cx="508034" cy="508034"/>
                          </a:xfrm>
                          <a:prstGeom prst="rect">
                            <a:avLst/>
                          </a:prstGeom>
                        </pic:spPr>
                      </pic:pic>
                    </a:graphicData>
                  </a:graphic>
                </wp:inline>
              </w:drawing>
            </w:r>
          </w:p>
        </w:tc>
        <w:tc>
          <w:tcPr>
            <w:tcW w:w="1755"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1EF7483E" w14:textId="77777777" w:rsidR="00BF194A" w:rsidRPr="008E7073" w:rsidRDefault="00BF194A">
            <w:pPr>
              <w:keepNext/>
              <w:keepLines/>
              <w:rPr>
                <w:rFonts w:cs="Arial"/>
                <w:b/>
                <w:bCs/>
                <w:color w:val="365F91" w:themeColor="accent1" w:themeShade="BF"/>
                <w:lang w:eastAsia="en-AU"/>
              </w:rPr>
            </w:pPr>
            <w:r w:rsidRPr="008E7073">
              <w:rPr>
                <w:rFonts w:cs="Arial"/>
                <w:b/>
                <w:bCs/>
                <w:color w:val="365F91" w:themeColor="accent1" w:themeShade="BF"/>
                <w:lang w:eastAsia="en-AU"/>
              </w:rPr>
              <w:t>Acute Care*</w:t>
            </w:r>
          </w:p>
        </w:tc>
        <w:tc>
          <w:tcPr>
            <w:tcW w:w="6461" w:type="dxa"/>
            <w:tcBorders>
              <w:top w:val="single" w:sz="4" w:space="0" w:color="auto"/>
              <w:left w:val="nil"/>
              <w:bottom w:val="single" w:sz="4" w:space="0" w:color="auto"/>
              <w:right w:val="nil"/>
            </w:tcBorders>
            <w:tcMar>
              <w:top w:w="72" w:type="dxa"/>
              <w:left w:w="144" w:type="dxa"/>
              <w:bottom w:w="72" w:type="dxa"/>
              <w:right w:w="144" w:type="dxa"/>
            </w:tcMar>
            <w:vAlign w:val="center"/>
          </w:tcPr>
          <w:p w14:paraId="0F9B41A7"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Median</w:t>
            </w:r>
            <w:r w:rsidRPr="008E7073">
              <w:rPr>
                <w:rFonts w:ascii="Arial" w:hAnsi="Arial" w:cs="Arial"/>
                <w:b/>
                <w:bCs/>
                <w:sz w:val="18"/>
                <w:szCs w:val="20"/>
                <w:vertAlign w:val="superscript"/>
              </w:rPr>
              <w:t>ⱡ</w:t>
            </w:r>
            <w:r w:rsidRPr="008E7073">
              <w:rPr>
                <w:rFonts w:ascii="Arial" w:hAnsi="Arial" w:cs="Arial"/>
                <w:b/>
                <w:bCs/>
                <w:sz w:val="18"/>
                <w:szCs w:val="20"/>
              </w:rPr>
              <w:t xml:space="preserve"> acute separations*:</w:t>
            </w:r>
            <w:r w:rsidRPr="008E7073">
              <w:rPr>
                <w:rFonts w:ascii="Arial" w:hAnsi="Arial" w:cs="Arial"/>
                <w:sz w:val="18"/>
                <w:szCs w:val="20"/>
              </w:rPr>
              <w:t xml:space="preserve"> 6,540</w:t>
            </w:r>
          </w:p>
          <w:p w14:paraId="52324FF3"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Median</w:t>
            </w:r>
            <w:r w:rsidRPr="008E7073">
              <w:rPr>
                <w:rFonts w:ascii="Arial" w:hAnsi="Arial" w:cs="Arial"/>
                <w:b/>
                <w:bCs/>
                <w:sz w:val="18"/>
                <w:szCs w:val="20"/>
                <w:vertAlign w:val="superscript"/>
              </w:rPr>
              <w:t>ⱡ</w:t>
            </w:r>
            <w:r w:rsidRPr="008E7073">
              <w:rPr>
                <w:rFonts w:ascii="Arial" w:hAnsi="Arial" w:cs="Arial"/>
                <w:b/>
                <w:bCs/>
                <w:sz w:val="18"/>
                <w:szCs w:val="20"/>
              </w:rPr>
              <w:t xml:space="preserve"> urgent &amp; emergency care presentations: </w:t>
            </w:r>
            <w:r w:rsidRPr="008E7073">
              <w:rPr>
                <w:rFonts w:ascii="Arial" w:hAnsi="Arial" w:cs="Arial"/>
                <w:sz w:val="18"/>
                <w:szCs w:val="20"/>
              </w:rPr>
              <w:t>10,945</w:t>
            </w:r>
          </w:p>
          <w:p w14:paraId="6F320487"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 xml:space="preserve">Median Diagnostic Related Groups (&gt;5 seps): </w:t>
            </w:r>
            <w:r w:rsidRPr="008E7073">
              <w:rPr>
                <w:rFonts w:ascii="Arial" w:hAnsi="Arial" w:cs="Arial"/>
                <w:sz w:val="18"/>
                <w:szCs w:val="20"/>
              </w:rPr>
              <w:t>158</w:t>
            </w:r>
          </w:p>
          <w:p w14:paraId="6CE4946B" w14:textId="77777777" w:rsidR="00BF194A" w:rsidRPr="008E7073" w:rsidRDefault="00BF194A">
            <w:pPr>
              <w:pStyle w:val="PlanXXspecial-appendix4table"/>
              <w:keepNext/>
              <w:keepLines/>
              <w:rPr>
                <w:rFonts w:ascii="Arial" w:hAnsi="Arial" w:cs="Arial"/>
                <w:b/>
                <w:bCs/>
                <w:sz w:val="18"/>
                <w:szCs w:val="20"/>
              </w:rPr>
            </w:pPr>
            <w:r w:rsidRPr="008E7073">
              <w:rPr>
                <w:rFonts w:ascii="Arial" w:hAnsi="Arial" w:cs="Arial"/>
                <w:b/>
                <w:bCs/>
                <w:sz w:val="18"/>
                <w:szCs w:val="20"/>
              </w:rPr>
              <w:t>Median Clinical Capability Levels:</w:t>
            </w:r>
          </w:p>
          <w:p w14:paraId="181EC3EF"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Adult Perioperative</w:t>
            </w:r>
            <w:r w:rsidRPr="008E7073">
              <w:rPr>
                <w:rFonts w:ascii="Arial" w:hAnsi="Arial" w:cs="Arial"/>
                <w:sz w:val="18"/>
                <w:szCs w:val="20"/>
              </w:rPr>
              <w:t xml:space="preserve"> – 3 (if service offered)</w:t>
            </w:r>
          </w:p>
          <w:p w14:paraId="6F4F736D"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Paediatric Perioperative</w:t>
            </w:r>
            <w:r w:rsidRPr="008E7073">
              <w:rPr>
                <w:rFonts w:ascii="Arial" w:hAnsi="Arial" w:cs="Arial"/>
                <w:sz w:val="18"/>
                <w:szCs w:val="20"/>
              </w:rPr>
              <w:t xml:space="preserve"> – 2 (if service offered)</w:t>
            </w:r>
          </w:p>
          <w:p w14:paraId="560C0100"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Maternity</w:t>
            </w:r>
            <w:r w:rsidRPr="008E7073">
              <w:rPr>
                <w:rFonts w:ascii="Arial" w:hAnsi="Arial" w:cs="Arial"/>
                <w:sz w:val="18"/>
                <w:szCs w:val="20"/>
              </w:rPr>
              <w:t xml:space="preserve"> – 3 (if service offered)</w:t>
            </w:r>
          </w:p>
          <w:p w14:paraId="258F4620"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Newborn</w:t>
            </w:r>
            <w:r w:rsidRPr="008E7073">
              <w:rPr>
                <w:rFonts w:ascii="Arial" w:hAnsi="Arial" w:cs="Arial"/>
                <w:sz w:val="18"/>
                <w:szCs w:val="20"/>
              </w:rPr>
              <w:t xml:space="preserve"> – 2 (if service offered)</w:t>
            </w:r>
          </w:p>
          <w:p w14:paraId="04820D66" w14:textId="77777777" w:rsidR="00BF194A" w:rsidRPr="008E7073" w:rsidRDefault="00BF194A">
            <w:pPr>
              <w:pStyle w:val="PlanXXspecial-appendix4table"/>
              <w:keepNext/>
              <w:keepLines/>
              <w:rPr>
                <w:rFonts w:ascii="Arial" w:hAnsi="Arial" w:cs="Arial"/>
                <w:b/>
                <w:bCs/>
                <w:sz w:val="18"/>
                <w:szCs w:val="20"/>
              </w:rPr>
            </w:pPr>
            <w:r w:rsidRPr="008E7073">
              <w:rPr>
                <w:rFonts w:ascii="Arial" w:hAnsi="Arial" w:cs="Arial"/>
                <w:b/>
                <w:bCs/>
                <w:sz w:val="18"/>
                <w:szCs w:val="20"/>
              </w:rPr>
              <w:t xml:space="preserve">Median ICU hours delivered per annum: </w:t>
            </w:r>
            <w:r w:rsidRPr="008E7073">
              <w:rPr>
                <w:rFonts w:ascii="Arial" w:hAnsi="Arial" w:cs="Arial"/>
                <w:sz w:val="18"/>
                <w:szCs w:val="20"/>
              </w:rPr>
              <w:t>0 or very limited</w:t>
            </w:r>
          </w:p>
          <w:p w14:paraId="0C48B862" w14:textId="77777777" w:rsidR="00BF194A" w:rsidRPr="008E7073" w:rsidRDefault="00BF194A">
            <w:pPr>
              <w:pStyle w:val="PlanXXspecial-appendix4table"/>
              <w:keepNext/>
              <w:keepLines/>
              <w:rPr>
                <w:rFonts w:ascii="Arial" w:hAnsi="Arial" w:cs="Arial"/>
                <w:b/>
                <w:bCs/>
                <w:sz w:val="18"/>
                <w:szCs w:val="18"/>
              </w:rPr>
            </w:pPr>
            <w:r w:rsidRPr="008E7073">
              <w:rPr>
                <w:rFonts w:ascii="Arial" w:hAnsi="Arial" w:cs="Arial"/>
                <w:b/>
                <w:bCs/>
                <w:sz w:val="18"/>
                <w:szCs w:val="20"/>
              </w:rPr>
              <w:t xml:space="preserve">Median proportion of elective separations with NWAU&gt;4.0: </w:t>
            </w:r>
            <w:r w:rsidRPr="008E7073">
              <w:rPr>
                <w:rFonts w:ascii="Arial" w:hAnsi="Arial" w:cs="Arial"/>
                <w:sz w:val="18"/>
                <w:szCs w:val="20"/>
              </w:rPr>
              <w:t>0.4%</w:t>
            </w:r>
          </w:p>
          <w:p w14:paraId="5CD62F2A"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bCs/>
                <w:sz w:val="18"/>
                <w:szCs w:val="18"/>
              </w:rPr>
              <w:t>Median health service site beds:</w:t>
            </w:r>
            <w:r w:rsidRPr="008E7073">
              <w:rPr>
                <w:rFonts w:ascii="Arial" w:hAnsi="Arial" w:cs="Arial"/>
                <w:sz w:val="18"/>
                <w:szCs w:val="18"/>
              </w:rPr>
              <w:t xml:space="preserve"> 68</w:t>
            </w:r>
          </w:p>
          <w:p w14:paraId="1FDC3481"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Avg. length of stay for overnight care:</w:t>
            </w:r>
            <w:r w:rsidRPr="008E7073">
              <w:rPr>
                <w:rFonts w:ascii="Arial" w:hAnsi="Arial" w:cs="Arial"/>
                <w:sz w:val="18"/>
                <w:szCs w:val="20"/>
              </w:rPr>
              <w:t xml:space="preserve"> 4.7 days</w:t>
            </w:r>
          </w:p>
          <w:p w14:paraId="5DD6EEF6"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bCs/>
                <w:sz w:val="18"/>
                <w:szCs w:val="18"/>
              </w:rPr>
              <w:t>Avg. local</w:t>
            </w:r>
            <w:r w:rsidRPr="008E7073">
              <w:rPr>
                <w:rFonts w:ascii="Arial" w:hAnsi="Arial" w:cs="Arial"/>
                <w:b/>
                <w:sz w:val="18"/>
                <w:szCs w:val="18"/>
              </w:rPr>
              <w:t xml:space="preserve"> self-sufficiency for acute care:</w:t>
            </w:r>
            <w:r w:rsidRPr="008E7073">
              <w:rPr>
                <w:rFonts w:ascii="Arial" w:hAnsi="Arial" w:cs="Arial"/>
                <w:sz w:val="18"/>
                <w:szCs w:val="18"/>
              </w:rPr>
              <w:t xml:space="preserve"> 70%</w:t>
            </w:r>
          </w:p>
          <w:p w14:paraId="199A32C1"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Proportion of acute bed days delivered in the home:</w:t>
            </w:r>
            <w:r w:rsidRPr="008E7073">
              <w:rPr>
                <w:rFonts w:ascii="Arial" w:hAnsi="Arial" w:cs="Arial"/>
                <w:sz w:val="18"/>
                <w:szCs w:val="20"/>
              </w:rPr>
              <w:t xml:space="preserve"> 1–20%</w:t>
            </w:r>
          </w:p>
          <w:p w14:paraId="4B99D25B"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Medical practitioners/specialists:</w:t>
            </w:r>
            <w:r w:rsidRPr="008E7073">
              <w:rPr>
                <w:rFonts w:ascii="Arial" w:hAnsi="Arial" w:cs="Arial"/>
                <w:b/>
                <w:sz w:val="18"/>
                <w:szCs w:val="20"/>
              </w:rPr>
              <w:t xml:space="preserve"> </w:t>
            </w:r>
            <w:r w:rsidRPr="008E7073">
              <w:rPr>
                <w:rFonts w:ascii="Arial" w:hAnsi="Arial" w:cs="Arial"/>
                <w:sz w:val="18"/>
                <w:szCs w:val="20"/>
              </w:rPr>
              <w:t>Typically directly employed</w:t>
            </w:r>
          </w:p>
        </w:tc>
      </w:tr>
      <w:tr w:rsidR="00BF194A" w:rsidRPr="008E7073" w14:paraId="6145BCA4" w14:textId="77777777">
        <w:trPr>
          <w:trHeight w:val="1489"/>
        </w:trPr>
        <w:tc>
          <w:tcPr>
            <w:tcW w:w="1082"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7C3FB4A3" w14:textId="77777777" w:rsidR="00BF194A" w:rsidRPr="008E7073" w:rsidRDefault="00BF194A">
            <w:pPr>
              <w:keepNext/>
              <w:keepLines/>
              <w:rPr>
                <w:rFonts w:cs="Arial"/>
                <w:lang w:eastAsia="en-AU"/>
              </w:rPr>
            </w:pPr>
            <w:r w:rsidRPr="008E7073">
              <w:rPr>
                <w:rFonts w:cs="Arial"/>
                <w:noProof/>
                <w:lang w:eastAsia="en-AU"/>
              </w:rPr>
              <w:drawing>
                <wp:inline distT="0" distB="0" distL="0" distR="0" wp14:anchorId="2839E41C" wp14:editId="4E6255C7">
                  <wp:extent cx="477079" cy="477079"/>
                  <wp:effectExtent l="0" t="0" r="0" b="0"/>
                  <wp:docPr id="533492929" name="Graphic 5334929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492929" name="Graphic 533492929">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86216" cy="486216"/>
                          </a:xfrm>
                          <a:prstGeom prst="rect">
                            <a:avLst/>
                          </a:prstGeom>
                        </pic:spPr>
                      </pic:pic>
                    </a:graphicData>
                  </a:graphic>
                </wp:inline>
              </w:drawing>
            </w:r>
          </w:p>
        </w:tc>
        <w:tc>
          <w:tcPr>
            <w:tcW w:w="1755"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3301CB46" w14:textId="77777777" w:rsidR="00BF194A" w:rsidRPr="008E7073" w:rsidRDefault="00BF194A">
            <w:pPr>
              <w:keepNext/>
              <w:keepLines/>
              <w:rPr>
                <w:rFonts w:cs="Arial"/>
                <w:b/>
                <w:bCs/>
                <w:color w:val="365F91" w:themeColor="accent1" w:themeShade="BF"/>
                <w:lang w:eastAsia="en-AU"/>
              </w:rPr>
            </w:pPr>
            <w:r w:rsidRPr="008E7073">
              <w:rPr>
                <w:rFonts w:cs="Arial"/>
                <w:b/>
                <w:bCs/>
                <w:color w:val="365F91" w:themeColor="accent1" w:themeShade="BF"/>
                <w:lang w:eastAsia="en-AU"/>
              </w:rPr>
              <w:t>Catchment Community</w:t>
            </w:r>
          </w:p>
        </w:tc>
        <w:tc>
          <w:tcPr>
            <w:tcW w:w="6461" w:type="dxa"/>
            <w:tcBorders>
              <w:top w:val="single" w:sz="4" w:space="0" w:color="auto"/>
              <w:left w:val="nil"/>
              <w:bottom w:val="single" w:sz="4" w:space="0" w:color="auto"/>
              <w:right w:val="nil"/>
            </w:tcBorders>
            <w:tcMar>
              <w:top w:w="72" w:type="dxa"/>
              <w:left w:w="144" w:type="dxa"/>
              <w:bottom w:w="72" w:type="dxa"/>
              <w:right w:w="144" w:type="dxa"/>
            </w:tcMar>
            <w:vAlign w:val="center"/>
          </w:tcPr>
          <w:p w14:paraId="66E01238"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 xml:space="preserve">Median number of LGAs serviced (&gt;50 seps): </w:t>
            </w:r>
            <w:r w:rsidRPr="008E7073">
              <w:rPr>
                <w:rFonts w:ascii="Arial" w:hAnsi="Arial" w:cs="Arial"/>
                <w:sz w:val="18"/>
                <w:szCs w:val="20"/>
              </w:rPr>
              <w:t>7</w:t>
            </w:r>
          </w:p>
          <w:p w14:paraId="3D27EDB9" w14:textId="77777777" w:rsidR="00BF194A" w:rsidRPr="008E7073" w:rsidRDefault="00BF194A">
            <w:pPr>
              <w:pStyle w:val="PlanXXspecial-appendix4table"/>
              <w:keepNext/>
              <w:keepLines/>
              <w:rPr>
                <w:rFonts w:ascii="Arial" w:hAnsi="Arial" w:cs="Arial"/>
                <w:b/>
                <w:bCs/>
                <w:sz w:val="18"/>
                <w:szCs w:val="20"/>
              </w:rPr>
            </w:pPr>
            <w:r w:rsidRPr="008E7073">
              <w:rPr>
                <w:rFonts w:ascii="Arial" w:hAnsi="Arial" w:cs="Arial"/>
                <w:b/>
                <w:bCs/>
                <w:sz w:val="18"/>
                <w:szCs w:val="20"/>
              </w:rPr>
              <w:t>Community description</w:t>
            </w:r>
          </w:p>
          <w:p w14:paraId="3FD7A3F4"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Population size:</w:t>
            </w:r>
            <w:r w:rsidRPr="008E7073">
              <w:rPr>
                <w:rFonts w:ascii="Arial" w:hAnsi="Arial" w:cs="Arial"/>
                <w:sz w:val="18"/>
                <w:szCs w:val="20"/>
              </w:rPr>
              <w:t xml:space="preserve"> 17,500–60,000 people</w:t>
            </w:r>
          </w:p>
          <w:p w14:paraId="4EB9A7FF"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Age profile:</w:t>
            </w:r>
            <w:r w:rsidRPr="008E7073">
              <w:rPr>
                <w:rFonts w:ascii="Arial" w:hAnsi="Arial" w:cs="Arial"/>
                <w:sz w:val="18"/>
                <w:szCs w:val="20"/>
              </w:rPr>
              <w:t xml:space="preserve"> older than Victorian average</w:t>
            </w:r>
          </w:p>
          <w:p w14:paraId="436ED21B"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Geographies:</w:t>
            </w:r>
            <w:r w:rsidRPr="008E7073">
              <w:rPr>
                <w:rFonts w:ascii="Arial" w:hAnsi="Arial" w:cs="Arial"/>
                <w:sz w:val="18"/>
                <w:szCs w:val="20"/>
              </w:rPr>
              <w:t xml:space="preserve"> from regional towns to suburbs of metropolitan Melbourne</w:t>
            </w:r>
          </w:p>
          <w:p w14:paraId="0D7F21F0"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Average travel time to complex health service site care:</w:t>
            </w:r>
            <w:r w:rsidRPr="008E7073">
              <w:rPr>
                <w:rFonts w:ascii="Arial" w:hAnsi="Arial" w:cs="Arial"/>
                <w:sz w:val="18"/>
                <w:szCs w:val="20"/>
              </w:rPr>
              <w:t xml:space="preserve"> 45 min (for rural Victorian services)</w:t>
            </w:r>
          </w:p>
        </w:tc>
      </w:tr>
    </w:tbl>
    <w:p w14:paraId="4B62D238" w14:textId="77777777" w:rsidR="00BF194A" w:rsidRPr="008E7073" w:rsidRDefault="00BF194A" w:rsidP="00BF194A">
      <w:pPr>
        <w:pStyle w:val="Body"/>
        <w:keepNext/>
        <w:keepLines/>
        <w:rPr>
          <w:rFonts w:eastAsia="Times New Roman" w:cs="Arial"/>
          <w:i/>
          <w:iCs/>
          <w:sz w:val="18"/>
          <w:szCs w:val="18"/>
        </w:rPr>
      </w:pPr>
      <w:r w:rsidRPr="008E7073">
        <w:rPr>
          <w:rFonts w:eastAsia="Times New Roman" w:cs="Arial"/>
          <w:i/>
          <w:iCs/>
          <w:sz w:val="16"/>
          <w:szCs w:val="16"/>
        </w:rPr>
        <w:t xml:space="preserve">* Excludes sub-acute and mental health admitted activity; </w:t>
      </w:r>
      <w:r w:rsidRPr="008E7073">
        <w:rPr>
          <w:rFonts w:cs="Arial"/>
          <w:i/>
          <w:iCs/>
          <w:sz w:val="16"/>
          <w:szCs w:val="16"/>
          <w:vertAlign w:val="superscript"/>
        </w:rPr>
        <w:t>ⱡ</w:t>
      </w:r>
      <w:r w:rsidRPr="008E7073">
        <w:rPr>
          <w:rFonts w:cs="Arial"/>
          <w:i/>
          <w:iCs/>
          <w:sz w:val="16"/>
          <w:szCs w:val="16"/>
        </w:rPr>
        <w:t>Median values are rounded to nearest 100</w:t>
      </w:r>
    </w:p>
    <w:p w14:paraId="125ABAF9" w14:textId="77777777" w:rsidR="00F03707" w:rsidRDefault="00F03707">
      <w:pPr>
        <w:spacing w:after="0" w:line="240" w:lineRule="auto"/>
        <w:rPr>
          <w:rFonts w:cs="Arial"/>
          <w:i/>
          <w:iCs/>
          <w:color w:val="1F497D" w:themeColor="text2"/>
          <w:sz w:val="18"/>
          <w:szCs w:val="18"/>
        </w:rPr>
      </w:pPr>
      <w:r>
        <w:rPr>
          <w:rFonts w:cs="Arial"/>
        </w:rPr>
        <w:br w:type="page"/>
      </w:r>
    </w:p>
    <w:p w14:paraId="292784BD" w14:textId="77777777" w:rsidR="00BF194A" w:rsidRPr="008E7073" w:rsidRDefault="00BF194A" w:rsidP="00BF194A">
      <w:pPr>
        <w:pStyle w:val="Caption"/>
        <w:keepNext/>
        <w:keepLines/>
        <w:rPr>
          <w:rFonts w:cs="Arial"/>
          <w:kern w:val="24"/>
        </w:rPr>
      </w:pPr>
      <w:r w:rsidRPr="008E7073">
        <w:rPr>
          <w:rFonts w:cs="Arial"/>
        </w:rPr>
        <w:lastRenderedPageBreak/>
        <w:t xml:space="preserve">Table </w:t>
      </w:r>
      <w:r w:rsidRPr="008E7073">
        <w:rPr>
          <w:rFonts w:cs="Arial"/>
        </w:rPr>
        <w:fldChar w:fldCharType="begin"/>
      </w:r>
      <w:r w:rsidRPr="008E7073">
        <w:rPr>
          <w:rFonts w:cs="Arial"/>
        </w:rPr>
        <w:instrText xml:space="preserve"> SEQ Table \* ARABIC </w:instrText>
      </w:r>
      <w:r w:rsidRPr="008E7073">
        <w:rPr>
          <w:rFonts w:cs="Arial"/>
        </w:rPr>
        <w:fldChar w:fldCharType="separate"/>
      </w:r>
      <w:r w:rsidRPr="008E7073">
        <w:rPr>
          <w:rFonts w:cs="Arial"/>
          <w:noProof/>
        </w:rPr>
        <w:t>6</w:t>
      </w:r>
      <w:r w:rsidRPr="008E7073">
        <w:rPr>
          <w:rFonts w:cs="Arial"/>
        </w:rPr>
        <w:fldChar w:fldCharType="end"/>
      </w:r>
      <w:r w:rsidRPr="008E7073">
        <w:rPr>
          <w:rFonts w:cs="Arial"/>
        </w:rPr>
        <w:t>. Major Hospital site characteristics</w:t>
      </w:r>
    </w:p>
    <w:tbl>
      <w:tblPr>
        <w:tblW w:w="5000" w:type="pct"/>
        <w:tblCellMar>
          <w:left w:w="0" w:type="dxa"/>
          <w:right w:w="0" w:type="dxa"/>
        </w:tblCellMar>
        <w:tblLook w:val="0420" w:firstRow="1" w:lastRow="0" w:firstColumn="0" w:lastColumn="0" w:noHBand="0" w:noVBand="1"/>
      </w:tblPr>
      <w:tblGrid>
        <w:gridCol w:w="1083"/>
        <w:gridCol w:w="1755"/>
        <w:gridCol w:w="6460"/>
      </w:tblGrid>
      <w:tr w:rsidR="00BF194A" w:rsidRPr="008E7073" w14:paraId="0AD325CF" w14:textId="77777777">
        <w:trPr>
          <w:trHeight w:val="374"/>
          <w:tblHeader/>
        </w:trPr>
        <w:tc>
          <w:tcPr>
            <w:tcW w:w="5000" w:type="pct"/>
            <w:gridSpan w:val="3"/>
            <w:tcBorders>
              <w:top w:val="single" w:sz="18" w:space="0" w:color="000000" w:themeColor="text1"/>
              <w:left w:val="nil"/>
              <w:bottom w:val="single" w:sz="18" w:space="0" w:color="000000" w:themeColor="text1"/>
              <w:right w:val="nil"/>
            </w:tcBorders>
            <w:shd w:val="clear" w:color="auto" w:fill="F2F2F2" w:themeFill="background1" w:themeFillShade="F2"/>
            <w:tcMar>
              <w:top w:w="72" w:type="dxa"/>
              <w:left w:w="144" w:type="dxa"/>
              <w:bottom w:w="72" w:type="dxa"/>
              <w:right w:w="144" w:type="dxa"/>
            </w:tcMar>
            <w:hideMark/>
          </w:tcPr>
          <w:p w14:paraId="6C1C0AB1" w14:textId="77777777" w:rsidR="00BF194A" w:rsidRPr="008E7073" w:rsidRDefault="00BF194A">
            <w:pPr>
              <w:keepNext/>
              <w:keepLines/>
              <w:rPr>
                <w:rFonts w:cs="Arial"/>
                <w:b/>
                <w:bCs/>
                <w:lang w:eastAsia="en-AU"/>
              </w:rPr>
            </w:pPr>
            <w:r w:rsidRPr="008E7073">
              <w:rPr>
                <w:rFonts w:cs="Arial"/>
                <w:b/>
                <w:bCs/>
                <w:lang w:eastAsia="en-AU"/>
              </w:rPr>
              <w:t>Description – Major Hospital Sites</w:t>
            </w:r>
          </w:p>
        </w:tc>
      </w:tr>
      <w:tr w:rsidR="00BF194A" w:rsidRPr="008E7073" w14:paraId="7C45C780" w14:textId="77777777">
        <w:trPr>
          <w:trHeight w:val="1246"/>
        </w:trPr>
        <w:tc>
          <w:tcPr>
            <w:tcW w:w="582" w:type="pct"/>
            <w:tcBorders>
              <w:top w:val="single" w:sz="18" w:space="0" w:color="000000" w:themeColor="text1"/>
              <w:left w:val="nil"/>
              <w:bottom w:val="single" w:sz="4" w:space="0" w:color="auto"/>
              <w:right w:val="nil"/>
            </w:tcBorders>
            <w:tcMar>
              <w:top w:w="72" w:type="dxa"/>
              <w:left w:w="144" w:type="dxa"/>
              <w:bottom w:w="72" w:type="dxa"/>
              <w:right w:w="144" w:type="dxa"/>
            </w:tcMar>
            <w:vAlign w:val="center"/>
            <w:hideMark/>
          </w:tcPr>
          <w:p w14:paraId="615E3344" w14:textId="77777777" w:rsidR="00BF194A" w:rsidRPr="008E7073" w:rsidRDefault="00BF194A">
            <w:pPr>
              <w:keepNext/>
              <w:keepLines/>
              <w:rPr>
                <w:rFonts w:cs="Arial"/>
                <w:lang w:eastAsia="en-AU"/>
              </w:rPr>
            </w:pPr>
            <w:r w:rsidRPr="008E7073">
              <w:rPr>
                <w:rFonts w:cs="Arial"/>
                <w:noProof/>
                <w:lang w:eastAsia="en-AU"/>
              </w:rPr>
              <w:drawing>
                <wp:inline distT="0" distB="0" distL="0" distR="0" wp14:anchorId="61F7BC80" wp14:editId="2D818963">
                  <wp:extent cx="485775" cy="485775"/>
                  <wp:effectExtent l="0" t="0" r="9525" b="0"/>
                  <wp:docPr id="1048301420" name="Graphic 10483014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301420" name="Graphic 1048301420">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5775" cy="485775"/>
                          </a:xfrm>
                          <a:prstGeom prst="rect">
                            <a:avLst/>
                          </a:prstGeom>
                        </pic:spPr>
                      </pic:pic>
                    </a:graphicData>
                  </a:graphic>
                </wp:inline>
              </w:drawing>
            </w:r>
          </w:p>
        </w:tc>
        <w:tc>
          <w:tcPr>
            <w:tcW w:w="944" w:type="pct"/>
            <w:tcBorders>
              <w:top w:val="single" w:sz="18" w:space="0" w:color="000000" w:themeColor="text1"/>
              <w:left w:val="nil"/>
              <w:bottom w:val="single" w:sz="4" w:space="0" w:color="auto"/>
              <w:right w:val="nil"/>
            </w:tcBorders>
            <w:tcMar>
              <w:top w:w="72" w:type="dxa"/>
              <w:left w:w="144" w:type="dxa"/>
              <w:bottom w:w="72" w:type="dxa"/>
              <w:right w:w="144" w:type="dxa"/>
            </w:tcMar>
            <w:vAlign w:val="center"/>
            <w:hideMark/>
          </w:tcPr>
          <w:p w14:paraId="75E192F6" w14:textId="77777777" w:rsidR="00BF194A" w:rsidRPr="008E7073" w:rsidRDefault="00BF194A">
            <w:pPr>
              <w:keepNext/>
              <w:keepLines/>
              <w:rPr>
                <w:rFonts w:cs="Arial"/>
                <w:b/>
                <w:bCs/>
                <w:color w:val="365F91" w:themeColor="accent1" w:themeShade="BF"/>
                <w:lang w:eastAsia="en-AU"/>
              </w:rPr>
            </w:pPr>
            <w:r w:rsidRPr="008E7073">
              <w:rPr>
                <w:rFonts w:cs="Arial"/>
                <w:b/>
                <w:bCs/>
                <w:color w:val="365F91" w:themeColor="accent1" w:themeShade="BF"/>
                <w:lang w:eastAsia="en-AU"/>
              </w:rPr>
              <w:t>Service Profile</w:t>
            </w:r>
          </w:p>
        </w:tc>
        <w:tc>
          <w:tcPr>
            <w:tcW w:w="3474" w:type="pct"/>
            <w:tcBorders>
              <w:top w:val="single" w:sz="18" w:space="0" w:color="000000" w:themeColor="text1"/>
              <w:left w:val="nil"/>
              <w:bottom w:val="single" w:sz="4" w:space="0" w:color="auto"/>
              <w:right w:val="nil"/>
            </w:tcBorders>
            <w:tcMar>
              <w:top w:w="72" w:type="dxa"/>
              <w:left w:w="144" w:type="dxa"/>
              <w:bottom w:w="72" w:type="dxa"/>
              <w:right w:w="144" w:type="dxa"/>
            </w:tcMar>
            <w:vAlign w:val="center"/>
          </w:tcPr>
          <w:p w14:paraId="69CFF0B5"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sz w:val="18"/>
                <w:szCs w:val="20"/>
              </w:rPr>
              <w:t>Typical types of services per General Health service site facilities plus:</w:t>
            </w:r>
          </w:p>
          <w:p w14:paraId="69524E02" w14:textId="77777777" w:rsidR="00BF194A" w:rsidRPr="008E7073" w:rsidRDefault="00BF194A">
            <w:pPr>
              <w:pStyle w:val="PlanXXSpecial-Appendix4figuredots"/>
              <w:keepNext/>
              <w:keepLines/>
              <w:rPr>
                <w:rFonts w:ascii="Arial" w:hAnsi="Arial" w:cs="Arial"/>
                <w:sz w:val="18"/>
              </w:rPr>
            </w:pPr>
            <w:r w:rsidRPr="008E7073">
              <w:rPr>
                <w:rFonts w:ascii="Arial" w:hAnsi="Arial" w:cs="Arial"/>
                <w:sz w:val="18"/>
              </w:rPr>
              <w:t>emergency department (24/7)</w:t>
            </w:r>
          </w:p>
          <w:p w14:paraId="15877F0B" w14:textId="77777777" w:rsidR="00BF194A" w:rsidRPr="008E7073" w:rsidRDefault="00BF194A">
            <w:pPr>
              <w:pStyle w:val="PlanXXSpecial-Appendix4figuredots"/>
              <w:keepNext/>
              <w:keepLines/>
              <w:rPr>
                <w:rFonts w:ascii="Arial" w:hAnsi="Arial" w:cs="Arial"/>
                <w:sz w:val="18"/>
              </w:rPr>
            </w:pPr>
            <w:r w:rsidRPr="008E7073">
              <w:rPr>
                <w:rFonts w:ascii="Arial" w:hAnsi="Arial" w:cs="Arial"/>
                <w:sz w:val="18"/>
              </w:rPr>
              <w:t>acute and sub-acute overnight care with a range of sub</w:t>
            </w:r>
            <w:r w:rsidRPr="008E7073">
              <w:rPr>
                <w:rFonts w:ascii="Arial" w:hAnsi="Arial" w:cs="Arial"/>
                <w:sz w:val="18"/>
              </w:rPr>
              <w:noBreakHyphen/>
              <w:t>specialties</w:t>
            </w:r>
          </w:p>
          <w:p w14:paraId="0A217415" w14:textId="77777777" w:rsidR="00BF194A" w:rsidRPr="008E7073" w:rsidRDefault="00BF194A">
            <w:pPr>
              <w:pStyle w:val="PlanXXSpecial-Appendix4figuredots"/>
              <w:keepNext/>
              <w:keepLines/>
              <w:rPr>
                <w:rFonts w:ascii="Arial" w:hAnsi="Arial" w:cs="Arial"/>
                <w:sz w:val="18"/>
              </w:rPr>
            </w:pPr>
            <w:r w:rsidRPr="008E7073">
              <w:rPr>
                <w:rFonts w:ascii="Arial" w:hAnsi="Arial" w:cs="Arial"/>
                <w:sz w:val="18"/>
              </w:rPr>
              <w:t xml:space="preserve">pregnancy care for low and moderate risk pregnancies and newborns </w:t>
            </w:r>
          </w:p>
          <w:p w14:paraId="406F0E1D" w14:textId="77777777" w:rsidR="00BF194A" w:rsidRPr="008E7073" w:rsidRDefault="00BF194A">
            <w:pPr>
              <w:pStyle w:val="PlanXXSpecial-Appendix4figuredots"/>
              <w:keepNext/>
              <w:keepLines/>
              <w:rPr>
                <w:rFonts w:ascii="Arial" w:hAnsi="Arial" w:cs="Arial"/>
                <w:sz w:val="18"/>
              </w:rPr>
            </w:pPr>
            <w:r w:rsidRPr="008E7073">
              <w:rPr>
                <w:rFonts w:ascii="Arial" w:hAnsi="Arial" w:cs="Arial"/>
                <w:sz w:val="18"/>
              </w:rPr>
              <w:t>Paediatric services</w:t>
            </w:r>
          </w:p>
          <w:p w14:paraId="7F7D491F" w14:textId="77777777" w:rsidR="00BF194A" w:rsidRPr="008E7073" w:rsidRDefault="00BF194A">
            <w:pPr>
              <w:pStyle w:val="PlanXXSpecial-Appendix4figuredots"/>
              <w:keepNext/>
              <w:keepLines/>
              <w:rPr>
                <w:rFonts w:ascii="Arial" w:hAnsi="Arial" w:cs="Arial"/>
                <w:sz w:val="18"/>
              </w:rPr>
            </w:pPr>
            <w:r w:rsidRPr="008E7073">
              <w:rPr>
                <w:rFonts w:ascii="Arial" w:hAnsi="Arial" w:cs="Arial"/>
                <w:sz w:val="18"/>
              </w:rPr>
              <w:t>may provide acute mental health services</w:t>
            </w:r>
          </w:p>
          <w:p w14:paraId="046B1B42" w14:textId="77777777" w:rsidR="00BF194A" w:rsidRPr="008E7073" w:rsidRDefault="00BF194A">
            <w:pPr>
              <w:pStyle w:val="PlanXXSpecial-Appendix4figuredots"/>
              <w:keepNext/>
              <w:keepLines/>
              <w:rPr>
                <w:rFonts w:ascii="Arial" w:hAnsi="Arial" w:cs="Arial"/>
                <w:sz w:val="18"/>
              </w:rPr>
            </w:pPr>
            <w:r w:rsidRPr="008E7073">
              <w:rPr>
                <w:rFonts w:ascii="Arial" w:hAnsi="Arial" w:cs="Arial"/>
                <w:sz w:val="18"/>
              </w:rPr>
              <w:t>dedicated intensive care unit</w:t>
            </w:r>
          </w:p>
          <w:p w14:paraId="1C016328" w14:textId="77777777" w:rsidR="00BF194A" w:rsidRPr="008E7073" w:rsidRDefault="00BF194A">
            <w:pPr>
              <w:pStyle w:val="PlanXXSpecial-Appendix4figuredots"/>
              <w:keepNext/>
              <w:keepLines/>
              <w:rPr>
                <w:rFonts w:ascii="Arial" w:hAnsi="Arial" w:cs="Arial"/>
                <w:sz w:val="18"/>
              </w:rPr>
            </w:pPr>
            <w:r w:rsidRPr="008E7073">
              <w:rPr>
                <w:rFonts w:ascii="Arial" w:hAnsi="Arial" w:cs="Arial"/>
                <w:sz w:val="18"/>
              </w:rPr>
              <w:t>education and training performed on site</w:t>
            </w:r>
          </w:p>
        </w:tc>
      </w:tr>
      <w:tr w:rsidR="00BF194A" w:rsidRPr="008E7073" w14:paraId="113392FC" w14:textId="77777777">
        <w:trPr>
          <w:trHeight w:val="1553"/>
        </w:trPr>
        <w:tc>
          <w:tcPr>
            <w:tcW w:w="582" w:type="pct"/>
            <w:tcBorders>
              <w:top w:val="single" w:sz="4" w:space="0" w:color="auto"/>
              <w:left w:val="nil"/>
              <w:bottom w:val="single" w:sz="4" w:space="0" w:color="auto"/>
              <w:right w:val="nil"/>
            </w:tcBorders>
            <w:tcMar>
              <w:top w:w="72" w:type="dxa"/>
              <w:left w:w="144" w:type="dxa"/>
              <w:bottom w:w="72" w:type="dxa"/>
              <w:right w:w="144" w:type="dxa"/>
            </w:tcMar>
            <w:vAlign w:val="center"/>
          </w:tcPr>
          <w:p w14:paraId="1C036EC4" w14:textId="77777777" w:rsidR="00BF194A" w:rsidRPr="008E7073" w:rsidRDefault="00BF194A">
            <w:pPr>
              <w:keepNext/>
              <w:keepLines/>
              <w:rPr>
                <w:rFonts w:cs="Arial"/>
                <w:noProof/>
                <w:lang w:eastAsia="en-AU"/>
              </w:rPr>
            </w:pPr>
            <w:r w:rsidRPr="008E7073">
              <w:rPr>
                <w:rFonts w:cs="Arial"/>
                <w:noProof/>
                <w:lang w:eastAsia="en-AU"/>
              </w:rPr>
              <w:drawing>
                <wp:inline distT="0" distB="0" distL="0" distR="0" wp14:anchorId="4DE1EC44" wp14:editId="5D80697D">
                  <wp:extent cx="475488" cy="475488"/>
                  <wp:effectExtent l="0" t="0" r="0" b="1270"/>
                  <wp:docPr id="663378231"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378231" name="Graphic 2">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480114" cy="480114"/>
                          </a:xfrm>
                          <a:prstGeom prst="rect">
                            <a:avLst/>
                          </a:prstGeom>
                        </pic:spPr>
                      </pic:pic>
                    </a:graphicData>
                  </a:graphic>
                </wp:inline>
              </w:drawing>
            </w:r>
          </w:p>
        </w:tc>
        <w:tc>
          <w:tcPr>
            <w:tcW w:w="944" w:type="pct"/>
            <w:tcBorders>
              <w:top w:val="single" w:sz="4" w:space="0" w:color="auto"/>
              <w:left w:val="nil"/>
              <w:bottom w:val="single" w:sz="4" w:space="0" w:color="auto"/>
              <w:right w:val="nil"/>
            </w:tcBorders>
            <w:tcMar>
              <w:top w:w="72" w:type="dxa"/>
              <w:left w:w="144" w:type="dxa"/>
              <w:bottom w:w="72" w:type="dxa"/>
              <w:right w:w="144" w:type="dxa"/>
            </w:tcMar>
            <w:vAlign w:val="center"/>
          </w:tcPr>
          <w:p w14:paraId="4ABD1305" w14:textId="77777777" w:rsidR="00BF194A" w:rsidRPr="008E7073" w:rsidRDefault="00BF194A">
            <w:pPr>
              <w:keepNext/>
              <w:keepLines/>
              <w:rPr>
                <w:rFonts w:cs="Arial"/>
                <w:b/>
                <w:bCs/>
                <w:color w:val="365F91" w:themeColor="accent1" w:themeShade="BF"/>
                <w:lang w:eastAsia="en-AU"/>
              </w:rPr>
            </w:pPr>
            <w:r w:rsidRPr="008E7073">
              <w:rPr>
                <w:rFonts w:cs="Arial"/>
                <w:b/>
                <w:bCs/>
                <w:color w:val="365F91" w:themeColor="accent1" w:themeShade="BF"/>
                <w:lang w:eastAsia="en-AU"/>
              </w:rPr>
              <w:t>Primary &amp; Aged Care</w:t>
            </w:r>
          </w:p>
        </w:tc>
        <w:tc>
          <w:tcPr>
            <w:tcW w:w="3474" w:type="pct"/>
            <w:tcBorders>
              <w:top w:val="single" w:sz="4" w:space="0" w:color="auto"/>
              <w:left w:val="nil"/>
              <w:bottom w:val="single" w:sz="4" w:space="0" w:color="auto"/>
              <w:right w:val="nil"/>
            </w:tcBorders>
            <w:tcMar>
              <w:top w:w="72" w:type="dxa"/>
              <w:left w:w="144" w:type="dxa"/>
              <w:bottom w:w="72" w:type="dxa"/>
              <w:right w:w="144" w:type="dxa"/>
            </w:tcMar>
            <w:vAlign w:val="center"/>
          </w:tcPr>
          <w:p w14:paraId="528F7B09" w14:textId="77777777" w:rsidR="00BF194A" w:rsidRPr="008E7073" w:rsidRDefault="00BF194A">
            <w:pPr>
              <w:pStyle w:val="Body"/>
              <w:keepNext/>
              <w:keepLines/>
              <w:rPr>
                <w:rFonts w:cs="Arial"/>
                <w:sz w:val="18"/>
              </w:rPr>
            </w:pPr>
            <w:r w:rsidRPr="008E7073">
              <w:rPr>
                <w:rFonts w:cs="Arial"/>
                <w:b/>
                <w:bCs/>
                <w:sz w:val="18"/>
              </w:rPr>
              <w:t>Public Sector Residential Aged Care places:</w:t>
            </w:r>
            <w:r w:rsidRPr="008E7073">
              <w:rPr>
                <w:rFonts w:cs="Arial"/>
                <w:sz w:val="18"/>
              </w:rPr>
              <w:t xml:space="preserve"> Varies</w:t>
            </w:r>
          </w:p>
          <w:p w14:paraId="656FE867" w14:textId="77777777" w:rsidR="00BF194A" w:rsidRPr="008E7073" w:rsidRDefault="00BF194A">
            <w:pPr>
              <w:pStyle w:val="Body"/>
              <w:keepNext/>
              <w:keepLines/>
              <w:rPr>
                <w:rFonts w:cs="Arial"/>
                <w:sz w:val="18"/>
              </w:rPr>
            </w:pPr>
            <w:r w:rsidRPr="008E7073">
              <w:rPr>
                <w:rFonts w:cs="Arial"/>
                <w:b/>
                <w:bCs/>
                <w:sz w:val="18"/>
              </w:rPr>
              <w:t>Primary health services:</w:t>
            </w:r>
            <w:r w:rsidRPr="008E7073">
              <w:rPr>
                <w:rFonts w:cs="Arial"/>
                <w:sz w:val="18"/>
              </w:rPr>
              <w:t xml:space="preserve"> may provide services like General Health service sites or have patient referral pathways to local community health service organisations. </w:t>
            </w:r>
          </w:p>
        </w:tc>
      </w:tr>
      <w:tr w:rsidR="00BF194A" w:rsidRPr="008E7073" w14:paraId="1FF2719E" w14:textId="77777777">
        <w:trPr>
          <w:trHeight w:val="1553"/>
        </w:trPr>
        <w:tc>
          <w:tcPr>
            <w:tcW w:w="582" w:type="pct"/>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029A7FAE" w14:textId="77777777" w:rsidR="00BF194A" w:rsidRPr="008E7073" w:rsidRDefault="00BF194A">
            <w:pPr>
              <w:keepNext/>
              <w:keepLines/>
              <w:rPr>
                <w:rFonts w:cs="Arial"/>
                <w:lang w:eastAsia="en-AU"/>
              </w:rPr>
            </w:pPr>
            <w:r w:rsidRPr="008E7073">
              <w:rPr>
                <w:rFonts w:cs="Arial"/>
                <w:noProof/>
                <w:lang w:eastAsia="en-AU"/>
              </w:rPr>
              <w:drawing>
                <wp:inline distT="0" distB="0" distL="0" distR="0" wp14:anchorId="64BFC6FA" wp14:editId="225BC80A">
                  <wp:extent cx="504749" cy="504749"/>
                  <wp:effectExtent l="0" t="0" r="0" b="0"/>
                  <wp:docPr id="136645087"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5087" name="Graphic 1">
                            <a:extLst>
                              <a:ext uri="{C183D7F6-B498-43B3-948B-1728B52AA6E4}">
                                <adec:decorative xmlns:adec="http://schemas.microsoft.com/office/drawing/2017/decorative" val="1"/>
                              </a:ext>
                            </a:extLst>
                          </pic:cNvPr>
                          <pic:cNvPicPr/>
                        </pic:nvPicPr>
                        <pic:blipFill>
                          <a:blip r:embed="rId21">
                            <a:extLst>
                              <a:ext uri="{96DAC541-7B7A-43D3-8B79-37D633B846F1}">
                                <asvg:svgBlip xmlns:asvg="http://schemas.microsoft.com/office/drawing/2016/SVG/main" r:embed="rId22"/>
                              </a:ext>
                            </a:extLst>
                          </a:blip>
                          <a:stretch>
                            <a:fillRect/>
                          </a:stretch>
                        </pic:blipFill>
                        <pic:spPr>
                          <a:xfrm>
                            <a:off x="0" y="0"/>
                            <a:ext cx="508034" cy="508034"/>
                          </a:xfrm>
                          <a:prstGeom prst="rect">
                            <a:avLst/>
                          </a:prstGeom>
                        </pic:spPr>
                      </pic:pic>
                    </a:graphicData>
                  </a:graphic>
                </wp:inline>
              </w:drawing>
            </w:r>
          </w:p>
        </w:tc>
        <w:tc>
          <w:tcPr>
            <w:tcW w:w="944" w:type="pct"/>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7C20D72D" w14:textId="77777777" w:rsidR="00BF194A" w:rsidRPr="008E7073" w:rsidRDefault="00BF194A">
            <w:pPr>
              <w:keepNext/>
              <w:keepLines/>
              <w:rPr>
                <w:rFonts w:cs="Arial"/>
                <w:b/>
                <w:bCs/>
                <w:color w:val="365F91" w:themeColor="accent1" w:themeShade="BF"/>
                <w:lang w:eastAsia="en-AU"/>
              </w:rPr>
            </w:pPr>
            <w:r w:rsidRPr="008E7073">
              <w:rPr>
                <w:rFonts w:cs="Arial"/>
                <w:b/>
                <w:bCs/>
                <w:color w:val="365F91" w:themeColor="accent1" w:themeShade="BF"/>
                <w:lang w:eastAsia="en-AU"/>
              </w:rPr>
              <w:t>Acute Care*</w:t>
            </w:r>
          </w:p>
        </w:tc>
        <w:tc>
          <w:tcPr>
            <w:tcW w:w="3474" w:type="pct"/>
            <w:tcBorders>
              <w:top w:val="single" w:sz="4" w:space="0" w:color="auto"/>
              <w:left w:val="nil"/>
              <w:bottom w:val="single" w:sz="4" w:space="0" w:color="auto"/>
              <w:right w:val="nil"/>
            </w:tcBorders>
            <w:tcMar>
              <w:top w:w="72" w:type="dxa"/>
              <w:left w:w="144" w:type="dxa"/>
              <w:bottom w:w="72" w:type="dxa"/>
              <w:right w:w="144" w:type="dxa"/>
            </w:tcMar>
            <w:vAlign w:val="center"/>
          </w:tcPr>
          <w:p w14:paraId="12EBD68F"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Median</w:t>
            </w:r>
            <w:r w:rsidRPr="008E7073">
              <w:rPr>
                <w:rFonts w:ascii="Arial" w:hAnsi="Arial" w:cs="Arial"/>
                <w:b/>
                <w:bCs/>
                <w:sz w:val="18"/>
                <w:szCs w:val="20"/>
                <w:vertAlign w:val="superscript"/>
              </w:rPr>
              <w:t>ⱡ</w:t>
            </w:r>
            <w:r w:rsidRPr="008E7073">
              <w:rPr>
                <w:rFonts w:ascii="Arial" w:hAnsi="Arial" w:cs="Arial"/>
                <w:b/>
                <w:bCs/>
                <w:sz w:val="18"/>
                <w:szCs w:val="20"/>
              </w:rPr>
              <w:t xml:space="preserve"> acute separations*:</w:t>
            </w:r>
            <w:r w:rsidRPr="008E7073">
              <w:rPr>
                <w:rFonts w:ascii="Arial" w:hAnsi="Arial" w:cs="Arial"/>
                <w:sz w:val="18"/>
                <w:szCs w:val="20"/>
              </w:rPr>
              <w:t xml:space="preserve"> 23,140</w:t>
            </w:r>
          </w:p>
          <w:p w14:paraId="7C92E411"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Median</w:t>
            </w:r>
            <w:r w:rsidRPr="008E7073">
              <w:rPr>
                <w:rFonts w:ascii="Arial" w:hAnsi="Arial" w:cs="Arial"/>
                <w:b/>
                <w:bCs/>
                <w:sz w:val="18"/>
                <w:szCs w:val="20"/>
                <w:vertAlign w:val="superscript"/>
              </w:rPr>
              <w:t>ⱡ</w:t>
            </w:r>
            <w:r w:rsidRPr="008E7073">
              <w:rPr>
                <w:rFonts w:ascii="Arial" w:hAnsi="Arial" w:cs="Arial"/>
                <w:b/>
                <w:bCs/>
                <w:sz w:val="18"/>
                <w:szCs w:val="20"/>
              </w:rPr>
              <w:t xml:space="preserve"> urgent &amp; emergency care presentations: </w:t>
            </w:r>
            <w:r w:rsidRPr="008E7073">
              <w:rPr>
                <w:rFonts w:ascii="Arial" w:hAnsi="Arial" w:cs="Arial"/>
                <w:sz w:val="18"/>
                <w:szCs w:val="20"/>
              </w:rPr>
              <w:t>31,384</w:t>
            </w:r>
          </w:p>
          <w:p w14:paraId="2A446241"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 xml:space="preserve">Median Diagnostic Related Groups (&gt;5 seps): </w:t>
            </w:r>
            <w:r w:rsidRPr="008E7073">
              <w:rPr>
                <w:rFonts w:ascii="Arial" w:hAnsi="Arial" w:cs="Arial"/>
                <w:sz w:val="18"/>
                <w:szCs w:val="20"/>
              </w:rPr>
              <w:t>366</w:t>
            </w:r>
          </w:p>
          <w:p w14:paraId="1C7A17AE" w14:textId="77777777" w:rsidR="00BF194A" w:rsidRPr="008E7073" w:rsidRDefault="00BF194A">
            <w:pPr>
              <w:pStyle w:val="PlanXXspecial-appendix4table"/>
              <w:keepNext/>
              <w:keepLines/>
              <w:rPr>
                <w:rFonts w:ascii="Arial" w:hAnsi="Arial" w:cs="Arial"/>
                <w:b/>
                <w:bCs/>
                <w:sz w:val="18"/>
                <w:szCs w:val="20"/>
              </w:rPr>
            </w:pPr>
            <w:r w:rsidRPr="008E7073">
              <w:rPr>
                <w:rFonts w:ascii="Arial" w:hAnsi="Arial" w:cs="Arial"/>
                <w:b/>
                <w:bCs/>
                <w:sz w:val="18"/>
                <w:szCs w:val="20"/>
              </w:rPr>
              <w:t>Median Clinical Capability Levels:</w:t>
            </w:r>
          </w:p>
          <w:p w14:paraId="12EB2D4E"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Adult Perioperative</w:t>
            </w:r>
            <w:r w:rsidRPr="008E7073">
              <w:rPr>
                <w:rFonts w:ascii="Arial" w:hAnsi="Arial" w:cs="Arial"/>
                <w:sz w:val="18"/>
                <w:szCs w:val="20"/>
              </w:rPr>
              <w:t xml:space="preserve"> – 4 (if service offered)</w:t>
            </w:r>
          </w:p>
          <w:p w14:paraId="6335BA90"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Paediatric Perioperative</w:t>
            </w:r>
            <w:r w:rsidRPr="008E7073">
              <w:rPr>
                <w:rFonts w:ascii="Arial" w:hAnsi="Arial" w:cs="Arial"/>
                <w:sz w:val="18"/>
                <w:szCs w:val="20"/>
              </w:rPr>
              <w:t xml:space="preserve"> – 3 (if service offered)</w:t>
            </w:r>
          </w:p>
          <w:p w14:paraId="1F430D1E"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Maternity</w:t>
            </w:r>
            <w:r w:rsidRPr="008E7073">
              <w:rPr>
                <w:rFonts w:ascii="Arial" w:hAnsi="Arial" w:cs="Arial"/>
                <w:sz w:val="18"/>
                <w:szCs w:val="20"/>
              </w:rPr>
              <w:t xml:space="preserve"> – 4 (if service offered)</w:t>
            </w:r>
          </w:p>
          <w:p w14:paraId="6A5AF377"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Newborn</w:t>
            </w:r>
            <w:r w:rsidRPr="008E7073">
              <w:rPr>
                <w:rFonts w:ascii="Arial" w:hAnsi="Arial" w:cs="Arial"/>
                <w:sz w:val="18"/>
                <w:szCs w:val="20"/>
              </w:rPr>
              <w:t xml:space="preserve"> – 3 (if service offered)</w:t>
            </w:r>
          </w:p>
          <w:p w14:paraId="3E3B0595" w14:textId="77777777" w:rsidR="00BF194A" w:rsidRPr="008E7073" w:rsidRDefault="00BF194A">
            <w:pPr>
              <w:pStyle w:val="PlanXXspecial-appendix4table"/>
              <w:keepNext/>
              <w:keepLines/>
              <w:rPr>
                <w:rFonts w:ascii="Arial" w:hAnsi="Arial" w:cs="Arial"/>
                <w:b/>
                <w:bCs/>
                <w:sz w:val="18"/>
                <w:szCs w:val="20"/>
              </w:rPr>
            </w:pPr>
            <w:r w:rsidRPr="008E7073">
              <w:rPr>
                <w:rFonts w:ascii="Arial" w:hAnsi="Arial" w:cs="Arial"/>
                <w:b/>
                <w:bCs/>
                <w:sz w:val="18"/>
                <w:szCs w:val="20"/>
              </w:rPr>
              <w:t xml:space="preserve">Median ICU hours delivered per annum: </w:t>
            </w:r>
            <w:r w:rsidRPr="008E7073">
              <w:rPr>
                <w:rFonts w:ascii="Arial" w:hAnsi="Arial" w:cs="Arial"/>
                <w:sz w:val="18"/>
                <w:szCs w:val="20"/>
              </w:rPr>
              <w:t>43,998</w:t>
            </w:r>
          </w:p>
          <w:p w14:paraId="7951E770" w14:textId="77777777" w:rsidR="00BF194A" w:rsidRPr="008E7073" w:rsidRDefault="00BF194A">
            <w:pPr>
              <w:pStyle w:val="PlanXXspecial-appendix4table"/>
              <w:keepNext/>
              <w:keepLines/>
              <w:rPr>
                <w:rFonts w:ascii="Arial" w:hAnsi="Arial" w:cs="Arial"/>
                <w:b/>
                <w:bCs/>
                <w:sz w:val="18"/>
                <w:szCs w:val="18"/>
              </w:rPr>
            </w:pPr>
            <w:r w:rsidRPr="008E7073">
              <w:rPr>
                <w:rFonts w:ascii="Arial" w:hAnsi="Arial" w:cs="Arial"/>
                <w:b/>
                <w:bCs/>
                <w:sz w:val="18"/>
                <w:szCs w:val="20"/>
              </w:rPr>
              <w:t xml:space="preserve">Median proportion of elective separations with NWAU&gt;4.0: </w:t>
            </w:r>
            <w:r w:rsidRPr="008E7073">
              <w:rPr>
                <w:rFonts w:ascii="Arial" w:hAnsi="Arial" w:cs="Arial"/>
                <w:sz w:val="18"/>
                <w:szCs w:val="20"/>
              </w:rPr>
              <w:t>0.6%</w:t>
            </w:r>
          </w:p>
          <w:p w14:paraId="5628AA5F"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bCs/>
                <w:sz w:val="18"/>
                <w:szCs w:val="18"/>
              </w:rPr>
              <w:t>Median health service site beds:</w:t>
            </w:r>
            <w:r w:rsidRPr="008E7073">
              <w:rPr>
                <w:rFonts w:ascii="Arial" w:hAnsi="Arial" w:cs="Arial"/>
                <w:sz w:val="18"/>
                <w:szCs w:val="18"/>
              </w:rPr>
              <w:t xml:space="preserve"> 188</w:t>
            </w:r>
          </w:p>
          <w:p w14:paraId="711CF3EC"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Avg. length of stay for overnight care:</w:t>
            </w:r>
            <w:r w:rsidRPr="008E7073">
              <w:rPr>
                <w:rFonts w:ascii="Arial" w:hAnsi="Arial" w:cs="Arial"/>
                <w:sz w:val="18"/>
                <w:szCs w:val="20"/>
              </w:rPr>
              <w:t xml:space="preserve"> 4.5 days</w:t>
            </w:r>
          </w:p>
          <w:p w14:paraId="7EC696C6"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bCs/>
                <w:sz w:val="18"/>
                <w:szCs w:val="18"/>
              </w:rPr>
              <w:t>Avg. subregional</w:t>
            </w:r>
            <w:r w:rsidRPr="008E7073">
              <w:rPr>
                <w:rFonts w:ascii="Arial" w:hAnsi="Arial" w:cs="Arial"/>
                <w:b/>
                <w:sz w:val="18"/>
                <w:szCs w:val="18"/>
              </w:rPr>
              <w:t xml:space="preserve"> self-sufficiency for acute care</w:t>
            </w:r>
            <w:r w:rsidRPr="008E7073">
              <w:rPr>
                <w:rFonts w:ascii="Arial" w:hAnsi="Arial" w:cs="Arial"/>
                <w:sz w:val="18"/>
                <w:szCs w:val="18"/>
                <w:vertAlign w:val="superscript"/>
              </w:rPr>
              <w:t xml:space="preserve"> ¥</w:t>
            </w:r>
            <w:r w:rsidRPr="008E7073">
              <w:rPr>
                <w:rFonts w:ascii="Arial" w:hAnsi="Arial" w:cs="Arial"/>
                <w:b/>
                <w:bCs/>
                <w:sz w:val="18"/>
                <w:szCs w:val="18"/>
              </w:rPr>
              <w:t>:</w:t>
            </w:r>
            <w:r w:rsidRPr="008E7073">
              <w:rPr>
                <w:rFonts w:ascii="Arial" w:hAnsi="Arial" w:cs="Arial"/>
                <w:sz w:val="18"/>
                <w:szCs w:val="18"/>
              </w:rPr>
              <w:t xml:space="preserve"> 80%</w:t>
            </w:r>
          </w:p>
          <w:p w14:paraId="23931574"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Proportion of acute bed days delivered in the home:</w:t>
            </w:r>
            <w:r w:rsidRPr="008E7073">
              <w:rPr>
                <w:rFonts w:ascii="Arial" w:hAnsi="Arial" w:cs="Arial"/>
                <w:sz w:val="18"/>
                <w:szCs w:val="20"/>
              </w:rPr>
              <w:t xml:space="preserve"> 12–25%</w:t>
            </w:r>
          </w:p>
          <w:p w14:paraId="5CAACFCA"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Medical practitioners/specialists:</w:t>
            </w:r>
            <w:r w:rsidRPr="008E7073">
              <w:rPr>
                <w:rFonts w:ascii="Arial" w:hAnsi="Arial" w:cs="Arial"/>
                <w:sz w:val="18"/>
                <w:szCs w:val="20"/>
              </w:rPr>
              <w:t xml:space="preserve"> Directly employed</w:t>
            </w:r>
          </w:p>
        </w:tc>
      </w:tr>
      <w:tr w:rsidR="00BF194A" w:rsidRPr="008E7073" w14:paraId="57ADAF90" w14:textId="77777777">
        <w:trPr>
          <w:trHeight w:val="1489"/>
        </w:trPr>
        <w:tc>
          <w:tcPr>
            <w:tcW w:w="582" w:type="pct"/>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32FD9031" w14:textId="77777777" w:rsidR="00BF194A" w:rsidRPr="008E7073" w:rsidRDefault="00BF194A">
            <w:pPr>
              <w:keepNext/>
              <w:keepLines/>
              <w:rPr>
                <w:rFonts w:cs="Arial"/>
                <w:lang w:eastAsia="en-AU"/>
              </w:rPr>
            </w:pPr>
            <w:r w:rsidRPr="008E7073">
              <w:rPr>
                <w:rFonts w:cs="Arial"/>
                <w:noProof/>
                <w:lang w:eastAsia="en-AU"/>
              </w:rPr>
              <w:drawing>
                <wp:inline distT="0" distB="0" distL="0" distR="0" wp14:anchorId="5E3BA8FF" wp14:editId="3615E320">
                  <wp:extent cx="477079" cy="477079"/>
                  <wp:effectExtent l="0" t="0" r="0" b="0"/>
                  <wp:docPr id="329575254" name="Graphic 3295752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575254" name="Graphic 329575254">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86216" cy="486216"/>
                          </a:xfrm>
                          <a:prstGeom prst="rect">
                            <a:avLst/>
                          </a:prstGeom>
                        </pic:spPr>
                      </pic:pic>
                    </a:graphicData>
                  </a:graphic>
                </wp:inline>
              </w:drawing>
            </w:r>
          </w:p>
        </w:tc>
        <w:tc>
          <w:tcPr>
            <w:tcW w:w="944" w:type="pct"/>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449180D1" w14:textId="77777777" w:rsidR="00BF194A" w:rsidRPr="008E7073" w:rsidRDefault="00BF194A">
            <w:pPr>
              <w:keepNext/>
              <w:keepLines/>
              <w:rPr>
                <w:rFonts w:cs="Arial"/>
                <w:b/>
                <w:bCs/>
                <w:color w:val="365F91" w:themeColor="accent1" w:themeShade="BF"/>
                <w:lang w:eastAsia="en-AU"/>
              </w:rPr>
            </w:pPr>
            <w:r w:rsidRPr="008E7073">
              <w:rPr>
                <w:rFonts w:cs="Arial"/>
                <w:b/>
                <w:bCs/>
                <w:color w:val="365F91" w:themeColor="accent1" w:themeShade="BF"/>
                <w:lang w:eastAsia="en-AU"/>
              </w:rPr>
              <w:t>Catchment Community</w:t>
            </w:r>
          </w:p>
        </w:tc>
        <w:tc>
          <w:tcPr>
            <w:tcW w:w="3474" w:type="pct"/>
            <w:tcBorders>
              <w:top w:val="single" w:sz="4" w:space="0" w:color="auto"/>
              <w:left w:val="nil"/>
              <w:bottom w:val="single" w:sz="4" w:space="0" w:color="auto"/>
              <w:right w:val="nil"/>
            </w:tcBorders>
            <w:tcMar>
              <w:top w:w="72" w:type="dxa"/>
              <w:left w:w="144" w:type="dxa"/>
              <w:bottom w:w="72" w:type="dxa"/>
              <w:right w:w="144" w:type="dxa"/>
            </w:tcMar>
            <w:vAlign w:val="center"/>
          </w:tcPr>
          <w:p w14:paraId="1D07A3AD"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Median number of LGAs serviced (&gt;50 seps):</w:t>
            </w:r>
            <w:r w:rsidRPr="008E7073">
              <w:rPr>
                <w:rFonts w:ascii="Arial" w:hAnsi="Arial" w:cs="Arial"/>
                <w:sz w:val="18"/>
                <w:szCs w:val="20"/>
              </w:rPr>
              <w:t xml:space="preserve"> 12</w:t>
            </w:r>
          </w:p>
          <w:p w14:paraId="491EDDD8" w14:textId="77777777" w:rsidR="00BF194A" w:rsidRPr="008E7073" w:rsidRDefault="00BF194A">
            <w:pPr>
              <w:pStyle w:val="PlanXXspecial-appendix4table"/>
              <w:keepNext/>
              <w:keepLines/>
              <w:rPr>
                <w:rFonts w:ascii="Arial" w:hAnsi="Arial" w:cs="Arial"/>
                <w:b/>
                <w:bCs/>
                <w:sz w:val="18"/>
                <w:szCs w:val="20"/>
              </w:rPr>
            </w:pPr>
            <w:r w:rsidRPr="008E7073">
              <w:rPr>
                <w:rFonts w:ascii="Arial" w:hAnsi="Arial" w:cs="Arial"/>
                <w:b/>
                <w:bCs/>
                <w:sz w:val="18"/>
                <w:szCs w:val="20"/>
              </w:rPr>
              <w:t>Community description</w:t>
            </w:r>
          </w:p>
          <w:p w14:paraId="40317193"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Population size:</w:t>
            </w:r>
            <w:r w:rsidRPr="008E7073">
              <w:rPr>
                <w:rFonts w:ascii="Arial" w:hAnsi="Arial" w:cs="Arial"/>
                <w:sz w:val="18"/>
                <w:szCs w:val="20"/>
              </w:rPr>
              <w:t xml:space="preserve"> 60,000 – 140,000 people</w:t>
            </w:r>
          </w:p>
          <w:p w14:paraId="43DEE088"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Age profile:</w:t>
            </w:r>
            <w:r w:rsidRPr="008E7073">
              <w:rPr>
                <w:rFonts w:ascii="Arial" w:hAnsi="Arial" w:cs="Arial"/>
                <w:sz w:val="18"/>
                <w:szCs w:val="20"/>
              </w:rPr>
              <w:t xml:space="preserve"> varied</w:t>
            </w:r>
          </w:p>
          <w:p w14:paraId="585889DC"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Geographies:</w:t>
            </w:r>
            <w:r w:rsidRPr="008E7073">
              <w:rPr>
                <w:rFonts w:ascii="Arial" w:hAnsi="Arial" w:cs="Arial"/>
                <w:sz w:val="18"/>
                <w:szCs w:val="20"/>
              </w:rPr>
              <w:t xml:space="preserve"> large rural sub-regions or urban communities </w:t>
            </w:r>
          </w:p>
        </w:tc>
      </w:tr>
    </w:tbl>
    <w:p w14:paraId="3D34FDB5" w14:textId="77777777" w:rsidR="00BF194A" w:rsidRPr="008E7073" w:rsidRDefault="00BF194A" w:rsidP="00BF194A">
      <w:pPr>
        <w:pStyle w:val="Body"/>
        <w:keepNext/>
        <w:keepLines/>
        <w:rPr>
          <w:rFonts w:cs="Arial"/>
          <w:sz w:val="18"/>
          <w:szCs w:val="18"/>
          <w:vertAlign w:val="superscript"/>
        </w:rPr>
      </w:pPr>
      <w:r w:rsidRPr="008E7073">
        <w:rPr>
          <w:rFonts w:eastAsia="Times New Roman" w:cs="Arial"/>
          <w:i/>
          <w:iCs/>
          <w:sz w:val="16"/>
          <w:szCs w:val="16"/>
        </w:rPr>
        <w:t xml:space="preserve">* Excludes sub-acute and mental health admitted activity; </w:t>
      </w:r>
      <w:r w:rsidRPr="008E7073">
        <w:rPr>
          <w:rFonts w:cs="Arial"/>
          <w:i/>
          <w:iCs/>
          <w:sz w:val="16"/>
          <w:szCs w:val="16"/>
          <w:vertAlign w:val="superscript"/>
        </w:rPr>
        <w:t>ⱡ</w:t>
      </w:r>
      <w:r w:rsidRPr="008E7073">
        <w:rPr>
          <w:rFonts w:cs="Arial"/>
          <w:i/>
          <w:iCs/>
          <w:sz w:val="16"/>
          <w:szCs w:val="16"/>
        </w:rPr>
        <w:t xml:space="preserve">Median values are rounded to nearest 100; </w:t>
      </w:r>
      <w:r w:rsidRPr="008E7073">
        <w:rPr>
          <w:rFonts w:cs="Arial"/>
          <w:sz w:val="18"/>
          <w:szCs w:val="18"/>
          <w:vertAlign w:val="superscript"/>
        </w:rPr>
        <w:t>¥</w:t>
      </w:r>
      <w:r w:rsidRPr="008E7073">
        <w:rPr>
          <w:rFonts w:cs="Arial"/>
          <w:i/>
          <w:iCs/>
          <w:sz w:val="16"/>
          <w:szCs w:val="16"/>
        </w:rPr>
        <w:t>Collective self-sufficiency across all sites within a subregion</w:t>
      </w:r>
    </w:p>
    <w:p w14:paraId="34F5CCCA" w14:textId="77777777" w:rsidR="00BF194A" w:rsidRPr="008E7073" w:rsidRDefault="00BF194A" w:rsidP="00BF194A">
      <w:pPr>
        <w:pStyle w:val="Body"/>
        <w:keepNext/>
        <w:keepLines/>
        <w:rPr>
          <w:rFonts w:cs="Arial"/>
          <w:i/>
          <w:iCs/>
          <w:sz w:val="16"/>
          <w:szCs w:val="16"/>
        </w:rPr>
      </w:pPr>
    </w:p>
    <w:p w14:paraId="54BE3886" w14:textId="77777777" w:rsidR="00BF194A" w:rsidRPr="008E7073" w:rsidRDefault="00BF194A" w:rsidP="00BF194A">
      <w:pPr>
        <w:pStyle w:val="Body"/>
        <w:keepNext/>
        <w:keepLines/>
        <w:rPr>
          <w:rFonts w:cs="Arial"/>
          <w:i/>
          <w:iCs/>
          <w:sz w:val="16"/>
          <w:szCs w:val="16"/>
        </w:rPr>
      </w:pPr>
    </w:p>
    <w:p w14:paraId="208B5009" w14:textId="77777777" w:rsidR="00BF194A" w:rsidRPr="008E7073" w:rsidRDefault="00BF194A" w:rsidP="00BF194A">
      <w:pPr>
        <w:pStyle w:val="Caption"/>
        <w:keepNext/>
        <w:keepLines/>
        <w:rPr>
          <w:rFonts w:cs="Arial"/>
        </w:rPr>
      </w:pPr>
    </w:p>
    <w:p w14:paraId="11EBD40E" w14:textId="77777777" w:rsidR="00F03707" w:rsidRDefault="00F03707">
      <w:pPr>
        <w:spacing w:after="0" w:line="240" w:lineRule="auto"/>
        <w:rPr>
          <w:rFonts w:cs="Arial"/>
          <w:i/>
          <w:iCs/>
          <w:color w:val="1F497D" w:themeColor="text2"/>
          <w:sz w:val="18"/>
          <w:szCs w:val="18"/>
        </w:rPr>
      </w:pPr>
      <w:r>
        <w:rPr>
          <w:rFonts w:cs="Arial"/>
        </w:rPr>
        <w:br w:type="page"/>
      </w:r>
    </w:p>
    <w:p w14:paraId="1B8A3D91" w14:textId="5AFDD51C" w:rsidR="00BF194A" w:rsidRPr="008E7073" w:rsidRDefault="00BF194A" w:rsidP="00BF194A">
      <w:pPr>
        <w:pStyle w:val="Caption"/>
        <w:keepNext/>
        <w:keepLines/>
        <w:rPr>
          <w:rFonts w:cs="Arial"/>
          <w:kern w:val="24"/>
        </w:rPr>
      </w:pPr>
      <w:r w:rsidRPr="008E7073">
        <w:rPr>
          <w:rFonts w:cs="Arial"/>
        </w:rPr>
        <w:lastRenderedPageBreak/>
        <w:t xml:space="preserve">Table </w:t>
      </w:r>
      <w:r w:rsidRPr="008E7073">
        <w:rPr>
          <w:rFonts w:cs="Arial"/>
        </w:rPr>
        <w:fldChar w:fldCharType="begin"/>
      </w:r>
      <w:r w:rsidRPr="008E7073">
        <w:rPr>
          <w:rFonts w:cs="Arial"/>
        </w:rPr>
        <w:instrText xml:space="preserve"> SEQ Table \* ARABIC </w:instrText>
      </w:r>
      <w:r w:rsidRPr="008E7073">
        <w:rPr>
          <w:rFonts w:cs="Arial"/>
        </w:rPr>
        <w:fldChar w:fldCharType="separate"/>
      </w:r>
      <w:r w:rsidRPr="008E7073">
        <w:rPr>
          <w:rFonts w:cs="Arial"/>
          <w:noProof/>
        </w:rPr>
        <w:t>7</w:t>
      </w:r>
      <w:r w:rsidRPr="008E7073">
        <w:rPr>
          <w:rFonts w:cs="Arial"/>
        </w:rPr>
        <w:fldChar w:fldCharType="end"/>
      </w:r>
      <w:r w:rsidRPr="008E7073">
        <w:rPr>
          <w:rFonts w:cs="Arial"/>
        </w:rPr>
        <w:t>. Principal H</w:t>
      </w:r>
      <w:r w:rsidR="005A5F50">
        <w:rPr>
          <w:rFonts w:cs="Arial"/>
        </w:rPr>
        <w:t>ospital</w:t>
      </w:r>
      <w:r w:rsidRPr="008E7073">
        <w:rPr>
          <w:rFonts w:cs="Arial"/>
        </w:rPr>
        <w:t xml:space="preserve"> site characteristics</w:t>
      </w:r>
    </w:p>
    <w:tbl>
      <w:tblPr>
        <w:tblW w:w="9297" w:type="dxa"/>
        <w:tblCellMar>
          <w:left w:w="0" w:type="dxa"/>
          <w:right w:w="0" w:type="dxa"/>
        </w:tblCellMar>
        <w:tblLook w:val="0420" w:firstRow="1" w:lastRow="0" w:firstColumn="0" w:lastColumn="0" w:noHBand="0" w:noVBand="1"/>
      </w:tblPr>
      <w:tblGrid>
        <w:gridCol w:w="1100"/>
        <w:gridCol w:w="71"/>
        <w:gridCol w:w="1684"/>
        <w:gridCol w:w="6442"/>
      </w:tblGrid>
      <w:tr w:rsidR="00BF194A" w:rsidRPr="008E7073" w14:paraId="46784DF3" w14:textId="77777777">
        <w:trPr>
          <w:trHeight w:val="174"/>
          <w:tblHeader/>
        </w:trPr>
        <w:tc>
          <w:tcPr>
            <w:tcW w:w="9297" w:type="dxa"/>
            <w:gridSpan w:val="4"/>
            <w:tcBorders>
              <w:top w:val="single" w:sz="18" w:space="0" w:color="000000" w:themeColor="text1"/>
              <w:left w:val="nil"/>
              <w:bottom w:val="single" w:sz="18" w:space="0" w:color="000000" w:themeColor="text1"/>
              <w:right w:val="nil"/>
            </w:tcBorders>
            <w:shd w:val="clear" w:color="auto" w:fill="F2F2F2" w:themeFill="background1" w:themeFillShade="F2"/>
            <w:tcMar>
              <w:top w:w="72" w:type="dxa"/>
              <w:left w:w="144" w:type="dxa"/>
              <w:bottom w:w="72" w:type="dxa"/>
              <w:right w:w="144" w:type="dxa"/>
            </w:tcMar>
            <w:hideMark/>
          </w:tcPr>
          <w:p w14:paraId="2168A46B" w14:textId="1505BFB7" w:rsidR="00BF194A" w:rsidRPr="008E7073" w:rsidRDefault="00BF194A">
            <w:pPr>
              <w:keepNext/>
              <w:keepLines/>
              <w:rPr>
                <w:rFonts w:cs="Arial"/>
                <w:b/>
                <w:lang w:eastAsia="en-AU"/>
              </w:rPr>
            </w:pPr>
            <w:r w:rsidRPr="008E7073">
              <w:rPr>
                <w:rFonts w:cs="Arial"/>
                <w:b/>
                <w:lang w:eastAsia="en-AU"/>
              </w:rPr>
              <w:t>Description – Principal Hospital Sites</w:t>
            </w:r>
          </w:p>
        </w:tc>
      </w:tr>
      <w:tr w:rsidR="00BF194A" w:rsidRPr="008E7073" w14:paraId="65AD9A4B" w14:textId="77777777">
        <w:trPr>
          <w:trHeight w:val="762"/>
        </w:trPr>
        <w:tc>
          <w:tcPr>
            <w:tcW w:w="1100" w:type="dxa"/>
            <w:tcBorders>
              <w:top w:val="single" w:sz="18" w:space="0" w:color="000000" w:themeColor="text1"/>
              <w:left w:val="nil"/>
              <w:bottom w:val="single" w:sz="4" w:space="0" w:color="auto"/>
              <w:right w:val="nil"/>
            </w:tcBorders>
            <w:tcMar>
              <w:top w:w="72" w:type="dxa"/>
              <w:left w:w="144" w:type="dxa"/>
              <w:bottom w:w="72" w:type="dxa"/>
              <w:right w:w="144" w:type="dxa"/>
            </w:tcMar>
            <w:vAlign w:val="center"/>
            <w:hideMark/>
          </w:tcPr>
          <w:p w14:paraId="10533C25" w14:textId="77777777" w:rsidR="00BF194A" w:rsidRPr="008E7073" w:rsidRDefault="00BF194A">
            <w:pPr>
              <w:keepNext/>
              <w:keepLines/>
              <w:rPr>
                <w:rFonts w:cs="Arial"/>
                <w:lang w:eastAsia="en-AU"/>
              </w:rPr>
            </w:pPr>
            <w:r w:rsidRPr="008E7073">
              <w:rPr>
                <w:rFonts w:cs="Arial"/>
                <w:noProof/>
                <w:lang w:eastAsia="en-AU"/>
              </w:rPr>
              <w:drawing>
                <wp:inline distT="0" distB="0" distL="0" distR="0" wp14:anchorId="72778024" wp14:editId="00B72503">
                  <wp:extent cx="485775" cy="485775"/>
                  <wp:effectExtent l="0" t="0" r="9525" b="0"/>
                  <wp:docPr id="1764978784" name="Graphic 17649787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978784" name="Graphic 1764978784">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5775" cy="485775"/>
                          </a:xfrm>
                          <a:prstGeom prst="rect">
                            <a:avLst/>
                          </a:prstGeom>
                        </pic:spPr>
                      </pic:pic>
                    </a:graphicData>
                  </a:graphic>
                </wp:inline>
              </w:drawing>
            </w:r>
          </w:p>
        </w:tc>
        <w:tc>
          <w:tcPr>
            <w:tcW w:w="1755" w:type="dxa"/>
            <w:gridSpan w:val="2"/>
            <w:tcBorders>
              <w:top w:val="single" w:sz="18" w:space="0" w:color="000000" w:themeColor="text1"/>
              <w:left w:val="nil"/>
              <w:bottom w:val="single" w:sz="4" w:space="0" w:color="auto"/>
              <w:right w:val="nil"/>
            </w:tcBorders>
            <w:tcMar>
              <w:top w:w="72" w:type="dxa"/>
              <w:left w:w="144" w:type="dxa"/>
              <w:bottom w:w="72" w:type="dxa"/>
              <w:right w:w="144" w:type="dxa"/>
            </w:tcMar>
            <w:vAlign w:val="center"/>
            <w:hideMark/>
          </w:tcPr>
          <w:p w14:paraId="64371B40" w14:textId="77777777" w:rsidR="00BF194A" w:rsidRPr="008E7073" w:rsidRDefault="00BF194A">
            <w:pPr>
              <w:keepNext/>
              <w:keepLines/>
              <w:rPr>
                <w:rFonts w:cs="Arial"/>
                <w:b/>
                <w:bCs/>
                <w:color w:val="365F91" w:themeColor="accent1" w:themeShade="BF"/>
                <w:lang w:eastAsia="en-AU"/>
              </w:rPr>
            </w:pPr>
            <w:r w:rsidRPr="008E7073">
              <w:rPr>
                <w:rFonts w:cs="Arial"/>
                <w:b/>
                <w:bCs/>
                <w:color w:val="365F91" w:themeColor="accent1" w:themeShade="BF"/>
                <w:lang w:eastAsia="en-AU"/>
              </w:rPr>
              <w:t>Service Profile</w:t>
            </w:r>
          </w:p>
        </w:tc>
        <w:tc>
          <w:tcPr>
            <w:tcW w:w="6442" w:type="dxa"/>
            <w:tcBorders>
              <w:top w:val="single" w:sz="18" w:space="0" w:color="000000" w:themeColor="text1"/>
              <w:left w:val="nil"/>
              <w:bottom w:val="single" w:sz="4" w:space="0" w:color="auto"/>
              <w:right w:val="nil"/>
            </w:tcBorders>
            <w:tcMar>
              <w:top w:w="72" w:type="dxa"/>
              <w:left w:w="144" w:type="dxa"/>
              <w:bottom w:w="72" w:type="dxa"/>
              <w:right w:w="144" w:type="dxa"/>
            </w:tcMar>
            <w:vAlign w:val="center"/>
          </w:tcPr>
          <w:p w14:paraId="311D4EDA" w14:textId="77777777" w:rsidR="00BF194A" w:rsidRPr="008E7073" w:rsidRDefault="00BF194A">
            <w:pPr>
              <w:pStyle w:val="PlanXXspecial-appendix4table"/>
              <w:keepNext/>
              <w:keepLines/>
              <w:spacing w:after="0"/>
              <w:rPr>
                <w:rFonts w:ascii="Arial" w:hAnsi="Arial" w:cs="Arial"/>
                <w:sz w:val="18"/>
                <w:szCs w:val="20"/>
              </w:rPr>
            </w:pPr>
            <w:r w:rsidRPr="008E7073">
              <w:rPr>
                <w:rFonts w:ascii="Arial" w:hAnsi="Arial" w:cs="Arial"/>
                <w:sz w:val="18"/>
                <w:szCs w:val="20"/>
              </w:rPr>
              <w:t>Typical types of services per Major Health service site facilities plus:</w:t>
            </w:r>
          </w:p>
          <w:p w14:paraId="4C66CA8D" w14:textId="77777777" w:rsidR="00BF194A" w:rsidRPr="008E7073" w:rsidRDefault="00BF194A">
            <w:pPr>
              <w:pStyle w:val="PlanXXSpecial-Appendix4figuredots"/>
              <w:keepNext/>
              <w:keepLines/>
              <w:spacing w:after="0"/>
              <w:rPr>
                <w:rFonts w:ascii="Arial" w:hAnsi="Arial" w:cs="Arial"/>
                <w:sz w:val="18"/>
              </w:rPr>
            </w:pPr>
            <w:r w:rsidRPr="008E7073">
              <w:rPr>
                <w:rFonts w:ascii="Arial" w:hAnsi="Arial" w:cs="Arial"/>
                <w:sz w:val="18"/>
              </w:rPr>
              <w:t>acute and sub-acute overnight care with most sub</w:t>
            </w:r>
            <w:r w:rsidRPr="008E7073">
              <w:rPr>
                <w:rFonts w:ascii="Arial" w:hAnsi="Arial" w:cs="Arial"/>
                <w:sz w:val="18"/>
              </w:rPr>
              <w:noBreakHyphen/>
              <w:t>specialties</w:t>
            </w:r>
          </w:p>
          <w:p w14:paraId="1E755665" w14:textId="77777777" w:rsidR="00BF194A" w:rsidRPr="008E7073" w:rsidRDefault="00BF194A">
            <w:pPr>
              <w:pStyle w:val="PlanXXSpecial-Appendix4figuredots"/>
              <w:keepNext/>
              <w:keepLines/>
              <w:spacing w:after="0"/>
              <w:rPr>
                <w:rFonts w:ascii="Arial" w:hAnsi="Arial" w:cs="Arial"/>
                <w:sz w:val="18"/>
              </w:rPr>
            </w:pPr>
            <w:r w:rsidRPr="008E7073">
              <w:rPr>
                <w:rFonts w:ascii="Arial" w:hAnsi="Arial" w:cs="Arial"/>
                <w:sz w:val="18"/>
              </w:rPr>
              <w:t>large emergency departments</w:t>
            </w:r>
          </w:p>
          <w:p w14:paraId="16802BFF" w14:textId="77777777" w:rsidR="00BF194A" w:rsidRPr="008E7073" w:rsidRDefault="00BF194A">
            <w:pPr>
              <w:pStyle w:val="PlanXXSpecial-Appendix4figuredots"/>
              <w:keepNext/>
              <w:keepLines/>
              <w:spacing w:after="0"/>
              <w:rPr>
                <w:rFonts w:ascii="Arial" w:hAnsi="Arial" w:cs="Arial"/>
                <w:sz w:val="18"/>
              </w:rPr>
            </w:pPr>
            <w:r w:rsidRPr="008E7073">
              <w:rPr>
                <w:rFonts w:ascii="Arial" w:hAnsi="Arial" w:cs="Arial"/>
                <w:sz w:val="18"/>
              </w:rPr>
              <w:t>large ICUs with high level of critical care</w:t>
            </w:r>
          </w:p>
          <w:p w14:paraId="4E249E2B" w14:textId="77777777" w:rsidR="00BF194A" w:rsidRPr="008E7073" w:rsidRDefault="00BF194A">
            <w:pPr>
              <w:pStyle w:val="PlanXXSpecial-Appendix4figuredots"/>
              <w:keepNext/>
              <w:keepLines/>
              <w:spacing w:after="0"/>
              <w:rPr>
                <w:rFonts w:ascii="Arial" w:hAnsi="Arial" w:cs="Arial"/>
                <w:sz w:val="18"/>
              </w:rPr>
            </w:pPr>
            <w:r w:rsidRPr="008E7073">
              <w:rPr>
                <w:rFonts w:ascii="Arial" w:hAnsi="Arial" w:cs="Arial"/>
                <w:sz w:val="18"/>
              </w:rPr>
              <w:t>may provide acute mental health services</w:t>
            </w:r>
          </w:p>
          <w:p w14:paraId="6DD4AADD" w14:textId="77B14984" w:rsidR="00BF194A" w:rsidRPr="008E7073" w:rsidRDefault="00BF194A">
            <w:pPr>
              <w:pStyle w:val="PlanXXSpecial-Appendix4figuredots"/>
              <w:keepNext/>
              <w:keepLines/>
              <w:spacing w:after="0"/>
              <w:rPr>
                <w:rFonts w:ascii="Arial" w:hAnsi="Arial" w:cs="Arial"/>
                <w:sz w:val="18"/>
              </w:rPr>
            </w:pPr>
            <w:r w:rsidRPr="008E7073">
              <w:rPr>
                <w:rFonts w:ascii="Arial" w:hAnsi="Arial" w:cs="Arial"/>
                <w:sz w:val="18"/>
              </w:rPr>
              <w:t>maternity and newborn service, inpatient and outpatient paediatric service, cardiology service, oncology service and other general specialty acute service</w:t>
            </w:r>
            <w:r w:rsidR="00542F0F">
              <w:rPr>
                <w:rFonts w:ascii="Arial" w:hAnsi="Arial" w:cs="Arial"/>
                <w:sz w:val="18"/>
              </w:rPr>
              <w:t>s</w:t>
            </w:r>
            <w:r w:rsidRPr="008E7073">
              <w:rPr>
                <w:rFonts w:ascii="Arial" w:hAnsi="Arial" w:cs="Arial"/>
                <w:sz w:val="18"/>
              </w:rPr>
              <w:t xml:space="preserve"> operating at a high level.</w:t>
            </w:r>
          </w:p>
          <w:p w14:paraId="12ABD8EC" w14:textId="77777777" w:rsidR="00BF194A" w:rsidRPr="008E7073" w:rsidRDefault="00BF194A">
            <w:pPr>
              <w:pStyle w:val="PlanXXSpecial-Appendix4figuredots"/>
              <w:keepNext/>
              <w:keepLines/>
              <w:spacing w:after="0"/>
              <w:rPr>
                <w:rFonts w:ascii="Arial" w:hAnsi="Arial" w:cs="Arial"/>
                <w:sz w:val="18"/>
              </w:rPr>
            </w:pPr>
            <w:r w:rsidRPr="008E7073">
              <w:rPr>
                <w:rFonts w:ascii="Arial" w:hAnsi="Arial" w:cs="Arial"/>
                <w:sz w:val="18"/>
              </w:rPr>
              <w:t>research, education and advanced training performed on site</w:t>
            </w:r>
          </w:p>
        </w:tc>
      </w:tr>
      <w:tr w:rsidR="00BF194A" w:rsidRPr="008E7073" w14:paraId="638F3ABD" w14:textId="77777777">
        <w:trPr>
          <w:trHeight w:val="1553"/>
        </w:trPr>
        <w:tc>
          <w:tcPr>
            <w:tcW w:w="1171" w:type="dxa"/>
            <w:gridSpan w:val="2"/>
            <w:tcBorders>
              <w:top w:val="single" w:sz="4" w:space="0" w:color="auto"/>
              <w:left w:val="nil"/>
              <w:bottom w:val="single" w:sz="4" w:space="0" w:color="auto"/>
              <w:right w:val="nil"/>
            </w:tcBorders>
            <w:tcMar>
              <w:top w:w="72" w:type="dxa"/>
              <w:left w:w="144" w:type="dxa"/>
              <w:bottom w:w="72" w:type="dxa"/>
              <w:right w:w="144" w:type="dxa"/>
            </w:tcMar>
            <w:vAlign w:val="center"/>
          </w:tcPr>
          <w:p w14:paraId="500510CD" w14:textId="77777777" w:rsidR="00BF194A" w:rsidRPr="008E7073" w:rsidRDefault="00BF194A">
            <w:pPr>
              <w:keepNext/>
              <w:keepLines/>
              <w:rPr>
                <w:rFonts w:cs="Arial"/>
                <w:noProof/>
                <w:color w:val="365F91" w:themeColor="accent1" w:themeShade="BF"/>
                <w:lang w:eastAsia="en-AU"/>
              </w:rPr>
            </w:pPr>
            <w:r w:rsidRPr="008E7073">
              <w:rPr>
                <w:rFonts w:cs="Arial"/>
                <w:noProof/>
                <w:color w:val="365F91" w:themeColor="accent1" w:themeShade="BF"/>
                <w:lang w:eastAsia="en-AU"/>
              </w:rPr>
              <w:drawing>
                <wp:inline distT="0" distB="0" distL="0" distR="0" wp14:anchorId="4609420A" wp14:editId="0D13842A">
                  <wp:extent cx="474980" cy="474980"/>
                  <wp:effectExtent l="0" t="0" r="0" b="1270"/>
                  <wp:docPr id="163379339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793392" name="Graphic 2">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480114" cy="480114"/>
                          </a:xfrm>
                          <a:prstGeom prst="rect">
                            <a:avLst/>
                          </a:prstGeom>
                        </pic:spPr>
                      </pic:pic>
                    </a:graphicData>
                  </a:graphic>
                </wp:inline>
              </w:drawing>
            </w:r>
          </w:p>
        </w:tc>
        <w:tc>
          <w:tcPr>
            <w:tcW w:w="1684" w:type="dxa"/>
            <w:tcBorders>
              <w:top w:val="single" w:sz="4" w:space="0" w:color="auto"/>
              <w:left w:val="nil"/>
              <w:bottom w:val="single" w:sz="4" w:space="0" w:color="auto"/>
              <w:right w:val="nil"/>
            </w:tcBorders>
            <w:tcMar>
              <w:top w:w="72" w:type="dxa"/>
              <w:left w:w="144" w:type="dxa"/>
              <w:bottom w:w="72" w:type="dxa"/>
              <w:right w:w="144" w:type="dxa"/>
            </w:tcMar>
            <w:vAlign w:val="center"/>
          </w:tcPr>
          <w:p w14:paraId="6D627557" w14:textId="77777777" w:rsidR="00BF194A" w:rsidRPr="008E7073" w:rsidRDefault="00BF194A">
            <w:pPr>
              <w:keepNext/>
              <w:keepLines/>
              <w:rPr>
                <w:rFonts w:cs="Arial"/>
                <w:b/>
                <w:bCs/>
                <w:color w:val="365F91" w:themeColor="accent1" w:themeShade="BF"/>
                <w:lang w:eastAsia="en-AU"/>
              </w:rPr>
            </w:pPr>
            <w:r w:rsidRPr="008E7073">
              <w:rPr>
                <w:rFonts w:cs="Arial"/>
                <w:b/>
                <w:bCs/>
                <w:color w:val="365F91" w:themeColor="accent1" w:themeShade="BF"/>
                <w:lang w:eastAsia="en-AU"/>
              </w:rPr>
              <w:t>Primary &amp; Aged Care</w:t>
            </w:r>
          </w:p>
        </w:tc>
        <w:tc>
          <w:tcPr>
            <w:tcW w:w="6442" w:type="dxa"/>
            <w:tcBorders>
              <w:top w:val="single" w:sz="4" w:space="0" w:color="auto"/>
              <w:left w:val="nil"/>
              <w:bottom w:val="single" w:sz="4" w:space="0" w:color="auto"/>
              <w:right w:val="nil"/>
            </w:tcBorders>
            <w:tcMar>
              <w:top w:w="72" w:type="dxa"/>
              <w:left w:w="144" w:type="dxa"/>
              <w:bottom w:w="72" w:type="dxa"/>
              <w:right w:w="144" w:type="dxa"/>
            </w:tcMar>
            <w:vAlign w:val="center"/>
          </w:tcPr>
          <w:p w14:paraId="753C87E2" w14:textId="77777777" w:rsidR="00BF194A" w:rsidRPr="008E7073" w:rsidRDefault="00BF194A">
            <w:pPr>
              <w:pStyle w:val="Body"/>
              <w:keepNext/>
              <w:keepLines/>
              <w:rPr>
                <w:rFonts w:cs="Arial"/>
                <w:sz w:val="18"/>
                <w:szCs w:val="18"/>
              </w:rPr>
            </w:pPr>
            <w:r w:rsidRPr="008E7073">
              <w:rPr>
                <w:rFonts w:cs="Arial"/>
                <w:b/>
                <w:sz w:val="18"/>
                <w:szCs w:val="18"/>
              </w:rPr>
              <w:t>Public Sector Residential Aged Care places:</w:t>
            </w:r>
            <w:r w:rsidRPr="008E7073">
              <w:rPr>
                <w:rFonts w:cs="Arial"/>
                <w:sz w:val="18"/>
                <w:szCs w:val="18"/>
              </w:rPr>
              <w:t xml:space="preserve"> Typically not co-located on the health service site</w:t>
            </w:r>
          </w:p>
          <w:p w14:paraId="2E35DDEB" w14:textId="77777777" w:rsidR="00BF194A" w:rsidRPr="008E7073" w:rsidRDefault="00BF194A">
            <w:pPr>
              <w:pStyle w:val="Body"/>
              <w:keepNext/>
              <w:keepLines/>
              <w:rPr>
                <w:rFonts w:cs="Arial"/>
                <w:sz w:val="18"/>
              </w:rPr>
            </w:pPr>
            <w:r w:rsidRPr="008E7073">
              <w:rPr>
                <w:rFonts w:cs="Arial"/>
                <w:b/>
                <w:bCs/>
                <w:sz w:val="18"/>
              </w:rPr>
              <w:t>Primary health services:</w:t>
            </w:r>
            <w:r w:rsidRPr="008E7073">
              <w:rPr>
                <w:rFonts w:cs="Arial"/>
                <w:sz w:val="18"/>
              </w:rPr>
              <w:t xml:space="preserve"> Metropolitan health service sites will have patient referral pathways to local community health service organisations. Rural services may operate these services directly. </w:t>
            </w:r>
          </w:p>
        </w:tc>
      </w:tr>
      <w:tr w:rsidR="00BF194A" w:rsidRPr="008E7073" w14:paraId="102FFF3E" w14:textId="77777777">
        <w:trPr>
          <w:trHeight w:val="753"/>
        </w:trPr>
        <w:tc>
          <w:tcPr>
            <w:tcW w:w="1100"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08CD519C" w14:textId="77777777" w:rsidR="00BF194A" w:rsidRPr="008E7073" w:rsidRDefault="00BF194A">
            <w:pPr>
              <w:keepNext/>
              <w:keepLines/>
              <w:rPr>
                <w:rFonts w:cs="Arial"/>
                <w:lang w:eastAsia="en-AU"/>
              </w:rPr>
            </w:pPr>
            <w:r w:rsidRPr="008E7073">
              <w:rPr>
                <w:rFonts w:cs="Arial"/>
                <w:noProof/>
                <w:lang w:eastAsia="en-AU"/>
              </w:rPr>
              <w:drawing>
                <wp:inline distT="0" distB="0" distL="0" distR="0" wp14:anchorId="226490CD" wp14:editId="40C1E8D8">
                  <wp:extent cx="504749" cy="504749"/>
                  <wp:effectExtent l="0" t="0" r="0" b="0"/>
                  <wp:docPr id="196044517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45171" name="Graphic 1">
                            <a:extLst>
                              <a:ext uri="{C183D7F6-B498-43B3-948B-1728B52AA6E4}">
                                <adec:decorative xmlns:adec="http://schemas.microsoft.com/office/drawing/2017/decorative" val="1"/>
                              </a:ext>
                            </a:extLst>
                          </pic:cNvPr>
                          <pic:cNvPicPr/>
                        </pic:nvPicPr>
                        <pic:blipFill>
                          <a:blip r:embed="rId21">
                            <a:extLst>
                              <a:ext uri="{96DAC541-7B7A-43D3-8B79-37D633B846F1}">
                                <asvg:svgBlip xmlns:asvg="http://schemas.microsoft.com/office/drawing/2016/SVG/main" r:embed="rId22"/>
                              </a:ext>
                            </a:extLst>
                          </a:blip>
                          <a:stretch>
                            <a:fillRect/>
                          </a:stretch>
                        </pic:blipFill>
                        <pic:spPr>
                          <a:xfrm>
                            <a:off x="0" y="0"/>
                            <a:ext cx="508034" cy="508034"/>
                          </a:xfrm>
                          <a:prstGeom prst="rect">
                            <a:avLst/>
                          </a:prstGeom>
                        </pic:spPr>
                      </pic:pic>
                    </a:graphicData>
                  </a:graphic>
                </wp:inline>
              </w:drawing>
            </w:r>
          </w:p>
        </w:tc>
        <w:tc>
          <w:tcPr>
            <w:tcW w:w="1755" w:type="dxa"/>
            <w:gridSpan w:val="2"/>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47C08532" w14:textId="77777777" w:rsidR="00BF194A" w:rsidRPr="008E7073" w:rsidRDefault="00BF194A">
            <w:pPr>
              <w:keepNext/>
              <w:keepLines/>
              <w:rPr>
                <w:rFonts w:cs="Arial"/>
                <w:b/>
                <w:bCs/>
                <w:color w:val="365F91" w:themeColor="accent1" w:themeShade="BF"/>
                <w:lang w:eastAsia="en-AU"/>
              </w:rPr>
            </w:pPr>
            <w:r w:rsidRPr="008E7073">
              <w:rPr>
                <w:rFonts w:cs="Arial"/>
                <w:b/>
                <w:bCs/>
                <w:color w:val="365F91" w:themeColor="accent1" w:themeShade="BF"/>
                <w:lang w:eastAsia="en-AU"/>
              </w:rPr>
              <w:t>Acute Care*</w:t>
            </w:r>
          </w:p>
        </w:tc>
        <w:tc>
          <w:tcPr>
            <w:tcW w:w="6442" w:type="dxa"/>
            <w:tcBorders>
              <w:top w:val="single" w:sz="4" w:space="0" w:color="auto"/>
              <w:left w:val="nil"/>
              <w:bottom w:val="single" w:sz="4" w:space="0" w:color="auto"/>
              <w:right w:val="nil"/>
            </w:tcBorders>
            <w:tcMar>
              <w:top w:w="72" w:type="dxa"/>
              <w:left w:w="144" w:type="dxa"/>
              <w:bottom w:w="72" w:type="dxa"/>
              <w:right w:w="144" w:type="dxa"/>
            </w:tcMar>
            <w:vAlign w:val="center"/>
          </w:tcPr>
          <w:p w14:paraId="3FC2997E"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Median</w:t>
            </w:r>
            <w:r w:rsidRPr="008E7073">
              <w:rPr>
                <w:rFonts w:ascii="Arial" w:hAnsi="Arial" w:cs="Arial"/>
                <w:b/>
                <w:bCs/>
                <w:sz w:val="18"/>
                <w:szCs w:val="20"/>
                <w:vertAlign w:val="superscript"/>
              </w:rPr>
              <w:t>ⱡ</w:t>
            </w:r>
            <w:r w:rsidRPr="008E7073">
              <w:rPr>
                <w:rFonts w:ascii="Arial" w:hAnsi="Arial" w:cs="Arial"/>
                <w:b/>
                <w:bCs/>
                <w:sz w:val="18"/>
                <w:szCs w:val="20"/>
              </w:rPr>
              <w:t xml:space="preserve"> acute separations*:</w:t>
            </w:r>
            <w:r w:rsidRPr="008E7073">
              <w:rPr>
                <w:rFonts w:ascii="Arial" w:hAnsi="Arial" w:cs="Arial"/>
                <w:sz w:val="18"/>
                <w:szCs w:val="20"/>
              </w:rPr>
              <w:t xml:space="preserve"> 57,267</w:t>
            </w:r>
          </w:p>
          <w:p w14:paraId="278757CF"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Median</w:t>
            </w:r>
            <w:r w:rsidRPr="008E7073">
              <w:rPr>
                <w:rFonts w:ascii="Arial" w:hAnsi="Arial" w:cs="Arial"/>
                <w:b/>
                <w:bCs/>
                <w:sz w:val="18"/>
                <w:szCs w:val="20"/>
                <w:vertAlign w:val="superscript"/>
              </w:rPr>
              <w:t>ⱡ</w:t>
            </w:r>
            <w:r w:rsidRPr="008E7073">
              <w:rPr>
                <w:rFonts w:ascii="Arial" w:hAnsi="Arial" w:cs="Arial"/>
                <w:b/>
                <w:bCs/>
                <w:sz w:val="18"/>
                <w:szCs w:val="20"/>
              </w:rPr>
              <w:t xml:space="preserve"> urgent &amp; emergency care presentations: </w:t>
            </w:r>
            <w:r w:rsidRPr="008E7073">
              <w:rPr>
                <w:rFonts w:ascii="Arial" w:hAnsi="Arial" w:cs="Arial"/>
                <w:sz w:val="18"/>
                <w:szCs w:val="20"/>
              </w:rPr>
              <w:t>65,302</w:t>
            </w:r>
          </w:p>
          <w:p w14:paraId="0E405C4C"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 xml:space="preserve">Median Diagnostic Related Groups (&gt;5 seps): </w:t>
            </w:r>
            <w:r w:rsidRPr="008E7073">
              <w:rPr>
                <w:rFonts w:ascii="Arial" w:hAnsi="Arial" w:cs="Arial"/>
                <w:sz w:val="18"/>
                <w:szCs w:val="20"/>
              </w:rPr>
              <w:t>514</w:t>
            </w:r>
          </w:p>
          <w:p w14:paraId="562176A5" w14:textId="77777777" w:rsidR="00BF194A" w:rsidRPr="008E7073" w:rsidRDefault="00BF194A">
            <w:pPr>
              <w:pStyle w:val="PlanXXspecial-appendix4table"/>
              <w:keepNext/>
              <w:keepLines/>
              <w:rPr>
                <w:rFonts w:ascii="Arial" w:hAnsi="Arial" w:cs="Arial"/>
                <w:b/>
                <w:bCs/>
                <w:sz w:val="18"/>
                <w:szCs w:val="20"/>
              </w:rPr>
            </w:pPr>
            <w:r w:rsidRPr="008E7073">
              <w:rPr>
                <w:rFonts w:ascii="Arial" w:hAnsi="Arial" w:cs="Arial"/>
                <w:b/>
                <w:bCs/>
                <w:sz w:val="18"/>
                <w:szCs w:val="20"/>
              </w:rPr>
              <w:t>Median Clinical Capability Levels:</w:t>
            </w:r>
          </w:p>
          <w:p w14:paraId="5CD18A21"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Adult Perioperative</w:t>
            </w:r>
            <w:r w:rsidRPr="008E7073">
              <w:rPr>
                <w:rFonts w:ascii="Arial" w:hAnsi="Arial" w:cs="Arial"/>
                <w:sz w:val="18"/>
                <w:szCs w:val="20"/>
              </w:rPr>
              <w:t xml:space="preserve"> – 5 (if service offered)</w:t>
            </w:r>
          </w:p>
          <w:p w14:paraId="6DAD0D4B"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Paediatric Perioperative</w:t>
            </w:r>
            <w:r w:rsidRPr="008E7073">
              <w:rPr>
                <w:rFonts w:ascii="Arial" w:hAnsi="Arial" w:cs="Arial"/>
                <w:sz w:val="18"/>
                <w:szCs w:val="20"/>
              </w:rPr>
              <w:t xml:space="preserve"> – 4 (if service offered)</w:t>
            </w:r>
          </w:p>
          <w:p w14:paraId="22E3F95F"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Maternity</w:t>
            </w:r>
            <w:r w:rsidRPr="008E7073">
              <w:rPr>
                <w:rFonts w:ascii="Arial" w:hAnsi="Arial" w:cs="Arial"/>
                <w:sz w:val="18"/>
                <w:szCs w:val="20"/>
              </w:rPr>
              <w:t xml:space="preserve"> – 5 (if service offered)</w:t>
            </w:r>
          </w:p>
          <w:p w14:paraId="1EE2868F"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Newborn</w:t>
            </w:r>
            <w:r w:rsidRPr="008E7073">
              <w:rPr>
                <w:rFonts w:ascii="Arial" w:hAnsi="Arial" w:cs="Arial"/>
                <w:sz w:val="18"/>
                <w:szCs w:val="20"/>
              </w:rPr>
              <w:t xml:space="preserve"> – 4 (if service offered)</w:t>
            </w:r>
          </w:p>
          <w:p w14:paraId="7350D5A4" w14:textId="77777777" w:rsidR="00BF194A" w:rsidRPr="008E7073" w:rsidRDefault="00BF194A">
            <w:pPr>
              <w:pStyle w:val="PlanXXspecial-appendix4table"/>
              <w:keepNext/>
              <w:keepLines/>
              <w:rPr>
                <w:rFonts w:ascii="Arial" w:hAnsi="Arial" w:cs="Arial"/>
                <w:b/>
                <w:bCs/>
                <w:sz w:val="18"/>
                <w:szCs w:val="20"/>
              </w:rPr>
            </w:pPr>
            <w:r w:rsidRPr="008E7073">
              <w:rPr>
                <w:rFonts w:ascii="Arial" w:hAnsi="Arial" w:cs="Arial"/>
                <w:b/>
                <w:bCs/>
                <w:sz w:val="18"/>
                <w:szCs w:val="20"/>
              </w:rPr>
              <w:t xml:space="preserve">Median ICU hours delivered per annum: </w:t>
            </w:r>
            <w:r w:rsidRPr="008E7073">
              <w:rPr>
                <w:rFonts w:ascii="Arial" w:hAnsi="Arial" w:cs="Arial"/>
                <w:sz w:val="18"/>
                <w:szCs w:val="20"/>
              </w:rPr>
              <w:t>77,173</w:t>
            </w:r>
          </w:p>
          <w:p w14:paraId="7F20EF88" w14:textId="77777777" w:rsidR="00BF194A" w:rsidRPr="008E7073" w:rsidRDefault="00BF194A">
            <w:pPr>
              <w:pStyle w:val="PlanXXspecial-appendix4table"/>
              <w:keepNext/>
              <w:keepLines/>
              <w:rPr>
                <w:rFonts w:ascii="Arial" w:hAnsi="Arial" w:cs="Arial"/>
                <w:b/>
                <w:bCs/>
                <w:sz w:val="18"/>
                <w:szCs w:val="18"/>
              </w:rPr>
            </w:pPr>
            <w:r w:rsidRPr="008E7073">
              <w:rPr>
                <w:rFonts w:ascii="Arial" w:hAnsi="Arial" w:cs="Arial"/>
                <w:b/>
                <w:bCs/>
                <w:sz w:val="18"/>
                <w:szCs w:val="20"/>
              </w:rPr>
              <w:t xml:space="preserve">Median proportion of elective separations with NWAU&gt;4.0: </w:t>
            </w:r>
            <w:r w:rsidRPr="008E7073">
              <w:rPr>
                <w:rFonts w:ascii="Arial" w:hAnsi="Arial" w:cs="Arial"/>
                <w:sz w:val="18"/>
                <w:szCs w:val="20"/>
              </w:rPr>
              <w:t>1.3%</w:t>
            </w:r>
          </w:p>
          <w:p w14:paraId="2D923775"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bCs/>
                <w:sz w:val="18"/>
                <w:szCs w:val="18"/>
              </w:rPr>
              <w:t>Median health service site beds:</w:t>
            </w:r>
            <w:r w:rsidRPr="008E7073">
              <w:rPr>
                <w:rFonts w:ascii="Arial" w:hAnsi="Arial" w:cs="Arial"/>
                <w:sz w:val="18"/>
                <w:szCs w:val="18"/>
              </w:rPr>
              <w:t xml:space="preserve"> 402</w:t>
            </w:r>
          </w:p>
          <w:p w14:paraId="5D665181"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Avg. length of stay for overnight care:</w:t>
            </w:r>
            <w:r w:rsidRPr="008E7073">
              <w:rPr>
                <w:rFonts w:ascii="Arial" w:hAnsi="Arial" w:cs="Arial"/>
                <w:sz w:val="18"/>
                <w:szCs w:val="20"/>
              </w:rPr>
              <w:t xml:space="preserve"> 4.2 days</w:t>
            </w:r>
          </w:p>
          <w:p w14:paraId="39519F13"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bCs/>
                <w:sz w:val="18"/>
                <w:szCs w:val="18"/>
              </w:rPr>
              <w:t>Avg. regional or Network</w:t>
            </w:r>
            <w:r w:rsidRPr="008E7073">
              <w:rPr>
                <w:rFonts w:ascii="Arial" w:hAnsi="Arial" w:cs="Arial"/>
                <w:b/>
                <w:sz w:val="18"/>
                <w:szCs w:val="18"/>
              </w:rPr>
              <w:t xml:space="preserve"> self-sufficiency for acute care</w:t>
            </w:r>
            <w:r w:rsidRPr="008E7073">
              <w:rPr>
                <w:rFonts w:ascii="Arial" w:hAnsi="Arial" w:cs="Arial"/>
                <w:b/>
                <w:bCs/>
                <w:sz w:val="18"/>
                <w:szCs w:val="18"/>
                <w:vertAlign w:val="superscript"/>
              </w:rPr>
              <w:t>¥</w:t>
            </w:r>
            <w:r w:rsidRPr="008E7073">
              <w:rPr>
                <w:rFonts w:ascii="Arial" w:hAnsi="Arial" w:cs="Arial"/>
                <w:b/>
                <w:bCs/>
                <w:sz w:val="18"/>
                <w:szCs w:val="18"/>
              </w:rPr>
              <w:t>:</w:t>
            </w:r>
            <w:r w:rsidRPr="008E7073">
              <w:rPr>
                <w:rFonts w:ascii="Arial" w:hAnsi="Arial" w:cs="Arial"/>
                <w:sz w:val="18"/>
                <w:szCs w:val="18"/>
              </w:rPr>
              <w:t xml:space="preserve"> &gt;85%</w:t>
            </w:r>
          </w:p>
          <w:p w14:paraId="0B50743F"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Proportion of acute bed days delivered in the home:</w:t>
            </w:r>
            <w:r w:rsidRPr="008E7073">
              <w:rPr>
                <w:rFonts w:ascii="Arial" w:hAnsi="Arial" w:cs="Arial"/>
                <w:sz w:val="18"/>
                <w:szCs w:val="20"/>
              </w:rPr>
              <w:t xml:space="preserve"> 10–20%</w:t>
            </w:r>
          </w:p>
          <w:p w14:paraId="28884E49"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Medical practitioners/specialists:</w:t>
            </w:r>
            <w:r w:rsidRPr="008E7073">
              <w:rPr>
                <w:rFonts w:ascii="Arial" w:hAnsi="Arial" w:cs="Arial"/>
                <w:sz w:val="18"/>
                <w:szCs w:val="20"/>
              </w:rPr>
              <w:t xml:space="preserve"> Directly employed</w:t>
            </w:r>
          </w:p>
        </w:tc>
      </w:tr>
      <w:tr w:rsidR="00BF194A" w:rsidRPr="008E7073" w14:paraId="579D0BA3" w14:textId="77777777">
        <w:trPr>
          <w:trHeight w:val="1237"/>
        </w:trPr>
        <w:tc>
          <w:tcPr>
            <w:tcW w:w="1100"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1C5FB442" w14:textId="77777777" w:rsidR="00BF194A" w:rsidRPr="008E7073" w:rsidRDefault="00BF194A">
            <w:pPr>
              <w:keepNext/>
              <w:keepLines/>
              <w:rPr>
                <w:rFonts w:cs="Arial"/>
                <w:lang w:eastAsia="en-AU"/>
              </w:rPr>
            </w:pPr>
            <w:r w:rsidRPr="008E7073">
              <w:rPr>
                <w:rFonts w:cs="Arial"/>
                <w:noProof/>
                <w:lang w:eastAsia="en-AU"/>
              </w:rPr>
              <w:drawing>
                <wp:inline distT="0" distB="0" distL="0" distR="0" wp14:anchorId="1FE0F41E" wp14:editId="6A0E848A">
                  <wp:extent cx="477079" cy="477079"/>
                  <wp:effectExtent l="0" t="0" r="0" b="0"/>
                  <wp:docPr id="1189125162" name="Graphic 1189125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25162" name="Graphic 1189125162">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86216" cy="486216"/>
                          </a:xfrm>
                          <a:prstGeom prst="rect">
                            <a:avLst/>
                          </a:prstGeom>
                        </pic:spPr>
                      </pic:pic>
                    </a:graphicData>
                  </a:graphic>
                </wp:inline>
              </w:drawing>
            </w:r>
          </w:p>
        </w:tc>
        <w:tc>
          <w:tcPr>
            <w:tcW w:w="1755" w:type="dxa"/>
            <w:gridSpan w:val="2"/>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1E930D70" w14:textId="77777777" w:rsidR="00BF194A" w:rsidRPr="008E7073" w:rsidRDefault="00BF194A">
            <w:pPr>
              <w:keepNext/>
              <w:keepLines/>
              <w:spacing w:after="0"/>
              <w:rPr>
                <w:rFonts w:cs="Arial"/>
                <w:b/>
                <w:bCs/>
                <w:color w:val="365F91" w:themeColor="accent1" w:themeShade="BF"/>
                <w:lang w:eastAsia="en-AU"/>
              </w:rPr>
            </w:pPr>
            <w:r w:rsidRPr="008E7073">
              <w:rPr>
                <w:rFonts w:cs="Arial"/>
                <w:b/>
                <w:bCs/>
                <w:color w:val="365F91" w:themeColor="accent1" w:themeShade="BF"/>
                <w:lang w:eastAsia="en-AU"/>
              </w:rPr>
              <w:t>Catchment Community</w:t>
            </w:r>
          </w:p>
        </w:tc>
        <w:tc>
          <w:tcPr>
            <w:tcW w:w="6442" w:type="dxa"/>
            <w:tcBorders>
              <w:top w:val="single" w:sz="4" w:space="0" w:color="auto"/>
              <w:left w:val="nil"/>
              <w:bottom w:val="single" w:sz="4" w:space="0" w:color="auto"/>
              <w:right w:val="nil"/>
            </w:tcBorders>
            <w:tcMar>
              <w:top w:w="72" w:type="dxa"/>
              <w:left w:w="144" w:type="dxa"/>
              <w:bottom w:w="72" w:type="dxa"/>
              <w:right w:w="144" w:type="dxa"/>
            </w:tcMar>
            <w:vAlign w:val="center"/>
          </w:tcPr>
          <w:p w14:paraId="0A7743C7"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Median number of LGAs serviced (&gt;50 seps):</w:t>
            </w:r>
            <w:r w:rsidRPr="008E7073">
              <w:rPr>
                <w:rFonts w:ascii="Arial" w:hAnsi="Arial" w:cs="Arial"/>
                <w:sz w:val="18"/>
                <w:szCs w:val="20"/>
              </w:rPr>
              <w:t xml:space="preserve"> 20</w:t>
            </w:r>
          </w:p>
          <w:p w14:paraId="1C6FE4B7" w14:textId="77777777" w:rsidR="00BF194A" w:rsidRPr="008E7073" w:rsidRDefault="00BF194A">
            <w:pPr>
              <w:pStyle w:val="PlanXXspecial-appendix4table"/>
              <w:keepNext/>
              <w:keepLines/>
              <w:spacing w:after="0"/>
              <w:rPr>
                <w:rFonts w:ascii="Arial" w:hAnsi="Arial" w:cs="Arial"/>
                <w:b/>
                <w:bCs/>
                <w:sz w:val="18"/>
                <w:szCs w:val="20"/>
              </w:rPr>
            </w:pPr>
            <w:r w:rsidRPr="008E7073">
              <w:rPr>
                <w:rFonts w:ascii="Arial" w:hAnsi="Arial" w:cs="Arial"/>
                <w:b/>
                <w:bCs/>
                <w:sz w:val="18"/>
                <w:szCs w:val="20"/>
              </w:rPr>
              <w:t>Community description:</w:t>
            </w:r>
          </w:p>
          <w:p w14:paraId="0BA5F589" w14:textId="77777777" w:rsidR="00BF194A" w:rsidRPr="008E7073" w:rsidRDefault="00BF194A">
            <w:pPr>
              <w:pStyle w:val="PlanXXspecial-appendix4table"/>
              <w:keepNext/>
              <w:keepLines/>
              <w:spacing w:after="0"/>
              <w:ind w:left="720"/>
              <w:rPr>
                <w:rFonts w:ascii="Arial" w:hAnsi="Arial" w:cs="Arial"/>
                <w:sz w:val="18"/>
                <w:szCs w:val="20"/>
              </w:rPr>
            </w:pPr>
            <w:r w:rsidRPr="008E7073">
              <w:rPr>
                <w:rFonts w:ascii="Arial" w:hAnsi="Arial" w:cs="Arial"/>
                <w:b/>
                <w:bCs/>
                <w:sz w:val="18"/>
                <w:szCs w:val="20"/>
              </w:rPr>
              <w:t>Population size:</w:t>
            </w:r>
            <w:r w:rsidRPr="008E7073">
              <w:rPr>
                <w:rFonts w:ascii="Arial" w:hAnsi="Arial" w:cs="Arial"/>
                <w:sz w:val="18"/>
                <w:szCs w:val="20"/>
              </w:rPr>
              <w:t xml:space="preserve"> &gt;200,000</w:t>
            </w:r>
          </w:p>
          <w:p w14:paraId="78C92CF5" w14:textId="77777777" w:rsidR="00BF194A" w:rsidRPr="008E7073" w:rsidRDefault="00BF194A">
            <w:pPr>
              <w:pStyle w:val="PlanXXspecial-appendix4table"/>
              <w:keepNext/>
              <w:keepLines/>
              <w:spacing w:after="0"/>
              <w:ind w:left="720"/>
              <w:rPr>
                <w:rFonts w:ascii="Arial" w:hAnsi="Arial" w:cs="Arial"/>
                <w:sz w:val="18"/>
                <w:szCs w:val="20"/>
              </w:rPr>
            </w:pPr>
            <w:r w:rsidRPr="008E7073">
              <w:rPr>
                <w:rFonts w:ascii="Arial" w:hAnsi="Arial" w:cs="Arial"/>
                <w:b/>
                <w:bCs/>
                <w:sz w:val="18"/>
                <w:szCs w:val="20"/>
              </w:rPr>
              <w:t>Age profile:</w:t>
            </w:r>
            <w:r w:rsidRPr="008E7073">
              <w:rPr>
                <w:rFonts w:ascii="Arial" w:hAnsi="Arial" w:cs="Arial"/>
                <w:sz w:val="18"/>
                <w:szCs w:val="20"/>
              </w:rPr>
              <w:t xml:space="preserve"> varied</w:t>
            </w:r>
          </w:p>
          <w:p w14:paraId="58CEA8F1" w14:textId="77777777" w:rsidR="00BF194A" w:rsidRPr="008E7073" w:rsidRDefault="00BF194A">
            <w:pPr>
              <w:pStyle w:val="PlanXXspecial-appendix4table"/>
              <w:keepNext/>
              <w:keepLines/>
              <w:spacing w:after="0"/>
              <w:ind w:left="720"/>
              <w:rPr>
                <w:rFonts w:ascii="Arial" w:hAnsi="Arial" w:cs="Arial"/>
                <w:sz w:val="18"/>
                <w:szCs w:val="20"/>
              </w:rPr>
            </w:pPr>
            <w:r w:rsidRPr="008E7073">
              <w:rPr>
                <w:rFonts w:ascii="Arial" w:hAnsi="Arial" w:cs="Arial"/>
                <w:b/>
                <w:sz w:val="18"/>
                <w:szCs w:val="20"/>
              </w:rPr>
              <w:t>Geographies:</w:t>
            </w:r>
            <w:r w:rsidRPr="008E7073">
              <w:rPr>
                <w:rFonts w:ascii="Arial" w:hAnsi="Arial" w:cs="Arial"/>
                <w:sz w:val="18"/>
                <w:szCs w:val="20"/>
              </w:rPr>
              <w:t xml:space="preserve"> metropolitan Melbourne and major suburban areas, and major regional cities statewide</w:t>
            </w:r>
          </w:p>
          <w:p w14:paraId="0B33FBCC" w14:textId="77777777" w:rsidR="00BF194A" w:rsidRPr="008E7073" w:rsidRDefault="00BF194A">
            <w:pPr>
              <w:pStyle w:val="PlanXXspecial-appendix4table"/>
              <w:keepNext/>
              <w:keepLines/>
              <w:spacing w:after="0"/>
              <w:ind w:left="720"/>
              <w:rPr>
                <w:rFonts w:ascii="Arial" w:hAnsi="Arial" w:cs="Arial"/>
                <w:sz w:val="18"/>
                <w:szCs w:val="20"/>
              </w:rPr>
            </w:pPr>
          </w:p>
          <w:p w14:paraId="644F7735" w14:textId="77D08009" w:rsidR="00BF194A" w:rsidRPr="008E7073" w:rsidRDefault="00BF194A">
            <w:pPr>
              <w:pStyle w:val="PlanXXspecial-appendix4table"/>
              <w:keepNext/>
              <w:keepLines/>
              <w:spacing w:after="0"/>
              <w:rPr>
                <w:rFonts w:ascii="Arial" w:hAnsi="Arial" w:cs="Arial"/>
                <w:i/>
                <w:sz w:val="18"/>
                <w:szCs w:val="20"/>
              </w:rPr>
            </w:pPr>
          </w:p>
        </w:tc>
      </w:tr>
    </w:tbl>
    <w:p w14:paraId="3ED44ED2" w14:textId="77777777" w:rsidR="00BF194A" w:rsidRPr="008E7073" w:rsidRDefault="00BF194A" w:rsidP="00BF194A">
      <w:pPr>
        <w:pStyle w:val="Body"/>
        <w:keepNext/>
        <w:keepLines/>
        <w:rPr>
          <w:rFonts w:cs="Arial"/>
          <w:sz w:val="18"/>
          <w:szCs w:val="18"/>
          <w:vertAlign w:val="superscript"/>
        </w:rPr>
      </w:pPr>
      <w:r w:rsidRPr="008E7073">
        <w:rPr>
          <w:rFonts w:eastAsia="Times New Roman" w:cs="Arial"/>
          <w:i/>
          <w:iCs/>
          <w:sz w:val="16"/>
          <w:szCs w:val="16"/>
        </w:rPr>
        <w:t xml:space="preserve">* Excludes sub-acute and mental health admitted activity; </w:t>
      </w:r>
      <w:r w:rsidRPr="008E7073">
        <w:rPr>
          <w:rFonts w:cs="Arial"/>
          <w:i/>
          <w:iCs/>
          <w:sz w:val="16"/>
          <w:szCs w:val="16"/>
          <w:vertAlign w:val="superscript"/>
        </w:rPr>
        <w:t>ⱡ</w:t>
      </w:r>
      <w:r w:rsidRPr="008E7073">
        <w:rPr>
          <w:rFonts w:cs="Arial"/>
          <w:i/>
          <w:iCs/>
          <w:sz w:val="16"/>
          <w:szCs w:val="16"/>
        </w:rPr>
        <w:t xml:space="preserve">Median values are rounded to nearest 100; </w:t>
      </w:r>
      <w:r w:rsidRPr="008E7073">
        <w:rPr>
          <w:rFonts w:cs="Arial"/>
          <w:sz w:val="18"/>
          <w:szCs w:val="18"/>
          <w:vertAlign w:val="superscript"/>
        </w:rPr>
        <w:t>¥</w:t>
      </w:r>
      <w:r w:rsidRPr="008E7073">
        <w:rPr>
          <w:rFonts w:cs="Arial"/>
          <w:i/>
          <w:iCs/>
          <w:sz w:val="16"/>
          <w:szCs w:val="16"/>
        </w:rPr>
        <w:t>Collective self-sufficiency across all sites within a Network or region</w:t>
      </w:r>
    </w:p>
    <w:p w14:paraId="43A92C45" w14:textId="77777777" w:rsidR="00F75731" w:rsidRDefault="00F75731" w:rsidP="00BF194A">
      <w:pPr>
        <w:pStyle w:val="Caption"/>
        <w:keepNext/>
        <w:keepLines/>
        <w:rPr>
          <w:rFonts w:cs="Arial"/>
        </w:rPr>
      </w:pPr>
    </w:p>
    <w:p w14:paraId="79F6C750" w14:textId="77777777" w:rsidR="00F03707" w:rsidRDefault="00F03707">
      <w:pPr>
        <w:spacing w:after="0" w:line="240" w:lineRule="auto"/>
        <w:rPr>
          <w:rFonts w:ascii="VIC" w:hAnsi="VIC"/>
          <w:i/>
          <w:iCs/>
          <w:color w:val="1F497D" w:themeColor="text2"/>
          <w:sz w:val="18"/>
          <w:szCs w:val="18"/>
        </w:rPr>
      </w:pPr>
      <w:r>
        <w:rPr>
          <w:rFonts w:ascii="VIC" w:hAnsi="VIC"/>
        </w:rPr>
        <w:br w:type="page"/>
      </w:r>
    </w:p>
    <w:p w14:paraId="41600ECC" w14:textId="35170B9E" w:rsidR="00F75731" w:rsidRPr="000F4BFD" w:rsidRDefault="00F75731" w:rsidP="00F75731">
      <w:pPr>
        <w:pStyle w:val="Caption"/>
        <w:keepNext/>
        <w:keepLines/>
        <w:rPr>
          <w:rFonts w:ascii="VIC" w:hAnsi="VIC"/>
          <w:kern w:val="24"/>
        </w:rPr>
      </w:pPr>
      <w:r w:rsidRPr="000F4BFD">
        <w:rPr>
          <w:rFonts w:ascii="VIC" w:hAnsi="VIC"/>
        </w:rPr>
        <w:lastRenderedPageBreak/>
        <w:t xml:space="preserve">Table </w:t>
      </w:r>
      <w:r w:rsidRPr="000F4BFD">
        <w:rPr>
          <w:rFonts w:ascii="VIC" w:hAnsi="VIC"/>
        </w:rPr>
        <w:fldChar w:fldCharType="begin"/>
      </w:r>
      <w:r w:rsidRPr="000F4BFD">
        <w:rPr>
          <w:rFonts w:ascii="VIC" w:hAnsi="VIC"/>
        </w:rPr>
        <w:instrText xml:space="preserve"> SEQ Table \* ARABIC </w:instrText>
      </w:r>
      <w:r w:rsidRPr="000F4BFD">
        <w:rPr>
          <w:rFonts w:ascii="VIC" w:hAnsi="VIC"/>
        </w:rPr>
        <w:fldChar w:fldCharType="separate"/>
      </w:r>
      <w:r w:rsidRPr="000F4BFD">
        <w:rPr>
          <w:rFonts w:ascii="VIC" w:hAnsi="VIC"/>
          <w:noProof/>
        </w:rPr>
        <w:t>8</w:t>
      </w:r>
      <w:r w:rsidRPr="000F4BFD">
        <w:rPr>
          <w:rFonts w:ascii="VIC" w:hAnsi="VIC"/>
        </w:rPr>
        <w:fldChar w:fldCharType="end"/>
      </w:r>
      <w:r w:rsidRPr="000F4BFD">
        <w:rPr>
          <w:rFonts w:ascii="VIC" w:hAnsi="VIC"/>
        </w:rPr>
        <w:t xml:space="preserve">. </w:t>
      </w:r>
      <w:r>
        <w:rPr>
          <w:rFonts w:ascii="VIC" w:hAnsi="VIC"/>
        </w:rPr>
        <w:t>Regional Tertiary</w:t>
      </w:r>
      <w:r w:rsidRPr="000F4BFD">
        <w:rPr>
          <w:rFonts w:ascii="VIC" w:hAnsi="VIC"/>
        </w:rPr>
        <w:t xml:space="preserve"> Hospital site characteristics</w:t>
      </w:r>
    </w:p>
    <w:tbl>
      <w:tblPr>
        <w:tblW w:w="9297" w:type="dxa"/>
        <w:tblCellMar>
          <w:left w:w="0" w:type="dxa"/>
          <w:right w:w="0" w:type="dxa"/>
        </w:tblCellMar>
        <w:tblLook w:val="0420" w:firstRow="1" w:lastRow="0" w:firstColumn="0" w:lastColumn="0" w:noHBand="0" w:noVBand="1"/>
      </w:tblPr>
      <w:tblGrid>
        <w:gridCol w:w="1100"/>
        <w:gridCol w:w="1755"/>
        <w:gridCol w:w="6442"/>
      </w:tblGrid>
      <w:tr w:rsidR="00F75731" w:rsidRPr="000F4BFD" w14:paraId="1ED05F79" w14:textId="77777777">
        <w:trPr>
          <w:trHeight w:val="174"/>
          <w:tblHeader/>
        </w:trPr>
        <w:tc>
          <w:tcPr>
            <w:tcW w:w="9297" w:type="dxa"/>
            <w:gridSpan w:val="3"/>
            <w:tcBorders>
              <w:top w:val="single" w:sz="18" w:space="0" w:color="000000" w:themeColor="text1"/>
              <w:left w:val="nil"/>
              <w:bottom w:val="single" w:sz="18" w:space="0" w:color="000000" w:themeColor="text1"/>
              <w:right w:val="nil"/>
            </w:tcBorders>
            <w:shd w:val="clear" w:color="auto" w:fill="F2F2F2" w:themeFill="background1" w:themeFillShade="F2"/>
            <w:tcMar>
              <w:top w:w="72" w:type="dxa"/>
              <w:left w:w="144" w:type="dxa"/>
              <w:bottom w:w="72" w:type="dxa"/>
              <w:right w:w="144" w:type="dxa"/>
            </w:tcMar>
            <w:hideMark/>
          </w:tcPr>
          <w:p w14:paraId="1D2490B6" w14:textId="77777777" w:rsidR="00F75731" w:rsidRPr="000F4BFD" w:rsidRDefault="00F75731">
            <w:pPr>
              <w:keepNext/>
              <w:keepLines/>
              <w:rPr>
                <w:rFonts w:ascii="VIC" w:hAnsi="VIC"/>
                <w:b/>
                <w:lang w:eastAsia="en-AU"/>
              </w:rPr>
            </w:pPr>
            <w:r w:rsidRPr="000F4BFD">
              <w:rPr>
                <w:rFonts w:ascii="VIC" w:hAnsi="VIC"/>
                <w:b/>
                <w:lang w:eastAsia="en-AU"/>
              </w:rPr>
              <w:t>Description – Regional Tertiary Hospital Sites</w:t>
            </w:r>
          </w:p>
        </w:tc>
      </w:tr>
      <w:tr w:rsidR="00F75731" w:rsidRPr="000F4BFD" w14:paraId="46BE47F9" w14:textId="77777777">
        <w:trPr>
          <w:trHeight w:val="762"/>
        </w:trPr>
        <w:tc>
          <w:tcPr>
            <w:tcW w:w="1100" w:type="dxa"/>
            <w:tcBorders>
              <w:top w:val="single" w:sz="18" w:space="0" w:color="000000" w:themeColor="text1"/>
              <w:left w:val="nil"/>
              <w:bottom w:val="single" w:sz="4" w:space="0" w:color="auto"/>
              <w:right w:val="nil"/>
            </w:tcBorders>
            <w:tcMar>
              <w:top w:w="72" w:type="dxa"/>
              <w:left w:w="144" w:type="dxa"/>
              <w:bottom w:w="72" w:type="dxa"/>
              <w:right w:w="144" w:type="dxa"/>
            </w:tcMar>
            <w:vAlign w:val="center"/>
            <w:hideMark/>
          </w:tcPr>
          <w:p w14:paraId="3AEB7821" w14:textId="77777777" w:rsidR="00F75731" w:rsidRPr="000F4BFD" w:rsidRDefault="00F75731">
            <w:pPr>
              <w:keepNext/>
              <w:keepLines/>
              <w:rPr>
                <w:rFonts w:ascii="VIC" w:hAnsi="VIC"/>
                <w:lang w:eastAsia="en-AU"/>
              </w:rPr>
            </w:pPr>
            <w:r w:rsidRPr="000F4BFD">
              <w:rPr>
                <w:rFonts w:ascii="VIC" w:hAnsi="VIC"/>
                <w:noProof/>
                <w:lang w:eastAsia="en-AU"/>
              </w:rPr>
              <w:drawing>
                <wp:inline distT="0" distB="0" distL="0" distR="0" wp14:anchorId="05D5C361" wp14:editId="74B51429">
                  <wp:extent cx="485775" cy="485775"/>
                  <wp:effectExtent l="0" t="0" r="9525" b="0"/>
                  <wp:docPr id="249756414" name="Graphic 249756414" descr="Ca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are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5775" cy="485775"/>
                          </a:xfrm>
                          <a:prstGeom prst="rect">
                            <a:avLst/>
                          </a:prstGeom>
                        </pic:spPr>
                      </pic:pic>
                    </a:graphicData>
                  </a:graphic>
                </wp:inline>
              </w:drawing>
            </w:r>
          </w:p>
        </w:tc>
        <w:tc>
          <w:tcPr>
            <w:tcW w:w="1755" w:type="dxa"/>
            <w:tcBorders>
              <w:top w:val="single" w:sz="18" w:space="0" w:color="000000" w:themeColor="text1"/>
              <w:left w:val="nil"/>
              <w:bottom w:val="single" w:sz="4" w:space="0" w:color="auto"/>
              <w:right w:val="nil"/>
            </w:tcBorders>
            <w:tcMar>
              <w:top w:w="72" w:type="dxa"/>
              <w:left w:w="144" w:type="dxa"/>
              <w:bottom w:w="72" w:type="dxa"/>
              <w:right w:w="144" w:type="dxa"/>
            </w:tcMar>
            <w:vAlign w:val="center"/>
            <w:hideMark/>
          </w:tcPr>
          <w:p w14:paraId="766C554A" w14:textId="77777777" w:rsidR="00F75731" w:rsidRPr="000F4BFD" w:rsidRDefault="00F75731">
            <w:pPr>
              <w:keepNext/>
              <w:keepLines/>
              <w:rPr>
                <w:rFonts w:ascii="VIC" w:hAnsi="VIC"/>
                <w:b/>
                <w:bCs/>
                <w:color w:val="365F91" w:themeColor="accent1" w:themeShade="BF"/>
                <w:lang w:eastAsia="en-AU"/>
              </w:rPr>
            </w:pPr>
            <w:r w:rsidRPr="000F4BFD">
              <w:rPr>
                <w:rFonts w:ascii="VIC" w:hAnsi="VIC"/>
                <w:b/>
                <w:bCs/>
                <w:color w:val="365F91" w:themeColor="accent1" w:themeShade="BF"/>
                <w:lang w:eastAsia="en-AU"/>
              </w:rPr>
              <w:t>Service Profile</w:t>
            </w:r>
          </w:p>
        </w:tc>
        <w:tc>
          <w:tcPr>
            <w:tcW w:w="6442" w:type="dxa"/>
            <w:tcBorders>
              <w:top w:val="single" w:sz="18" w:space="0" w:color="000000" w:themeColor="text1"/>
              <w:left w:val="nil"/>
              <w:bottom w:val="single" w:sz="4" w:space="0" w:color="auto"/>
              <w:right w:val="nil"/>
            </w:tcBorders>
            <w:tcMar>
              <w:top w:w="72" w:type="dxa"/>
              <w:left w:w="144" w:type="dxa"/>
              <w:bottom w:w="72" w:type="dxa"/>
              <w:right w:w="144" w:type="dxa"/>
            </w:tcMar>
            <w:vAlign w:val="center"/>
          </w:tcPr>
          <w:p w14:paraId="3510E6C7" w14:textId="77777777" w:rsidR="00F75731" w:rsidRPr="000F4BFD" w:rsidRDefault="00F75731">
            <w:pPr>
              <w:pStyle w:val="PlanXXspecial-appendix4table"/>
              <w:keepNext/>
              <w:keepLines/>
              <w:spacing w:after="0"/>
              <w:rPr>
                <w:sz w:val="18"/>
                <w:szCs w:val="20"/>
              </w:rPr>
            </w:pPr>
            <w:r w:rsidRPr="000F4BFD">
              <w:rPr>
                <w:sz w:val="18"/>
                <w:szCs w:val="20"/>
              </w:rPr>
              <w:t>Typical types of services per Major Health service site facilities plus:</w:t>
            </w:r>
          </w:p>
          <w:p w14:paraId="64723389" w14:textId="77777777" w:rsidR="00F75731" w:rsidRPr="000F4BFD" w:rsidRDefault="00F75731">
            <w:pPr>
              <w:pStyle w:val="PlanXXSpecial-Appendix4figuredots"/>
              <w:keepNext/>
              <w:keepLines/>
              <w:spacing w:after="0"/>
              <w:rPr>
                <w:rFonts w:cs="Arial"/>
                <w:sz w:val="18"/>
              </w:rPr>
            </w:pPr>
            <w:r w:rsidRPr="000F4BFD">
              <w:rPr>
                <w:sz w:val="18"/>
              </w:rPr>
              <w:t>acute and sub-acute overnight care with most sub</w:t>
            </w:r>
            <w:r w:rsidRPr="000F4BFD">
              <w:rPr>
                <w:sz w:val="18"/>
              </w:rPr>
              <w:noBreakHyphen/>
              <w:t>specialties</w:t>
            </w:r>
          </w:p>
          <w:p w14:paraId="0C300768" w14:textId="77777777" w:rsidR="00F75731" w:rsidRPr="000F4BFD" w:rsidRDefault="00F75731">
            <w:pPr>
              <w:pStyle w:val="PlanXXSpecial-Appendix4figuredots"/>
              <w:keepNext/>
              <w:keepLines/>
              <w:spacing w:after="0"/>
              <w:rPr>
                <w:sz w:val="18"/>
              </w:rPr>
            </w:pPr>
            <w:r w:rsidRPr="000F4BFD">
              <w:rPr>
                <w:sz w:val="18"/>
              </w:rPr>
              <w:t>large emergency departments</w:t>
            </w:r>
          </w:p>
          <w:p w14:paraId="2998E531" w14:textId="77777777" w:rsidR="00F75731" w:rsidRPr="000F4BFD" w:rsidRDefault="00F75731">
            <w:pPr>
              <w:pStyle w:val="PlanXXSpecial-Appendix4figuredots"/>
              <w:keepNext/>
              <w:keepLines/>
              <w:spacing w:after="0"/>
              <w:rPr>
                <w:sz w:val="18"/>
              </w:rPr>
            </w:pPr>
            <w:r w:rsidRPr="000F4BFD">
              <w:rPr>
                <w:sz w:val="18"/>
              </w:rPr>
              <w:t>large ICUs with high level of critical care</w:t>
            </w:r>
          </w:p>
          <w:p w14:paraId="699D5C6B" w14:textId="77777777" w:rsidR="00F75731" w:rsidRPr="000F4BFD" w:rsidRDefault="00F75731">
            <w:pPr>
              <w:pStyle w:val="PlanXXSpecial-Appendix4figuredots"/>
              <w:keepNext/>
              <w:keepLines/>
              <w:spacing w:after="0"/>
              <w:rPr>
                <w:rFonts w:cs="Arial"/>
                <w:sz w:val="18"/>
              </w:rPr>
            </w:pPr>
            <w:r w:rsidRPr="000F4BFD">
              <w:rPr>
                <w:sz w:val="18"/>
              </w:rPr>
              <w:t>may provide acute mental health services</w:t>
            </w:r>
          </w:p>
          <w:p w14:paraId="54EF69FC" w14:textId="77777777" w:rsidR="00F75731" w:rsidRPr="000F4BFD" w:rsidRDefault="00F75731">
            <w:pPr>
              <w:pStyle w:val="PlanXXSpecial-Appendix4figuredots"/>
              <w:keepNext/>
              <w:keepLines/>
              <w:spacing w:after="0"/>
              <w:rPr>
                <w:sz w:val="18"/>
              </w:rPr>
            </w:pPr>
            <w:r w:rsidRPr="000F4BFD">
              <w:rPr>
                <w:sz w:val="18"/>
              </w:rPr>
              <w:t>maternity and newborn service, inpatient and outpatient paediatric service, cardiology service, oncology service and other general specialty acute services operating at a high level and delivering complex care</w:t>
            </w:r>
          </w:p>
          <w:p w14:paraId="7FC1BEB6" w14:textId="77777777" w:rsidR="00F75731" w:rsidRPr="000F4BFD" w:rsidRDefault="00F75731">
            <w:pPr>
              <w:pStyle w:val="PlanXXSpecial-Appendix4figuredots"/>
              <w:keepNext/>
              <w:keepLines/>
              <w:spacing w:after="0"/>
              <w:rPr>
                <w:sz w:val="18"/>
              </w:rPr>
            </w:pPr>
            <w:r w:rsidRPr="000F4BFD">
              <w:rPr>
                <w:sz w:val="18"/>
              </w:rPr>
              <w:t>research, education and advanced training performed on site</w:t>
            </w:r>
          </w:p>
        </w:tc>
      </w:tr>
      <w:tr w:rsidR="00F75731" w:rsidRPr="000F4BFD" w14:paraId="6CC96395" w14:textId="77777777" w:rsidTr="00F75731">
        <w:trPr>
          <w:trHeight w:val="1553"/>
        </w:trPr>
        <w:tc>
          <w:tcPr>
            <w:tcW w:w="1100" w:type="dxa"/>
            <w:tcBorders>
              <w:top w:val="single" w:sz="4" w:space="0" w:color="auto"/>
              <w:left w:val="nil"/>
              <w:bottom w:val="single" w:sz="4" w:space="0" w:color="auto"/>
              <w:right w:val="nil"/>
            </w:tcBorders>
            <w:tcMar>
              <w:top w:w="72" w:type="dxa"/>
              <w:left w:w="144" w:type="dxa"/>
              <w:bottom w:w="72" w:type="dxa"/>
              <w:right w:w="144" w:type="dxa"/>
            </w:tcMar>
            <w:vAlign w:val="center"/>
          </w:tcPr>
          <w:p w14:paraId="0CDBFF0A" w14:textId="77777777" w:rsidR="00F75731" w:rsidRPr="000F4BFD" w:rsidRDefault="00F75731">
            <w:pPr>
              <w:keepNext/>
              <w:keepLines/>
              <w:rPr>
                <w:rFonts w:ascii="VIC" w:hAnsi="VIC"/>
                <w:noProof/>
                <w:color w:val="365F91" w:themeColor="accent1" w:themeShade="BF"/>
                <w:lang w:eastAsia="en-AU"/>
              </w:rPr>
            </w:pPr>
            <w:r w:rsidRPr="000F4BFD">
              <w:rPr>
                <w:rFonts w:ascii="VIC" w:hAnsi="VIC"/>
                <w:noProof/>
                <w:color w:val="365F91" w:themeColor="accent1" w:themeShade="BF"/>
                <w:lang w:eastAsia="en-AU"/>
              </w:rPr>
              <w:drawing>
                <wp:inline distT="0" distB="0" distL="0" distR="0" wp14:anchorId="61D36460" wp14:editId="05BE9DE8">
                  <wp:extent cx="474980" cy="474980"/>
                  <wp:effectExtent l="0" t="0" r="0" b="1270"/>
                  <wp:docPr id="1851063762" name="Graphic 2" descr="Stethosc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43029" name="Graphic 70443029" descr="Stethoscop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480114" cy="480114"/>
                          </a:xfrm>
                          <a:prstGeom prst="rect">
                            <a:avLst/>
                          </a:prstGeom>
                        </pic:spPr>
                      </pic:pic>
                    </a:graphicData>
                  </a:graphic>
                </wp:inline>
              </w:drawing>
            </w:r>
          </w:p>
        </w:tc>
        <w:tc>
          <w:tcPr>
            <w:tcW w:w="1755" w:type="dxa"/>
            <w:tcBorders>
              <w:top w:val="single" w:sz="4" w:space="0" w:color="auto"/>
              <w:left w:val="nil"/>
              <w:bottom w:val="single" w:sz="4" w:space="0" w:color="auto"/>
              <w:right w:val="nil"/>
            </w:tcBorders>
            <w:tcMar>
              <w:top w:w="72" w:type="dxa"/>
              <w:left w:w="144" w:type="dxa"/>
              <w:bottom w:w="72" w:type="dxa"/>
              <w:right w:w="144" w:type="dxa"/>
            </w:tcMar>
            <w:vAlign w:val="center"/>
          </w:tcPr>
          <w:p w14:paraId="6ED3E577" w14:textId="77777777" w:rsidR="00F75731" w:rsidRPr="000F4BFD" w:rsidRDefault="00F75731">
            <w:pPr>
              <w:keepNext/>
              <w:keepLines/>
              <w:rPr>
                <w:rFonts w:ascii="VIC" w:hAnsi="VIC"/>
                <w:b/>
                <w:bCs/>
                <w:color w:val="365F91" w:themeColor="accent1" w:themeShade="BF"/>
                <w:lang w:eastAsia="en-AU"/>
              </w:rPr>
            </w:pPr>
            <w:r w:rsidRPr="000F4BFD">
              <w:rPr>
                <w:rFonts w:ascii="VIC" w:hAnsi="VIC"/>
                <w:b/>
                <w:bCs/>
                <w:color w:val="365F91" w:themeColor="accent1" w:themeShade="BF"/>
                <w:lang w:eastAsia="en-AU"/>
              </w:rPr>
              <w:t>Primary &amp; Aged Care</w:t>
            </w:r>
          </w:p>
        </w:tc>
        <w:tc>
          <w:tcPr>
            <w:tcW w:w="6442" w:type="dxa"/>
            <w:tcBorders>
              <w:top w:val="single" w:sz="4" w:space="0" w:color="auto"/>
              <w:left w:val="nil"/>
              <w:bottom w:val="single" w:sz="4" w:space="0" w:color="auto"/>
              <w:right w:val="nil"/>
            </w:tcBorders>
            <w:tcMar>
              <w:top w:w="72" w:type="dxa"/>
              <w:left w:w="144" w:type="dxa"/>
              <w:bottom w:w="72" w:type="dxa"/>
              <w:right w:w="144" w:type="dxa"/>
            </w:tcMar>
            <w:vAlign w:val="center"/>
          </w:tcPr>
          <w:p w14:paraId="52170755" w14:textId="77777777" w:rsidR="00F75731" w:rsidRPr="000F4BFD" w:rsidRDefault="00F75731">
            <w:pPr>
              <w:pStyle w:val="Body"/>
              <w:keepNext/>
              <w:keepLines/>
              <w:rPr>
                <w:rFonts w:ascii="VIC" w:hAnsi="VIC"/>
                <w:sz w:val="18"/>
                <w:szCs w:val="18"/>
              </w:rPr>
            </w:pPr>
            <w:r w:rsidRPr="000F4BFD">
              <w:rPr>
                <w:rFonts w:ascii="VIC" w:hAnsi="VIC"/>
                <w:b/>
                <w:sz w:val="18"/>
                <w:szCs w:val="18"/>
              </w:rPr>
              <w:t>Public Sector Residential Aged Care places:</w:t>
            </w:r>
            <w:r w:rsidRPr="000F4BFD">
              <w:rPr>
                <w:rFonts w:ascii="VIC" w:hAnsi="VIC"/>
                <w:sz w:val="18"/>
                <w:szCs w:val="18"/>
              </w:rPr>
              <w:t xml:space="preserve"> Typically not co-located on the health service site</w:t>
            </w:r>
          </w:p>
          <w:p w14:paraId="58812085" w14:textId="77777777" w:rsidR="00F75731" w:rsidRPr="000F4BFD" w:rsidRDefault="00F75731">
            <w:pPr>
              <w:pStyle w:val="Body"/>
              <w:keepNext/>
              <w:keepLines/>
              <w:rPr>
                <w:rFonts w:ascii="VIC" w:hAnsi="VIC"/>
                <w:sz w:val="18"/>
              </w:rPr>
            </w:pPr>
            <w:r w:rsidRPr="000F4BFD">
              <w:rPr>
                <w:rFonts w:ascii="VIC" w:hAnsi="VIC"/>
                <w:b/>
                <w:bCs/>
                <w:sz w:val="18"/>
              </w:rPr>
              <w:t>Primary health services:</w:t>
            </w:r>
            <w:r w:rsidRPr="000F4BFD">
              <w:rPr>
                <w:rFonts w:ascii="VIC" w:hAnsi="VIC"/>
                <w:sz w:val="18"/>
              </w:rPr>
              <w:t xml:space="preserve"> Metropolitan health service sites will have patient referral pathways to local community health service organisations. Rural services may operate these services directly. </w:t>
            </w:r>
          </w:p>
        </w:tc>
      </w:tr>
      <w:tr w:rsidR="00F75731" w:rsidRPr="000F4BFD" w14:paraId="08B66118" w14:textId="77777777">
        <w:trPr>
          <w:trHeight w:val="753"/>
        </w:trPr>
        <w:tc>
          <w:tcPr>
            <w:tcW w:w="1100"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04FE4019" w14:textId="77777777" w:rsidR="00F75731" w:rsidRPr="000F4BFD" w:rsidRDefault="00F75731">
            <w:pPr>
              <w:keepNext/>
              <w:keepLines/>
              <w:rPr>
                <w:rFonts w:ascii="VIC" w:hAnsi="VIC"/>
                <w:lang w:eastAsia="en-AU"/>
              </w:rPr>
            </w:pPr>
            <w:r w:rsidRPr="000F4BFD">
              <w:rPr>
                <w:rFonts w:ascii="VIC" w:hAnsi="VIC"/>
                <w:noProof/>
                <w:lang w:eastAsia="en-AU"/>
              </w:rPr>
              <w:drawing>
                <wp:inline distT="0" distB="0" distL="0" distR="0" wp14:anchorId="7CBC7763" wp14:editId="653D1450">
                  <wp:extent cx="504749" cy="504749"/>
                  <wp:effectExtent l="0" t="0" r="0" b="0"/>
                  <wp:docPr id="1775817558" name="Graphic 1" descr="Inpati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604813" name="Graphic 2079604813" descr="Inpatient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508034" cy="508034"/>
                          </a:xfrm>
                          <a:prstGeom prst="rect">
                            <a:avLst/>
                          </a:prstGeom>
                        </pic:spPr>
                      </pic:pic>
                    </a:graphicData>
                  </a:graphic>
                </wp:inline>
              </w:drawing>
            </w:r>
          </w:p>
        </w:tc>
        <w:tc>
          <w:tcPr>
            <w:tcW w:w="1755"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28EDA107" w14:textId="77777777" w:rsidR="00F75731" w:rsidRPr="000F4BFD" w:rsidRDefault="00F75731">
            <w:pPr>
              <w:keepNext/>
              <w:keepLines/>
              <w:rPr>
                <w:rFonts w:ascii="VIC" w:hAnsi="VIC"/>
                <w:b/>
                <w:bCs/>
                <w:color w:val="365F91" w:themeColor="accent1" w:themeShade="BF"/>
                <w:lang w:eastAsia="en-AU"/>
              </w:rPr>
            </w:pPr>
            <w:r w:rsidRPr="000F4BFD">
              <w:rPr>
                <w:rFonts w:ascii="VIC" w:hAnsi="VIC"/>
                <w:b/>
                <w:bCs/>
                <w:color w:val="365F91" w:themeColor="accent1" w:themeShade="BF"/>
                <w:lang w:eastAsia="en-AU"/>
              </w:rPr>
              <w:t>Acute Care*</w:t>
            </w:r>
          </w:p>
        </w:tc>
        <w:tc>
          <w:tcPr>
            <w:tcW w:w="6442" w:type="dxa"/>
            <w:tcBorders>
              <w:top w:val="single" w:sz="4" w:space="0" w:color="auto"/>
              <w:left w:val="nil"/>
              <w:bottom w:val="single" w:sz="4" w:space="0" w:color="auto"/>
              <w:right w:val="nil"/>
            </w:tcBorders>
            <w:tcMar>
              <w:top w:w="72" w:type="dxa"/>
              <w:left w:w="144" w:type="dxa"/>
              <w:bottom w:w="72" w:type="dxa"/>
              <w:right w:w="144" w:type="dxa"/>
            </w:tcMar>
            <w:vAlign w:val="center"/>
          </w:tcPr>
          <w:p w14:paraId="3F4747E2" w14:textId="77777777" w:rsidR="00F75731" w:rsidRPr="000F4BFD" w:rsidRDefault="00F75731">
            <w:pPr>
              <w:pStyle w:val="PlanXXspecial-appendix4table"/>
              <w:keepNext/>
              <w:keepLines/>
              <w:rPr>
                <w:sz w:val="18"/>
                <w:szCs w:val="20"/>
              </w:rPr>
            </w:pPr>
            <w:r w:rsidRPr="000F4BFD">
              <w:rPr>
                <w:b/>
                <w:bCs/>
                <w:sz w:val="18"/>
                <w:szCs w:val="20"/>
              </w:rPr>
              <w:t>Median</w:t>
            </w:r>
            <w:r w:rsidRPr="000F4BFD">
              <w:rPr>
                <w:rFonts w:ascii="Arial" w:hAnsi="Arial" w:cs="Arial"/>
                <w:b/>
                <w:bCs/>
                <w:sz w:val="18"/>
                <w:szCs w:val="20"/>
                <w:vertAlign w:val="superscript"/>
              </w:rPr>
              <w:t>ⱡ</w:t>
            </w:r>
            <w:r w:rsidRPr="000F4BFD">
              <w:rPr>
                <w:b/>
                <w:bCs/>
                <w:sz w:val="18"/>
                <w:szCs w:val="20"/>
              </w:rPr>
              <w:t xml:space="preserve"> acute separations*:</w:t>
            </w:r>
            <w:r w:rsidRPr="000F4BFD">
              <w:rPr>
                <w:sz w:val="18"/>
                <w:szCs w:val="20"/>
              </w:rPr>
              <w:t xml:space="preserve"> 93,200</w:t>
            </w:r>
          </w:p>
          <w:p w14:paraId="2C9D87BD" w14:textId="77777777" w:rsidR="00F75731" w:rsidRPr="000F4BFD" w:rsidRDefault="00F75731">
            <w:pPr>
              <w:pStyle w:val="PlanXXspecial-appendix4table"/>
              <w:keepNext/>
              <w:keepLines/>
              <w:rPr>
                <w:sz w:val="18"/>
                <w:szCs w:val="20"/>
              </w:rPr>
            </w:pPr>
            <w:r w:rsidRPr="000F4BFD">
              <w:rPr>
                <w:b/>
                <w:bCs/>
                <w:sz w:val="18"/>
                <w:szCs w:val="20"/>
              </w:rPr>
              <w:t>Median</w:t>
            </w:r>
            <w:r w:rsidRPr="000F4BFD">
              <w:rPr>
                <w:rFonts w:ascii="Arial" w:hAnsi="Arial" w:cs="Arial"/>
                <w:b/>
                <w:bCs/>
                <w:sz w:val="18"/>
                <w:szCs w:val="20"/>
                <w:vertAlign w:val="superscript"/>
              </w:rPr>
              <w:t>ⱡ</w:t>
            </w:r>
            <w:r w:rsidRPr="000F4BFD">
              <w:rPr>
                <w:b/>
                <w:bCs/>
                <w:sz w:val="18"/>
                <w:szCs w:val="20"/>
              </w:rPr>
              <w:t xml:space="preserve"> urgent &amp; emergency care presentations: </w:t>
            </w:r>
            <w:r w:rsidRPr="000F4BFD">
              <w:rPr>
                <w:sz w:val="18"/>
                <w:szCs w:val="20"/>
              </w:rPr>
              <w:t>77,100</w:t>
            </w:r>
          </w:p>
          <w:p w14:paraId="326D20F2" w14:textId="77777777" w:rsidR="00F75731" w:rsidRPr="000F4BFD" w:rsidRDefault="00F75731">
            <w:pPr>
              <w:pStyle w:val="PlanXXspecial-appendix4table"/>
              <w:keepNext/>
              <w:keepLines/>
              <w:rPr>
                <w:sz w:val="18"/>
                <w:szCs w:val="20"/>
              </w:rPr>
            </w:pPr>
            <w:r w:rsidRPr="000F4BFD">
              <w:rPr>
                <w:b/>
                <w:bCs/>
                <w:sz w:val="18"/>
                <w:szCs w:val="20"/>
              </w:rPr>
              <w:t>Median Diagnostic Related Groups (&gt;5</w:t>
            </w:r>
            <w:r w:rsidRPr="000F4BFD">
              <w:rPr>
                <w:rFonts w:ascii="Cambria" w:hAnsi="Cambria" w:cs="Cambria"/>
                <w:b/>
                <w:bCs/>
                <w:sz w:val="18"/>
                <w:szCs w:val="20"/>
              </w:rPr>
              <w:t> </w:t>
            </w:r>
            <w:r w:rsidRPr="000F4BFD">
              <w:rPr>
                <w:b/>
                <w:bCs/>
                <w:sz w:val="18"/>
                <w:szCs w:val="20"/>
              </w:rPr>
              <w:t xml:space="preserve">seps): </w:t>
            </w:r>
            <w:r w:rsidRPr="000F4BFD">
              <w:rPr>
                <w:sz w:val="18"/>
                <w:szCs w:val="20"/>
              </w:rPr>
              <w:t>&gt;600</w:t>
            </w:r>
          </w:p>
          <w:p w14:paraId="1F95C21A" w14:textId="77777777" w:rsidR="00F75731" w:rsidRPr="000F4BFD" w:rsidRDefault="00F75731">
            <w:pPr>
              <w:pStyle w:val="PlanXXspecial-appendix4table"/>
              <w:keepNext/>
              <w:keepLines/>
              <w:rPr>
                <w:b/>
                <w:bCs/>
                <w:sz w:val="18"/>
                <w:szCs w:val="20"/>
              </w:rPr>
            </w:pPr>
            <w:r w:rsidRPr="000F4BFD">
              <w:rPr>
                <w:b/>
                <w:bCs/>
                <w:sz w:val="18"/>
                <w:szCs w:val="20"/>
              </w:rPr>
              <w:t>Median Clinical Capability Levels:</w:t>
            </w:r>
          </w:p>
          <w:p w14:paraId="4F441F49" w14:textId="77777777" w:rsidR="00F75731" w:rsidRPr="000F4BFD" w:rsidRDefault="00F75731">
            <w:pPr>
              <w:pStyle w:val="PlanXXspecial-appendix4table"/>
              <w:keepNext/>
              <w:keepLines/>
              <w:ind w:left="720"/>
              <w:rPr>
                <w:sz w:val="18"/>
                <w:szCs w:val="20"/>
              </w:rPr>
            </w:pPr>
            <w:r w:rsidRPr="000F4BFD">
              <w:rPr>
                <w:b/>
                <w:bCs/>
                <w:sz w:val="18"/>
                <w:szCs w:val="20"/>
              </w:rPr>
              <w:t>Adult Perioperative</w:t>
            </w:r>
            <w:r w:rsidRPr="000F4BFD">
              <w:rPr>
                <w:sz w:val="18"/>
                <w:szCs w:val="20"/>
              </w:rPr>
              <w:t xml:space="preserve"> – 5-6 (if service offered)</w:t>
            </w:r>
          </w:p>
          <w:p w14:paraId="03710412" w14:textId="77777777" w:rsidR="00F75731" w:rsidRPr="000F4BFD" w:rsidRDefault="00F75731">
            <w:pPr>
              <w:pStyle w:val="PlanXXspecial-appendix4table"/>
              <w:keepNext/>
              <w:keepLines/>
              <w:ind w:left="720"/>
              <w:rPr>
                <w:sz w:val="18"/>
                <w:szCs w:val="20"/>
              </w:rPr>
            </w:pPr>
            <w:r w:rsidRPr="000F4BFD">
              <w:rPr>
                <w:b/>
                <w:bCs/>
                <w:sz w:val="18"/>
                <w:szCs w:val="20"/>
              </w:rPr>
              <w:t>Paediatric Perioperative</w:t>
            </w:r>
            <w:r w:rsidRPr="000F4BFD">
              <w:rPr>
                <w:sz w:val="18"/>
                <w:szCs w:val="20"/>
              </w:rPr>
              <w:t xml:space="preserve"> – 4-5 (if service offered)</w:t>
            </w:r>
          </w:p>
          <w:p w14:paraId="21B5E422" w14:textId="77777777" w:rsidR="00F75731" w:rsidRPr="000F4BFD" w:rsidRDefault="00F75731">
            <w:pPr>
              <w:pStyle w:val="PlanXXspecial-appendix4table"/>
              <w:keepNext/>
              <w:keepLines/>
              <w:ind w:left="720"/>
              <w:rPr>
                <w:sz w:val="18"/>
                <w:szCs w:val="20"/>
              </w:rPr>
            </w:pPr>
            <w:r w:rsidRPr="000F4BFD">
              <w:rPr>
                <w:b/>
                <w:bCs/>
                <w:sz w:val="18"/>
                <w:szCs w:val="20"/>
              </w:rPr>
              <w:t>Maternity</w:t>
            </w:r>
            <w:r w:rsidRPr="000F4BFD">
              <w:rPr>
                <w:sz w:val="18"/>
                <w:szCs w:val="20"/>
              </w:rPr>
              <w:t xml:space="preserve"> – 5 (if service offered)</w:t>
            </w:r>
          </w:p>
          <w:p w14:paraId="59FDABAA" w14:textId="77777777" w:rsidR="00F75731" w:rsidRPr="000F4BFD" w:rsidRDefault="00F75731">
            <w:pPr>
              <w:pStyle w:val="PlanXXspecial-appendix4table"/>
              <w:keepNext/>
              <w:keepLines/>
              <w:ind w:left="720"/>
              <w:rPr>
                <w:sz w:val="18"/>
                <w:szCs w:val="20"/>
              </w:rPr>
            </w:pPr>
            <w:r w:rsidRPr="000F4BFD">
              <w:rPr>
                <w:b/>
                <w:bCs/>
                <w:sz w:val="18"/>
                <w:szCs w:val="20"/>
              </w:rPr>
              <w:t>Newborn</w:t>
            </w:r>
            <w:r w:rsidRPr="000F4BFD">
              <w:rPr>
                <w:sz w:val="18"/>
                <w:szCs w:val="20"/>
              </w:rPr>
              <w:t xml:space="preserve"> – 5 (if service offered)</w:t>
            </w:r>
          </w:p>
          <w:p w14:paraId="73AF8540" w14:textId="77777777" w:rsidR="00F75731" w:rsidRPr="000F4BFD" w:rsidRDefault="00F75731">
            <w:pPr>
              <w:pStyle w:val="PlanXXspecial-appendix4table"/>
              <w:keepNext/>
              <w:keepLines/>
              <w:rPr>
                <w:sz w:val="18"/>
                <w:szCs w:val="20"/>
              </w:rPr>
            </w:pPr>
            <w:r w:rsidRPr="000F4BFD">
              <w:rPr>
                <w:b/>
                <w:bCs/>
                <w:sz w:val="18"/>
                <w:szCs w:val="20"/>
              </w:rPr>
              <w:t xml:space="preserve">Median ICU hours delivered per annum: </w:t>
            </w:r>
            <w:r w:rsidRPr="000F4BFD">
              <w:rPr>
                <w:sz w:val="18"/>
                <w:szCs w:val="20"/>
              </w:rPr>
              <w:t>140,000</w:t>
            </w:r>
          </w:p>
          <w:p w14:paraId="2F97E90E" w14:textId="77777777" w:rsidR="00F75731" w:rsidRPr="000F4BFD" w:rsidRDefault="00F75731">
            <w:pPr>
              <w:pStyle w:val="PlanXXspecial-appendix4table"/>
              <w:keepNext/>
              <w:keepLines/>
              <w:rPr>
                <w:b/>
                <w:bCs/>
                <w:sz w:val="18"/>
                <w:szCs w:val="18"/>
              </w:rPr>
            </w:pPr>
            <w:r w:rsidRPr="000F4BFD">
              <w:rPr>
                <w:b/>
                <w:bCs/>
                <w:sz w:val="18"/>
                <w:szCs w:val="20"/>
              </w:rPr>
              <w:t xml:space="preserve">Median proportion of elective separations with NWAU&gt;4.0: </w:t>
            </w:r>
            <w:r w:rsidRPr="000F4BFD">
              <w:rPr>
                <w:sz w:val="18"/>
                <w:szCs w:val="20"/>
              </w:rPr>
              <w:t>1.8%</w:t>
            </w:r>
          </w:p>
          <w:p w14:paraId="71D47ADA" w14:textId="77777777" w:rsidR="00F75731" w:rsidRPr="000F4BFD" w:rsidRDefault="00F75731">
            <w:pPr>
              <w:pStyle w:val="PlanXXspecial-appendix4table"/>
              <w:keepNext/>
              <w:keepLines/>
              <w:rPr>
                <w:sz w:val="18"/>
                <w:szCs w:val="18"/>
              </w:rPr>
            </w:pPr>
            <w:r w:rsidRPr="000F4BFD">
              <w:rPr>
                <w:b/>
                <w:bCs/>
                <w:sz w:val="18"/>
                <w:szCs w:val="18"/>
              </w:rPr>
              <w:t>Median health service site beds:</w:t>
            </w:r>
            <w:r w:rsidRPr="000F4BFD">
              <w:rPr>
                <w:sz w:val="18"/>
                <w:szCs w:val="18"/>
              </w:rPr>
              <w:t xml:space="preserve"> 600</w:t>
            </w:r>
          </w:p>
          <w:p w14:paraId="7F79E2F2" w14:textId="77777777" w:rsidR="00F75731" w:rsidRPr="000F4BFD" w:rsidRDefault="00F75731">
            <w:pPr>
              <w:pStyle w:val="PlanXXspecial-appendix4table"/>
              <w:keepNext/>
              <w:keepLines/>
              <w:rPr>
                <w:sz w:val="18"/>
                <w:szCs w:val="20"/>
              </w:rPr>
            </w:pPr>
            <w:r w:rsidRPr="000F4BFD">
              <w:rPr>
                <w:b/>
                <w:bCs/>
                <w:sz w:val="18"/>
                <w:szCs w:val="20"/>
              </w:rPr>
              <w:t>Avg. length of stay for overnight care:</w:t>
            </w:r>
            <w:r w:rsidRPr="000F4BFD">
              <w:rPr>
                <w:sz w:val="18"/>
                <w:szCs w:val="20"/>
              </w:rPr>
              <w:t xml:space="preserve"> 4.8</w:t>
            </w:r>
            <w:r w:rsidRPr="000F4BFD">
              <w:rPr>
                <w:rFonts w:ascii="Cambria" w:hAnsi="Cambria" w:cs="Cambria"/>
                <w:sz w:val="18"/>
                <w:szCs w:val="20"/>
              </w:rPr>
              <w:t> </w:t>
            </w:r>
            <w:r w:rsidRPr="000F4BFD">
              <w:rPr>
                <w:sz w:val="18"/>
                <w:szCs w:val="20"/>
              </w:rPr>
              <w:t>days</w:t>
            </w:r>
          </w:p>
          <w:p w14:paraId="02045188" w14:textId="77777777" w:rsidR="00F75731" w:rsidRPr="000F4BFD" w:rsidRDefault="00F75731">
            <w:pPr>
              <w:pStyle w:val="PlanXXspecial-appendix4table"/>
              <w:keepNext/>
              <w:keepLines/>
              <w:rPr>
                <w:sz w:val="18"/>
                <w:szCs w:val="18"/>
              </w:rPr>
            </w:pPr>
            <w:r w:rsidRPr="000F4BFD">
              <w:rPr>
                <w:b/>
                <w:bCs/>
                <w:sz w:val="18"/>
                <w:szCs w:val="18"/>
              </w:rPr>
              <w:t>Avg. regional or Network</w:t>
            </w:r>
            <w:r w:rsidRPr="000F4BFD">
              <w:rPr>
                <w:b/>
                <w:sz w:val="18"/>
                <w:szCs w:val="18"/>
              </w:rPr>
              <w:t xml:space="preserve"> self-sufficiency for acute care</w:t>
            </w:r>
            <w:r w:rsidRPr="000F4BFD">
              <w:rPr>
                <w:b/>
                <w:bCs/>
                <w:sz w:val="18"/>
                <w:szCs w:val="18"/>
                <w:vertAlign w:val="superscript"/>
              </w:rPr>
              <w:t>¥</w:t>
            </w:r>
            <w:r w:rsidRPr="000F4BFD">
              <w:rPr>
                <w:b/>
                <w:bCs/>
                <w:sz w:val="18"/>
                <w:szCs w:val="18"/>
              </w:rPr>
              <w:t>:</w:t>
            </w:r>
            <w:r w:rsidRPr="000F4BFD">
              <w:rPr>
                <w:sz w:val="18"/>
                <w:szCs w:val="18"/>
              </w:rPr>
              <w:t xml:space="preserve"> &gt;92%</w:t>
            </w:r>
          </w:p>
          <w:p w14:paraId="7AB88C5E" w14:textId="77777777" w:rsidR="00F75731" w:rsidRPr="000F4BFD" w:rsidRDefault="00F75731">
            <w:pPr>
              <w:pStyle w:val="PlanXXspecial-appendix4table"/>
              <w:keepNext/>
              <w:keepLines/>
              <w:rPr>
                <w:sz w:val="18"/>
                <w:szCs w:val="20"/>
              </w:rPr>
            </w:pPr>
            <w:r w:rsidRPr="000F4BFD">
              <w:rPr>
                <w:b/>
                <w:bCs/>
                <w:sz w:val="18"/>
                <w:szCs w:val="20"/>
              </w:rPr>
              <w:t>Proportion of acute bed days delivered in the home:</w:t>
            </w:r>
            <w:r w:rsidRPr="000F4BFD">
              <w:rPr>
                <w:sz w:val="18"/>
                <w:szCs w:val="20"/>
              </w:rPr>
              <w:t xml:space="preserve"> 10–20%</w:t>
            </w:r>
          </w:p>
          <w:p w14:paraId="14EDFAAC" w14:textId="77777777" w:rsidR="00F75731" w:rsidRPr="000F4BFD" w:rsidRDefault="00F75731">
            <w:pPr>
              <w:pStyle w:val="PlanXXspecial-appendix4table"/>
              <w:keepNext/>
              <w:keepLines/>
              <w:rPr>
                <w:sz w:val="18"/>
                <w:szCs w:val="20"/>
              </w:rPr>
            </w:pPr>
            <w:r w:rsidRPr="000F4BFD">
              <w:rPr>
                <w:b/>
                <w:bCs/>
                <w:sz w:val="18"/>
                <w:szCs w:val="20"/>
              </w:rPr>
              <w:t>Medical practitioners/specialists:</w:t>
            </w:r>
            <w:r w:rsidRPr="000F4BFD">
              <w:rPr>
                <w:sz w:val="18"/>
                <w:szCs w:val="20"/>
              </w:rPr>
              <w:t xml:space="preserve"> Directly employed</w:t>
            </w:r>
          </w:p>
        </w:tc>
      </w:tr>
      <w:tr w:rsidR="00F75731" w:rsidRPr="000F4BFD" w14:paraId="2E6CB9DC" w14:textId="77777777">
        <w:trPr>
          <w:trHeight w:val="1237"/>
        </w:trPr>
        <w:tc>
          <w:tcPr>
            <w:tcW w:w="1100"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57B78991" w14:textId="77777777" w:rsidR="00F75731" w:rsidRPr="000F4BFD" w:rsidRDefault="00F75731">
            <w:pPr>
              <w:keepNext/>
              <w:keepLines/>
              <w:rPr>
                <w:rFonts w:ascii="VIC" w:hAnsi="VIC"/>
                <w:lang w:eastAsia="en-AU"/>
              </w:rPr>
            </w:pPr>
            <w:r w:rsidRPr="000F4BFD">
              <w:rPr>
                <w:rFonts w:ascii="VIC" w:hAnsi="VIC"/>
                <w:noProof/>
                <w:lang w:eastAsia="en-AU"/>
              </w:rPr>
              <w:drawing>
                <wp:inline distT="0" distB="0" distL="0" distR="0" wp14:anchorId="73412AEF" wp14:editId="261905EA">
                  <wp:extent cx="477079" cy="477079"/>
                  <wp:effectExtent l="0" t="0" r="0" b="0"/>
                  <wp:docPr id="1864626324" name="Graphic 1864626324" descr="Grou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Graphic 94" descr="Group with solid fill"/>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86216" cy="486216"/>
                          </a:xfrm>
                          <a:prstGeom prst="rect">
                            <a:avLst/>
                          </a:prstGeom>
                        </pic:spPr>
                      </pic:pic>
                    </a:graphicData>
                  </a:graphic>
                </wp:inline>
              </w:drawing>
            </w:r>
          </w:p>
        </w:tc>
        <w:tc>
          <w:tcPr>
            <w:tcW w:w="1755"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37257431" w14:textId="77777777" w:rsidR="00F75731" w:rsidRPr="000F4BFD" w:rsidRDefault="00F75731">
            <w:pPr>
              <w:keepNext/>
              <w:keepLines/>
              <w:spacing w:after="0"/>
              <w:rPr>
                <w:rFonts w:ascii="VIC" w:hAnsi="VIC"/>
                <w:b/>
                <w:bCs/>
                <w:color w:val="365F91" w:themeColor="accent1" w:themeShade="BF"/>
                <w:lang w:eastAsia="en-AU"/>
              </w:rPr>
            </w:pPr>
            <w:r w:rsidRPr="000F4BFD">
              <w:rPr>
                <w:rFonts w:ascii="VIC" w:hAnsi="VIC"/>
                <w:b/>
                <w:bCs/>
                <w:color w:val="365F91" w:themeColor="accent1" w:themeShade="BF"/>
                <w:lang w:eastAsia="en-AU"/>
              </w:rPr>
              <w:t>Catchment Community</w:t>
            </w:r>
          </w:p>
        </w:tc>
        <w:tc>
          <w:tcPr>
            <w:tcW w:w="6442" w:type="dxa"/>
            <w:tcBorders>
              <w:top w:val="single" w:sz="4" w:space="0" w:color="auto"/>
              <w:left w:val="nil"/>
              <w:bottom w:val="single" w:sz="4" w:space="0" w:color="auto"/>
              <w:right w:val="nil"/>
            </w:tcBorders>
            <w:tcMar>
              <w:top w:w="72" w:type="dxa"/>
              <w:left w:w="144" w:type="dxa"/>
              <w:bottom w:w="72" w:type="dxa"/>
              <w:right w:w="144" w:type="dxa"/>
            </w:tcMar>
            <w:vAlign w:val="center"/>
          </w:tcPr>
          <w:p w14:paraId="32E74096" w14:textId="77777777" w:rsidR="00F75731" w:rsidRPr="000F4BFD" w:rsidRDefault="00F75731">
            <w:pPr>
              <w:pStyle w:val="PlanXXspecial-appendix4table"/>
              <w:keepNext/>
              <w:keepLines/>
              <w:rPr>
                <w:sz w:val="18"/>
                <w:szCs w:val="20"/>
              </w:rPr>
            </w:pPr>
            <w:r w:rsidRPr="000F4BFD">
              <w:rPr>
                <w:b/>
                <w:bCs/>
                <w:sz w:val="18"/>
                <w:szCs w:val="20"/>
              </w:rPr>
              <w:t>Median number of LGAs serviced (&gt;50 seps):</w:t>
            </w:r>
            <w:r w:rsidRPr="000F4BFD">
              <w:rPr>
                <w:sz w:val="18"/>
                <w:szCs w:val="20"/>
              </w:rPr>
              <w:t xml:space="preserve"> 30</w:t>
            </w:r>
          </w:p>
          <w:p w14:paraId="6CA58A97" w14:textId="77777777" w:rsidR="00F75731" w:rsidRPr="000F4BFD" w:rsidRDefault="00F75731">
            <w:pPr>
              <w:pStyle w:val="PlanXXspecial-appendix4table"/>
              <w:keepNext/>
              <w:keepLines/>
              <w:spacing w:after="0"/>
              <w:rPr>
                <w:b/>
                <w:bCs/>
                <w:sz w:val="18"/>
                <w:szCs w:val="20"/>
              </w:rPr>
            </w:pPr>
            <w:r w:rsidRPr="000F4BFD">
              <w:rPr>
                <w:b/>
                <w:bCs/>
                <w:sz w:val="18"/>
                <w:szCs w:val="20"/>
              </w:rPr>
              <w:t>Community description:</w:t>
            </w:r>
          </w:p>
          <w:p w14:paraId="25C2A35D" w14:textId="77777777" w:rsidR="00F75731" w:rsidRPr="000F4BFD" w:rsidRDefault="00F75731">
            <w:pPr>
              <w:pStyle w:val="PlanXXspecial-appendix4table"/>
              <w:keepNext/>
              <w:keepLines/>
              <w:spacing w:after="0"/>
              <w:ind w:left="720"/>
              <w:rPr>
                <w:sz w:val="18"/>
                <w:szCs w:val="20"/>
              </w:rPr>
            </w:pPr>
            <w:r w:rsidRPr="000F4BFD">
              <w:rPr>
                <w:b/>
                <w:bCs/>
                <w:sz w:val="18"/>
                <w:szCs w:val="20"/>
              </w:rPr>
              <w:t>Population size:</w:t>
            </w:r>
            <w:r w:rsidRPr="000F4BFD">
              <w:rPr>
                <w:sz w:val="18"/>
                <w:szCs w:val="20"/>
              </w:rPr>
              <w:t xml:space="preserve"> 500,000</w:t>
            </w:r>
          </w:p>
          <w:p w14:paraId="3701FED4" w14:textId="77777777" w:rsidR="00F75731" w:rsidRPr="000F4BFD" w:rsidRDefault="00F75731">
            <w:pPr>
              <w:pStyle w:val="PlanXXspecial-appendix4table"/>
              <w:keepNext/>
              <w:keepLines/>
              <w:spacing w:after="0"/>
              <w:ind w:left="720"/>
              <w:rPr>
                <w:sz w:val="18"/>
                <w:szCs w:val="20"/>
              </w:rPr>
            </w:pPr>
            <w:r w:rsidRPr="000F4BFD">
              <w:rPr>
                <w:b/>
                <w:bCs/>
                <w:sz w:val="18"/>
                <w:szCs w:val="20"/>
              </w:rPr>
              <w:t>Age profile:</w:t>
            </w:r>
            <w:r w:rsidRPr="000F4BFD">
              <w:rPr>
                <w:sz w:val="18"/>
                <w:szCs w:val="20"/>
              </w:rPr>
              <w:t xml:space="preserve"> varied</w:t>
            </w:r>
          </w:p>
          <w:p w14:paraId="6299CEE6" w14:textId="77777777" w:rsidR="00F75731" w:rsidRPr="000F4BFD" w:rsidRDefault="00F75731">
            <w:pPr>
              <w:pStyle w:val="PlanXXspecial-appendix4table"/>
              <w:keepNext/>
              <w:keepLines/>
              <w:spacing w:after="0"/>
              <w:ind w:left="720"/>
              <w:rPr>
                <w:sz w:val="18"/>
                <w:szCs w:val="20"/>
              </w:rPr>
            </w:pPr>
            <w:r w:rsidRPr="000F4BFD">
              <w:rPr>
                <w:b/>
                <w:sz w:val="18"/>
                <w:szCs w:val="20"/>
              </w:rPr>
              <w:t>Geographies:</w:t>
            </w:r>
            <w:r w:rsidRPr="000F4BFD">
              <w:rPr>
                <w:sz w:val="18"/>
                <w:szCs w:val="20"/>
              </w:rPr>
              <w:t xml:space="preserve"> major regional areas spanning multiple Local Health Service Networks</w:t>
            </w:r>
          </w:p>
          <w:p w14:paraId="41A33D20" w14:textId="77777777" w:rsidR="00F75731" w:rsidRPr="000F4BFD" w:rsidRDefault="00F75731">
            <w:pPr>
              <w:pStyle w:val="PlanXXspecial-appendix4table"/>
              <w:keepNext/>
              <w:keepLines/>
              <w:spacing w:after="0"/>
              <w:rPr>
                <w:i/>
                <w:sz w:val="18"/>
                <w:szCs w:val="20"/>
              </w:rPr>
            </w:pPr>
          </w:p>
        </w:tc>
      </w:tr>
    </w:tbl>
    <w:p w14:paraId="3C36DB86" w14:textId="1C230078" w:rsidR="00F75731" w:rsidRDefault="00F75731" w:rsidP="00BF194A">
      <w:pPr>
        <w:pStyle w:val="Caption"/>
        <w:keepNext/>
        <w:keepLines/>
        <w:rPr>
          <w:rFonts w:cs="Arial"/>
        </w:rPr>
      </w:pPr>
      <w:r w:rsidRPr="000F4BFD">
        <w:rPr>
          <w:rFonts w:ascii="VIC" w:hAnsi="VIC"/>
          <w:sz w:val="16"/>
          <w:szCs w:val="16"/>
        </w:rPr>
        <w:t xml:space="preserve">* Excludes sub-acute and mental health admitted activity; </w:t>
      </w:r>
      <w:r w:rsidRPr="000F4BFD">
        <w:rPr>
          <w:rFonts w:cs="Arial"/>
          <w:sz w:val="16"/>
          <w:szCs w:val="16"/>
          <w:vertAlign w:val="superscript"/>
        </w:rPr>
        <w:t>ⱡ</w:t>
      </w:r>
      <w:r w:rsidRPr="000F4BFD">
        <w:rPr>
          <w:rFonts w:ascii="VIC" w:hAnsi="VIC"/>
          <w:sz w:val="16"/>
          <w:szCs w:val="16"/>
        </w:rPr>
        <w:t xml:space="preserve">Median values are rounded to nearest 100; </w:t>
      </w:r>
      <w:r w:rsidRPr="000F4BFD">
        <w:rPr>
          <w:vertAlign w:val="superscript"/>
        </w:rPr>
        <w:t>¥</w:t>
      </w:r>
      <w:r w:rsidRPr="000F4BFD">
        <w:rPr>
          <w:rFonts w:ascii="VIC" w:hAnsi="VIC"/>
          <w:sz w:val="16"/>
          <w:szCs w:val="16"/>
        </w:rPr>
        <w:t>Collective self-sufficiency across all sites within a Network or region</w:t>
      </w:r>
    </w:p>
    <w:p w14:paraId="04D02D21" w14:textId="77777777" w:rsidR="00F75731" w:rsidRDefault="00F75731" w:rsidP="00BF194A">
      <w:pPr>
        <w:pStyle w:val="Caption"/>
        <w:keepNext/>
        <w:keepLines/>
        <w:rPr>
          <w:rFonts w:cs="Arial"/>
        </w:rPr>
      </w:pPr>
    </w:p>
    <w:p w14:paraId="7910F726" w14:textId="77777777" w:rsidR="00EA0292" w:rsidRDefault="00EA0292">
      <w:pPr>
        <w:spacing w:after="0" w:line="240" w:lineRule="auto"/>
        <w:rPr>
          <w:rFonts w:cs="Arial"/>
          <w:i/>
          <w:iCs/>
          <w:color w:val="1F497D" w:themeColor="text2"/>
          <w:sz w:val="18"/>
          <w:szCs w:val="18"/>
        </w:rPr>
      </w:pPr>
      <w:r>
        <w:rPr>
          <w:rFonts w:cs="Arial"/>
        </w:rPr>
        <w:br w:type="page"/>
      </w:r>
    </w:p>
    <w:p w14:paraId="71E0A9A0" w14:textId="6D5BE299" w:rsidR="00BF194A" w:rsidRPr="008E7073" w:rsidRDefault="00BF194A" w:rsidP="00BF194A">
      <w:pPr>
        <w:pStyle w:val="Caption"/>
        <w:keepNext/>
        <w:keepLines/>
        <w:rPr>
          <w:rFonts w:cs="Arial"/>
        </w:rPr>
      </w:pPr>
      <w:r w:rsidRPr="008E7073">
        <w:rPr>
          <w:rFonts w:cs="Arial"/>
        </w:rPr>
        <w:lastRenderedPageBreak/>
        <w:t xml:space="preserve">Table </w:t>
      </w:r>
      <w:r w:rsidRPr="008E7073">
        <w:rPr>
          <w:rFonts w:cs="Arial"/>
        </w:rPr>
        <w:fldChar w:fldCharType="begin"/>
      </w:r>
      <w:r w:rsidRPr="008E7073">
        <w:rPr>
          <w:rFonts w:cs="Arial"/>
        </w:rPr>
        <w:instrText xml:space="preserve"> SEQ Table \* ARABIC </w:instrText>
      </w:r>
      <w:r w:rsidRPr="008E7073">
        <w:rPr>
          <w:rFonts w:cs="Arial"/>
        </w:rPr>
        <w:fldChar w:fldCharType="separate"/>
      </w:r>
      <w:r w:rsidRPr="008E7073">
        <w:rPr>
          <w:rFonts w:cs="Arial"/>
          <w:noProof/>
        </w:rPr>
        <w:t>8</w:t>
      </w:r>
      <w:r w:rsidRPr="008E7073">
        <w:rPr>
          <w:rFonts w:cs="Arial"/>
        </w:rPr>
        <w:fldChar w:fldCharType="end"/>
      </w:r>
      <w:r w:rsidRPr="008E7073">
        <w:rPr>
          <w:rFonts w:cs="Arial"/>
        </w:rPr>
        <w:t>. Tertiary Hospital site characteristics</w:t>
      </w:r>
    </w:p>
    <w:tbl>
      <w:tblPr>
        <w:tblW w:w="5000" w:type="pct"/>
        <w:tblCellMar>
          <w:left w:w="0" w:type="dxa"/>
          <w:right w:w="0" w:type="dxa"/>
        </w:tblCellMar>
        <w:tblLook w:val="0420" w:firstRow="1" w:lastRow="0" w:firstColumn="0" w:lastColumn="0" w:noHBand="0" w:noVBand="1"/>
      </w:tblPr>
      <w:tblGrid>
        <w:gridCol w:w="1083"/>
        <w:gridCol w:w="1755"/>
        <w:gridCol w:w="6460"/>
      </w:tblGrid>
      <w:tr w:rsidR="00BF194A" w:rsidRPr="008E7073" w14:paraId="4E7831BF" w14:textId="77777777">
        <w:trPr>
          <w:trHeight w:val="27"/>
          <w:tblHeader/>
        </w:trPr>
        <w:tc>
          <w:tcPr>
            <w:tcW w:w="5000" w:type="pct"/>
            <w:gridSpan w:val="3"/>
            <w:tcBorders>
              <w:top w:val="single" w:sz="18" w:space="0" w:color="000000" w:themeColor="text1"/>
              <w:left w:val="nil"/>
              <w:bottom w:val="single" w:sz="18" w:space="0" w:color="000000" w:themeColor="text1"/>
              <w:right w:val="nil"/>
            </w:tcBorders>
            <w:shd w:val="clear" w:color="auto" w:fill="F2F2F2" w:themeFill="background1" w:themeFillShade="F2"/>
            <w:tcMar>
              <w:top w:w="72" w:type="dxa"/>
              <w:left w:w="144" w:type="dxa"/>
              <w:bottom w:w="72" w:type="dxa"/>
              <w:right w:w="144" w:type="dxa"/>
            </w:tcMar>
            <w:hideMark/>
          </w:tcPr>
          <w:p w14:paraId="52D84913" w14:textId="77777777" w:rsidR="00BF194A" w:rsidRPr="008E7073" w:rsidRDefault="00BF194A">
            <w:pPr>
              <w:keepNext/>
              <w:keepLines/>
              <w:rPr>
                <w:rFonts w:cs="Arial"/>
                <w:b/>
                <w:bCs/>
                <w:lang w:eastAsia="en-AU"/>
              </w:rPr>
            </w:pPr>
            <w:r w:rsidRPr="008E7073">
              <w:rPr>
                <w:rFonts w:cs="Arial"/>
                <w:b/>
                <w:bCs/>
                <w:lang w:eastAsia="en-AU"/>
              </w:rPr>
              <w:t>Description – Tertiary Hospital Sites</w:t>
            </w:r>
          </w:p>
        </w:tc>
      </w:tr>
      <w:tr w:rsidR="00BF194A" w:rsidRPr="008E7073" w14:paraId="0CF5C818" w14:textId="77777777">
        <w:trPr>
          <w:trHeight w:val="932"/>
        </w:trPr>
        <w:tc>
          <w:tcPr>
            <w:tcW w:w="582" w:type="pct"/>
            <w:tcBorders>
              <w:top w:val="single" w:sz="18" w:space="0" w:color="000000" w:themeColor="text1"/>
              <w:left w:val="nil"/>
              <w:bottom w:val="single" w:sz="4" w:space="0" w:color="auto"/>
              <w:right w:val="nil"/>
            </w:tcBorders>
            <w:tcMar>
              <w:top w:w="72" w:type="dxa"/>
              <w:left w:w="144" w:type="dxa"/>
              <w:bottom w:w="72" w:type="dxa"/>
              <w:right w:w="144" w:type="dxa"/>
            </w:tcMar>
            <w:vAlign w:val="center"/>
            <w:hideMark/>
          </w:tcPr>
          <w:p w14:paraId="7419500A" w14:textId="77777777" w:rsidR="00BF194A" w:rsidRPr="008E7073" w:rsidRDefault="00BF194A">
            <w:pPr>
              <w:keepNext/>
              <w:keepLines/>
              <w:rPr>
                <w:rFonts w:cs="Arial"/>
                <w:lang w:eastAsia="en-AU"/>
              </w:rPr>
            </w:pPr>
            <w:r w:rsidRPr="008E7073">
              <w:rPr>
                <w:rFonts w:cs="Arial"/>
                <w:noProof/>
                <w:lang w:eastAsia="en-AU"/>
              </w:rPr>
              <w:drawing>
                <wp:inline distT="0" distB="0" distL="0" distR="0" wp14:anchorId="28139552" wp14:editId="49FF9107">
                  <wp:extent cx="485775" cy="485775"/>
                  <wp:effectExtent l="0" t="0" r="9525" b="0"/>
                  <wp:docPr id="1082696318" name="Graphic 10826963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696318" name="Graphic 1082696318">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5775" cy="485775"/>
                          </a:xfrm>
                          <a:prstGeom prst="rect">
                            <a:avLst/>
                          </a:prstGeom>
                        </pic:spPr>
                      </pic:pic>
                    </a:graphicData>
                  </a:graphic>
                </wp:inline>
              </w:drawing>
            </w:r>
          </w:p>
        </w:tc>
        <w:tc>
          <w:tcPr>
            <w:tcW w:w="944" w:type="pct"/>
            <w:tcBorders>
              <w:top w:val="single" w:sz="18" w:space="0" w:color="000000" w:themeColor="text1"/>
              <w:left w:val="nil"/>
              <w:bottom w:val="single" w:sz="4" w:space="0" w:color="auto"/>
              <w:right w:val="nil"/>
            </w:tcBorders>
            <w:tcMar>
              <w:top w:w="72" w:type="dxa"/>
              <w:left w:w="144" w:type="dxa"/>
              <w:bottom w:w="72" w:type="dxa"/>
              <w:right w:w="144" w:type="dxa"/>
            </w:tcMar>
            <w:vAlign w:val="center"/>
            <w:hideMark/>
          </w:tcPr>
          <w:p w14:paraId="0A207FCE" w14:textId="77777777" w:rsidR="00BF194A" w:rsidRPr="008E7073" w:rsidRDefault="00BF194A">
            <w:pPr>
              <w:keepNext/>
              <w:keepLines/>
              <w:rPr>
                <w:rFonts w:cs="Arial"/>
                <w:b/>
                <w:bCs/>
                <w:color w:val="365F91" w:themeColor="accent1" w:themeShade="BF"/>
                <w:lang w:eastAsia="en-AU"/>
              </w:rPr>
            </w:pPr>
            <w:r w:rsidRPr="008E7073">
              <w:rPr>
                <w:rFonts w:cs="Arial"/>
                <w:b/>
                <w:bCs/>
                <w:color w:val="365F91" w:themeColor="accent1" w:themeShade="BF"/>
                <w:lang w:eastAsia="en-AU"/>
              </w:rPr>
              <w:t>Service Profile</w:t>
            </w:r>
          </w:p>
        </w:tc>
        <w:tc>
          <w:tcPr>
            <w:tcW w:w="3474" w:type="pct"/>
            <w:tcBorders>
              <w:top w:val="single" w:sz="18" w:space="0" w:color="000000" w:themeColor="text1"/>
              <w:left w:val="nil"/>
              <w:bottom w:val="single" w:sz="4" w:space="0" w:color="auto"/>
              <w:right w:val="nil"/>
            </w:tcBorders>
            <w:tcMar>
              <w:top w:w="72" w:type="dxa"/>
              <w:left w:w="144" w:type="dxa"/>
              <w:bottom w:w="72" w:type="dxa"/>
              <w:right w:w="144" w:type="dxa"/>
            </w:tcMar>
            <w:vAlign w:val="center"/>
          </w:tcPr>
          <w:p w14:paraId="1BD3B22B"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sz w:val="18"/>
                <w:szCs w:val="20"/>
              </w:rPr>
              <w:t>Typical types of services per Principal Health service site facilities plus:</w:t>
            </w:r>
          </w:p>
          <w:p w14:paraId="2366D52B" w14:textId="77777777" w:rsidR="00BF194A" w:rsidRPr="008E7073" w:rsidRDefault="00BF194A">
            <w:pPr>
              <w:pStyle w:val="PlanXXSpecial-Appendix4figuredots"/>
              <w:keepNext/>
              <w:keepLines/>
              <w:rPr>
                <w:rFonts w:ascii="Arial" w:hAnsi="Arial" w:cs="Arial"/>
                <w:sz w:val="18"/>
              </w:rPr>
            </w:pPr>
            <w:r w:rsidRPr="008E7073">
              <w:rPr>
                <w:rFonts w:ascii="Arial" w:hAnsi="Arial" w:cs="Arial"/>
                <w:sz w:val="18"/>
              </w:rPr>
              <w:t>large emergency departments</w:t>
            </w:r>
          </w:p>
          <w:p w14:paraId="3B0C9947" w14:textId="77777777" w:rsidR="00BF194A" w:rsidRPr="008E7073" w:rsidRDefault="00BF194A">
            <w:pPr>
              <w:pStyle w:val="PlanXXSpecial-Appendix4figuredots"/>
              <w:keepNext/>
              <w:keepLines/>
              <w:rPr>
                <w:rFonts w:ascii="Arial" w:hAnsi="Arial" w:cs="Arial"/>
                <w:sz w:val="18"/>
              </w:rPr>
            </w:pPr>
            <w:r w:rsidRPr="008E7073">
              <w:rPr>
                <w:rFonts w:ascii="Arial" w:hAnsi="Arial" w:cs="Arial"/>
                <w:sz w:val="18"/>
              </w:rPr>
              <w:t>large ICUs with highest level of critical care</w:t>
            </w:r>
          </w:p>
          <w:p w14:paraId="6D611DA5" w14:textId="77777777" w:rsidR="00BF194A" w:rsidRPr="008E7073" w:rsidRDefault="00BF194A">
            <w:pPr>
              <w:pStyle w:val="PlanXXSpecial-Appendix4figuredots"/>
              <w:keepNext/>
              <w:keepLines/>
              <w:rPr>
                <w:rFonts w:ascii="Arial" w:hAnsi="Arial" w:cs="Arial"/>
                <w:sz w:val="18"/>
              </w:rPr>
            </w:pPr>
            <w:r w:rsidRPr="008E7073">
              <w:rPr>
                <w:rFonts w:ascii="Arial" w:hAnsi="Arial" w:cs="Arial"/>
                <w:sz w:val="18"/>
              </w:rPr>
              <w:t xml:space="preserve">most subspecialties </w:t>
            </w:r>
          </w:p>
          <w:p w14:paraId="41BB2F83" w14:textId="77777777" w:rsidR="00BF194A" w:rsidRPr="008E7073" w:rsidRDefault="00BF194A">
            <w:pPr>
              <w:pStyle w:val="PlanXXSpecial-Appendix4figuredots"/>
              <w:keepNext/>
              <w:keepLines/>
              <w:rPr>
                <w:rFonts w:ascii="Arial" w:hAnsi="Arial" w:cs="Arial"/>
                <w:sz w:val="18"/>
              </w:rPr>
            </w:pPr>
            <w:r w:rsidRPr="008E7073">
              <w:rPr>
                <w:rFonts w:ascii="Arial" w:hAnsi="Arial" w:cs="Arial"/>
                <w:sz w:val="18"/>
              </w:rPr>
              <w:t>multidisciplinary acute health service site specialty services staff collocated on site include cardiac surgery, neurosurgery, bone marrow and organ transplant, and infectious diseases</w:t>
            </w:r>
          </w:p>
          <w:p w14:paraId="451A9612" w14:textId="77777777" w:rsidR="00BF194A" w:rsidRPr="008E7073" w:rsidRDefault="00BF194A">
            <w:pPr>
              <w:pStyle w:val="PlanXXSpecial-Appendix4figuredots"/>
              <w:keepNext/>
              <w:keepLines/>
              <w:rPr>
                <w:rFonts w:ascii="Arial" w:hAnsi="Arial" w:cs="Arial"/>
                <w:sz w:val="18"/>
              </w:rPr>
            </w:pPr>
            <w:r w:rsidRPr="008E7073">
              <w:rPr>
                <w:rFonts w:ascii="Arial" w:hAnsi="Arial" w:cs="Arial"/>
                <w:sz w:val="18"/>
              </w:rPr>
              <w:t>may provide acute mental health services</w:t>
            </w:r>
          </w:p>
          <w:p w14:paraId="27FC1671" w14:textId="77777777" w:rsidR="00BF194A" w:rsidRPr="008E7073" w:rsidRDefault="00BF194A">
            <w:pPr>
              <w:pStyle w:val="PlanXXSpecial-Appendix4figuredots"/>
              <w:keepNext/>
              <w:keepLines/>
              <w:rPr>
                <w:rFonts w:ascii="Arial" w:hAnsi="Arial" w:cs="Arial"/>
                <w:sz w:val="18"/>
              </w:rPr>
            </w:pPr>
            <w:r w:rsidRPr="008E7073">
              <w:rPr>
                <w:rFonts w:ascii="Arial" w:hAnsi="Arial" w:cs="Arial"/>
                <w:sz w:val="18"/>
              </w:rPr>
              <w:t>research, education and advanced training performed on site</w:t>
            </w:r>
          </w:p>
        </w:tc>
      </w:tr>
      <w:tr w:rsidR="00BF194A" w:rsidRPr="008E7073" w14:paraId="7450B4A8" w14:textId="77777777">
        <w:trPr>
          <w:trHeight w:val="270"/>
        </w:trPr>
        <w:tc>
          <w:tcPr>
            <w:tcW w:w="582" w:type="pct"/>
            <w:tcBorders>
              <w:top w:val="single" w:sz="4" w:space="0" w:color="auto"/>
              <w:left w:val="nil"/>
              <w:bottom w:val="single" w:sz="4" w:space="0" w:color="auto"/>
              <w:right w:val="nil"/>
            </w:tcBorders>
            <w:shd w:val="clear" w:color="auto" w:fill="FFFFFF" w:themeFill="background1"/>
            <w:tcMar>
              <w:top w:w="72" w:type="dxa"/>
              <w:left w:w="144" w:type="dxa"/>
              <w:bottom w:w="72" w:type="dxa"/>
              <w:right w:w="144" w:type="dxa"/>
            </w:tcMar>
            <w:vAlign w:val="center"/>
          </w:tcPr>
          <w:p w14:paraId="4C09E86E" w14:textId="77777777" w:rsidR="00BF194A" w:rsidRPr="008E7073" w:rsidRDefault="00BF194A">
            <w:pPr>
              <w:keepNext/>
              <w:keepLines/>
              <w:rPr>
                <w:rFonts w:cs="Arial"/>
                <w:noProof/>
                <w:lang w:eastAsia="en-AU"/>
              </w:rPr>
            </w:pPr>
            <w:r w:rsidRPr="008E7073">
              <w:rPr>
                <w:rFonts w:cs="Arial"/>
                <w:noProof/>
                <w:color w:val="365F91" w:themeColor="accent1" w:themeShade="BF"/>
                <w:lang w:eastAsia="en-AU"/>
              </w:rPr>
              <w:drawing>
                <wp:inline distT="0" distB="0" distL="0" distR="0" wp14:anchorId="4430394D" wp14:editId="6C6B8CC9">
                  <wp:extent cx="475488" cy="475488"/>
                  <wp:effectExtent l="0" t="0" r="0" b="1270"/>
                  <wp:docPr id="921662577"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662577" name="Graphic 2">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480114" cy="480114"/>
                          </a:xfrm>
                          <a:prstGeom prst="rect">
                            <a:avLst/>
                          </a:prstGeom>
                        </pic:spPr>
                      </pic:pic>
                    </a:graphicData>
                  </a:graphic>
                </wp:inline>
              </w:drawing>
            </w:r>
          </w:p>
        </w:tc>
        <w:tc>
          <w:tcPr>
            <w:tcW w:w="944" w:type="pct"/>
            <w:tcBorders>
              <w:top w:val="single" w:sz="4" w:space="0" w:color="auto"/>
              <w:left w:val="nil"/>
              <w:bottom w:val="single" w:sz="4" w:space="0" w:color="auto"/>
              <w:right w:val="nil"/>
            </w:tcBorders>
            <w:tcMar>
              <w:top w:w="72" w:type="dxa"/>
              <w:left w:w="144" w:type="dxa"/>
              <w:bottom w:w="72" w:type="dxa"/>
              <w:right w:w="144" w:type="dxa"/>
            </w:tcMar>
            <w:vAlign w:val="center"/>
          </w:tcPr>
          <w:p w14:paraId="3326A824" w14:textId="77777777" w:rsidR="00BF194A" w:rsidRPr="008E7073" w:rsidRDefault="00BF194A">
            <w:pPr>
              <w:keepNext/>
              <w:keepLines/>
              <w:rPr>
                <w:rFonts w:cs="Arial"/>
                <w:b/>
                <w:bCs/>
                <w:color w:val="365F91" w:themeColor="accent1" w:themeShade="BF"/>
                <w:lang w:eastAsia="en-AU"/>
              </w:rPr>
            </w:pPr>
            <w:r w:rsidRPr="008E7073">
              <w:rPr>
                <w:rFonts w:cs="Arial"/>
                <w:b/>
                <w:bCs/>
                <w:color w:val="365F91" w:themeColor="accent1" w:themeShade="BF"/>
                <w:lang w:eastAsia="en-AU"/>
              </w:rPr>
              <w:t>Primary &amp; Aged Care</w:t>
            </w:r>
          </w:p>
        </w:tc>
        <w:tc>
          <w:tcPr>
            <w:tcW w:w="3474" w:type="pct"/>
            <w:tcBorders>
              <w:top w:val="single" w:sz="4" w:space="0" w:color="auto"/>
              <w:left w:val="nil"/>
              <w:bottom w:val="single" w:sz="4" w:space="0" w:color="auto"/>
              <w:right w:val="nil"/>
            </w:tcBorders>
            <w:tcMar>
              <w:top w:w="72" w:type="dxa"/>
              <w:left w:w="144" w:type="dxa"/>
              <w:bottom w:w="72" w:type="dxa"/>
              <w:right w:w="144" w:type="dxa"/>
            </w:tcMar>
            <w:vAlign w:val="center"/>
          </w:tcPr>
          <w:p w14:paraId="6D0D414C" w14:textId="77777777" w:rsidR="00BF194A" w:rsidRPr="008E7073" w:rsidRDefault="00BF194A">
            <w:pPr>
              <w:pStyle w:val="Body"/>
              <w:keepNext/>
              <w:keepLines/>
              <w:rPr>
                <w:rFonts w:cs="Arial"/>
                <w:sz w:val="18"/>
              </w:rPr>
            </w:pPr>
            <w:r w:rsidRPr="008E7073">
              <w:rPr>
                <w:rFonts w:cs="Arial"/>
                <w:b/>
                <w:bCs/>
                <w:sz w:val="18"/>
              </w:rPr>
              <w:t>Public Sector Residential Aged Care places:</w:t>
            </w:r>
            <w:r w:rsidRPr="008E7073">
              <w:rPr>
                <w:rFonts w:cs="Arial"/>
                <w:sz w:val="18"/>
              </w:rPr>
              <w:t xml:space="preserve"> Typically, not co-located on the health service site </w:t>
            </w:r>
          </w:p>
          <w:p w14:paraId="308EE0BE" w14:textId="77777777" w:rsidR="00BF194A" w:rsidRPr="008E7073" w:rsidRDefault="00BF194A">
            <w:pPr>
              <w:pStyle w:val="Body"/>
              <w:keepNext/>
              <w:keepLines/>
              <w:rPr>
                <w:rFonts w:cs="Arial"/>
                <w:sz w:val="18"/>
              </w:rPr>
            </w:pPr>
            <w:r w:rsidRPr="008E7073">
              <w:rPr>
                <w:rFonts w:cs="Arial"/>
                <w:b/>
                <w:bCs/>
                <w:sz w:val="18"/>
              </w:rPr>
              <w:t>Primary health services:</w:t>
            </w:r>
            <w:r w:rsidRPr="008E7073">
              <w:rPr>
                <w:rFonts w:cs="Arial"/>
                <w:sz w:val="18"/>
              </w:rPr>
              <w:t xml:space="preserve"> Tertiary Health service sites will have patient referral pathways to local community health service organisations. </w:t>
            </w:r>
          </w:p>
        </w:tc>
      </w:tr>
      <w:tr w:rsidR="00BF194A" w:rsidRPr="008E7073" w14:paraId="734E8725" w14:textId="77777777">
        <w:trPr>
          <w:trHeight w:val="270"/>
        </w:trPr>
        <w:tc>
          <w:tcPr>
            <w:tcW w:w="582" w:type="pct"/>
            <w:tcBorders>
              <w:top w:val="single" w:sz="4" w:space="0" w:color="auto"/>
              <w:left w:val="nil"/>
              <w:bottom w:val="single" w:sz="4" w:space="0" w:color="auto"/>
              <w:right w:val="nil"/>
            </w:tcBorders>
            <w:shd w:val="clear" w:color="auto" w:fill="FFFFFF" w:themeFill="background1"/>
            <w:tcMar>
              <w:top w:w="72" w:type="dxa"/>
              <w:left w:w="144" w:type="dxa"/>
              <w:bottom w:w="72" w:type="dxa"/>
              <w:right w:w="144" w:type="dxa"/>
            </w:tcMar>
            <w:vAlign w:val="center"/>
            <w:hideMark/>
          </w:tcPr>
          <w:p w14:paraId="572F96DA" w14:textId="77777777" w:rsidR="00BF194A" w:rsidRPr="008E7073" w:rsidRDefault="00BF194A">
            <w:pPr>
              <w:keepNext/>
              <w:keepLines/>
              <w:rPr>
                <w:rFonts w:cs="Arial"/>
                <w:lang w:eastAsia="en-AU"/>
              </w:rPr>
            </w:pPr>
            <w:r w:rsidRPr="008E7073">
              <w:rPr>
                <w:rFonts w:cs="Arial"/>
                <w:noProof/>
                <w:lang w:eastAsia="en-AU"/>
              </w:rPr>
              <w:drawing>
                <wp:inline distT="0" distB="0" distL="0" distR="0" wp14:anchorId="3C04FCBC" wp14:editId="7504F3A7">
                  <wp:extent cx="504749" cy="504749"/>
                  <wp:effectExtent l="0" t="0" r="0" b="0"/>
                  <wp:docPr id="49978720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787201" name="Graphic 1">
                            <a:extLst>
                              <a:ext uri="{C183D7F6-B498-43B3-948B-1728B52AA6E4}">
                                <adec:decorative xmlns:adec="http://schemas.microsoft.com/office/drawing/2017/decorative" val="1"/>
                              </a:ext>
                            </a:extLst>
                          </pic:cNvPr>
                          <pic:cNvPicPr/>
                        </pic:nvPicPr>
                        <pic:blipFill>
                          <a:blip r:embed="rId21">
                            <a:extLst>
                              <a:ext uri="{96DAC541-7B7A-43D3-8B79-37D633B846F1}">
                                <asvg:svgBlip xmlns:asvg="http://schemas.microsoft.com/office/drawing/2016/SVG/main" r:embed="rId22"/>
                              </a:ext>
                            </a:extLst>
                          </a:blip>
                          <a:stretch>
                            <a:fillRect/>
                          </a:stretch>
                        </pic:blipFill>
                        <pic:spPr>
                          <a:xfrm>
                            <a:off x="0" y="0"/>
                            <a:ext cx="508034" cy="508034"/>
                          </a:xfrm>
                          <a:prstGeom prst="rect">
                            <a:avLst/>
                          </a:prstGeom>
                        </pic:spPr>
                      </pic:pic>
                    </a:graphicData>
                  </a:graphic>
                </wp:inline>
              </w:drawing>
            </w:r>
          </w:p>
        </w:tc>
        <w:tc>
          <w:tcPr>
            <w:tcW w:w="944" w:type="pct"/>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57BB12EB" w14:textId="77777777" w:rsidR="00BF194A" w:rsidRPr="008E7073" w:rsidRDefault="00BF194A">
            <w:pPr>
              <w:keepNext/>
              <w:keepLines/>
              <w:rPr>
                <w:rFonts w:cs="Arial"/>
                <w:b/>
                <w:bCs/>
                <w:color w:val="365F91" w:themeColor="accent1" w:themeShade="BF"/>
                <w:lang w:eastAsia="en-AU"/>
              </w:rPr>
            </w:pPr>
            <w:r w:rsidRPr="008E7073">
              <w:rPr>
                <w:rFonts w:cs="Arial"/>
                <w:b/>
                <w:bCs/>
                <w:color w:val="365F91" w:themeColor="accent1" w:themeShade="BF"/>
                <w:lang w:eastAsia="en-AU"/>
              </w:rPr>
              <w:t>Acute Care*</w:t>
            </w:r>
          </w:p>
        </w:tc>
        <w:tc>
          <w:tcPr>
            <w:tcW w:w="3474" w:type="pct"/>
            <w:tcBorders>
              <w:top w:val="single" w:sz="4" w:space="0" w:color="auto"/>
              <w:left w:val="nil"/>
              <w:bottom w:val="single" w:sz="4" w:space="0" w:color="auto"/>
              <w:right w:val="nil"/>
            </w:tcBorders>
            <w:tcMar>
              <w:top w:w="72" w:type="dxa"/>
              <w:left w:w="144" w:type="dxa"/>
              <w:bottom w:w="72" w:type="dxa"/>
              <w:right w:w="144" w:type="dxa"/>
            </w:tcMar>
            <w:vAlign w:val="center"/>
          </w:tcPr>
          <w:p w14:paraId="3ED1A686"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Median</w:t>
            </w:r>
            <w:r w:rsidRPr="008E7073">
              <w:rPr>
                <w:rFonts w:ascii="Arial" w:hAnsi="Arial" w:cs="Arial"/>
                <w:b/>
                <w:bCs/>
                <w:sz w:val="18"/>
                <w:szCs w:val="20"/>
                <w:vertAlign w:val="superscript"/>
              </w:rPr>
              <w:t>ⱡ</w:t>
            </w:r>
            <w:r w:rsidRPr="008E7073">
              <w:rPr>
                <w:rFonts w:ascii="Arial" w:hAnsi="Arial" w:cs="Arial"/>
                <w:b/>
                <w:bCs/>
                <w:sz w:val="18"/>
                <w:szCs w:val="20"/>
              </w:rPr>
              <w:t xml:space="preserve"> acute separations*:</w:t>
            </w:r>
            <w:r w:rsidRPr="008E7073">
              <w:rPr>
                <w:rFonts w:ascii="Arial" w:hAnsi="Arial" w:cs="Arial"/>
                <w:sz w:val="18"/>
                <w:szCs w:val="20"/>
              </w:rPr>
              <w:t xml:space="preserve"> 98,500</w:t>
            </w:r>
          </w:p>
          <w:p w14:paraId="0BEE44C4"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Median</w:t>
            </w:r>
            <w:r w:rsidRPr="008E7073">
              <w:rPr>
                <w:rFonts w:ascii="Arial" w:hAnsi="Arial" w:cs="Arial"/>
                <w:b/>
                <w:bCs/>
                <w:sz w:val="18"/>
                <w:szCs w:val="20"/>
                <w:vertAlign w:val="superscript"/>
              </w:rPr>
              <w:t>ⱡ</w:t>
            </w:r>
            <w:r w:rsidRPr="008E7073">
              <w:rPr>
                <w:rFonts w:ascii="Arial" w:hAnsi="Arial" w:cs="Arial"/>
                <w:b/>
                <w:bCs/>
                <w:sz w:val="18"/>
                <w:szCs w:val="20"/>
              </w:rPr>
              <w:t xml:space="preserve"> urgent &amp; emergency care presentations: </w:t>
            </w:r>
            <w:r w:rsidRPr="008E7073">
              <w:rPr>
                <w:rFonts w:ascii="Arial" w:hAnsi="Arial" w:cs="Arial"/>
                <w:sz w:val="18"/>
                <w:szCs w:val="20"/>
              </w:rPr>
              <w:t>86,497</w:t>
            </w:r>
          </w:p>
          <w:p w14:paraId="4ED0BDC3"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 xml:space="preserve">Median Diagnostic Related Groups (&gt;5 seps): </w:t>
            </w:r>
            <w:r w:rsidRPr="008E7073">
              <w:rPr>
                <w:rFonts w:ascii="Arial" w:hAnsi="Arial" w:cs="Arial"/>
                <w:sz w:val="18"/>
                <w:szCs w:val="20"/>
              </w:rPr>
              <w:t>619</w:t>
            </w:r>
          </w:p>
          <w:p w14:paraId="390CC246" w14:textId="77777777" w:rsidR="00BF194A" w:rsidRPr="008E7073" w:rsidRDefault="00BF194A">
            <w:pPr>
              <w:pStyle w:val="PlanXXspecial-appendix4table"/>
              <w:keepNext/>
              <w:keepLines/>
              <w:rPr>
                <w:rFonts w:ascii="Arial" w:hAnsi="Arial" w:cs="Arial"/>
                <w:b/>
                <w:bCs/>
                <w:sz w:val="18"/>
                <w:szCs w:val="20"/>
              </w:rPr>
            </w:pPr>
            <w:r w:rsidRPr="008E7073">
              <w:rPr>
                <w:rFonts w:ascii="Arial" w:hAnsi="Arial" w:cs="Arial"/>
                <w:b/>
                <w:bCs/>
                <w:sz w:val="18"/>
                <w:szCs w:val="20"/>
              </w:rPr>
              <w:t>Median Clinical Capability Levels:</w:t>
            </w:r>
          </w:p>
          <w:p w14:paraId="3985C881"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Adult Perioperative</w:t>
            </w:r>
            <w:r w:rsidRPr="008E7073">
              <w:rPr>
                <w:rFonts w:ascii="Arial" w:hAnsi="Arial" w:cs="Arial"/>
                <w:sz w:val="18"/>
                <w:szCs w:val="20"/>
              </w:rPr>
              <w:t xml:space="preserve"> – 6 (if service offered)</w:t>
            </w:r>
          </w:p>
          <w:p w14:paraId="5C69C4DE"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Paediatric Perioperative</w:t>
            </w:r>
            <w:r w:rsidRPr="008E7073">
              <w:rPr>
                <w:rFonts w:ascii="Arial" w:hAnsi="Arial" w:cs="Arial"/>
                <w:sz w:val="18"/>
                <w:szCs w:val="20"/>
              </w:rPr>
              <w:t xml:space="preserve"> – N/A</w:t>
            </w:r>
          </w:p>
          <w:p w14:paraId="60B267D7"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Maternity</w:t>
            </w:r>
            <w:r w:rsidRPr="008E7073">
              <w:rPr>
                <w:rFonts w:ascii="Arial" w:hAnsi="Arial" w:cs="Arial"/>
                <w:sz w:val="18"/>
                <w:szCs w:val="20"/>
              </w:rPr>
              <w:t xml:space="preserve"> – N/A</w:t>
            </w:r>
          </w:p>
          <w:p w14:paraId="3746923A"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Newborn</w:t>
            </w:r>
            <w:r w:rsidRPr="008E7073">
              <w:rPr>
                <w:rFonts w:ascii="Arial" w:hAnsi="Arial" w:cs="Arial"/>
                <w:sz w:val="18"/>
                <w:szCs w:val="20"/>
              </w:rPr>
              <w:t xml:space="preserve"> – N/A</w:t>
            </w:r>
          </w:p>
          <w:p w14:paraId="29647CDC" w14:textId="77777777" w:rsidR="00BF194A" w:rsidRPr="008E7073" w:rsidRDefault="00BF194A">
            <w:pPr>
              <w:pStyle w:val="PlanXXspecial-appendix4table"/>
              <w:keepNext/>
              <w:keepLines/>
              <w:rPr>
                <w:rFonts w:ascii="Arial" w:hAnsi="Arial" w:cs="Arial"/>
                <w:b/>
                <w:bCs/>
                <w:sz w:val="18"/>
                <w:szCs w:val="20"/>
              </w:rPr>
            </w:pPr>
            <w:r w:rsidRPr="008E7073">
              <w:rPr>
                <w:rFonts w:ascii="Arial" w:hAnsi="Arial" w:cs="Arial"/>
                <w:b/>
                <w:bCs/>
                <w:sz w:val="18"/>
                <w:szCs w:val="20"/>
              </w:rPr>
              <w:t xml:space="preserve">Median ICU hours delivered per annum: </w:t>
            </w:r>
            <w:r w:rsidRPr="008E7073">
              <w:rPr>
                <w:rFonts w:ascii="Arial" w:hAnsi="Arial" w:cs="Arial"/>
                <w:sz w:val="18"/>
                <w:szCs w:val="20"/>
              </w:rPr>
              <w:t>267,351</w:t>
            </w:r>
          </w:p>
          <w:p w14:paraId="0F16C9D5" w14:textId="77777777" w:rsidR="00BF194A" w:rsidRPr="008E7073" w:rsidRDefault="00BF194A">
            <w:pPr>
              <w:pStyle w:val="PlanXXspecial-appendix4table"/>
              <w:keepNext/>
              <w:keepLines/>
              <w:rPr>
                <w:rFonts w:ascii="Arial" w:hAnsi="Arial" w:cs="Arial"/>
                <w:b/>
                <w:bCs/>
                <w:sz w:val="18"/>
                <w:szCs w:val="18"/>
              </w:rPr>
            </w:pPr>
            <w:r w:rsidRPr="008E7073">
              <w:rPr>
                <w:rFonts w:ascii="Arial" w:hAnsi="Arial" w:cs="Arial"/>
                <w:b/>
                <w:bCs/>
                <w:sz w:val="18"/>
                <w:szCs w:val="20"/>
              </w:rPr>
              <w:t xml:space="preserve">Median proportion of elective separations with NWAU&gt;4.0: </w:t>
            </w:r>
            <w:r w:rsidRPr="008E7073">
              <w:rPr>
                <w:rFonts w:ascii="Arial" w:hAnsi="Arial" w:cs="Arial"/>
                <w:sz w:val="18"/>
                <w:szCs w:val="20"/>
              </w:rPr>
              <w:t>3.5%</w:t>
            </w:r>
          </w:p>
          <w:p w14:paraId="7849B5E9"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bCs/>
                <w:sz w:val="18"/>
                <w:szCs w:val="18"/>
              </w:rPr>
              <w:t>Median health service site beds:</w:t>
            </w:r>
            <w:r w:rsidRPr="008E7073">
              <w:rPr>
                <w:rFonts w:ascii="Arial" w:hAnsi="Arial" w:cs="Arial"/>
                <w:sz w:val="18"/>
                <w:szCs w:val="18"/>
              </w:rPr>
              <w:t xml:space="preserve"> 659</w:t>
            </w:r>
          </w:p>
          <w:p w14:paraId="3ED49B10"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Avg. length of stay for overnight care:</w:t>
            </w:r>
            <w:r w:rsidRPr="008E7073">
              <w:rPr>
                <w:rFonts w:ascii="Arial" w:hAnsi="Arial" w:cs="Arial"/>
                <w:sz w:val="18"/>
                <w:szCs w:val="20"/>
              </w:rPr>
              <w:t xml:space="preserve"> 4.8 days</w:t>
            </w:r>
          </w:p>
          <w:p w14:paraId="7D4D928B"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sz w:val="18"/>
                <w:szCs w:val="18"/>
              </w:rPr>
              <w:t>Catchment self-sufficiency for acute care</w:t>
            </w:r>
            <w:r w:rsidRPr="008E7073">
              <w:rPr>
                <w:rFonts w:ascii="Arial" w:hAnsi="Arial" w:cs="Arial"/>
                <w:sz w:val="18"/>
                <w:szCs w:val="18"/>
                <w:vertAlign w:val="superscript"/>
              </w:rPr>
              <w:t xml:space="preserve"> ¥</w:t>
            </w:r>
            <w:r w:rsidRPr="008E7073">
              <w:rPr>
                <w:rFonts w:ascii="Arial" w:hAnsi="Arial" w:cs="Arial"/>
                <w:b/>
                <w:bCs/>
                <w:sz w:val="18"/>
                <w:szCs w:val="18"/>
              </w:rPr>
              <w:t>:</w:t>
            </w:r>
            <w:r w:rsidRPr="008E7073">
              <w:rPr>
                <w:rFonts w:ascii="Arial" w:hAnsi="Arial" w:cs="Arial"/>
                <w:sz w:val="18"/>
                <w:szCs w:val="18"/>
              </w:rPr>
              <w:t xml:space="preserve"> 99%</w:t>
            </w:r>
          </w:p>
          <w:p w14:paraId="23FBE79E"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 xml:space="preserve">Proportion of acute bed days delivered in the home: </w:t>
            </w:r>
            <w:r w:rsidRPr="008E7073">
              <w:rPr>
                <w:rFonts w:ascii="Arial" w:hAnsi="Arial" w:cs="Arial"/>
                <w:sz w:val="18"/>
                <w:szCs w:val="20"/>
              </w:rPr>
              <w:t>15–20%</w:t>
            </w:r>
          </w:p>
          <w:p w14:paraId="11F15B76"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Medical practitioners/specialists:</w:t>
            </w:r>
            <w:r w:rsidRPr="008E7073">
              <w:rPr>
                <w:rFonts w:ascii="Arial" w:hAnsi="Arial" w:cs="Arial"/>
                <w:sz w:val="18"/>
                <w:szCs w:val="20"/>
              </w:rPr>
              <w:t xml:space="preserve"> Directly employed</w:t>
            </w:r>
          </w:p>
        </w:tc>
      </w:tr>
      <w:tr w:rsidR="00BF194A" w:rsidRPr="008E7073" w14:paraId="5E484417" w14:textId="77777777">
        <w:trPr>
          <w:trHeight w:val="1489"/>
        </w:trPr>
        <w:tc>
          <w:tcPr>
            <w:tcW w:w="582" w:type="pct"/>
            <w:tcBorders>
              <w:top w:val="single" w:sz="4" w:space="0" w:color="auto"/>
              <w:left w:val="nil"/>
              <w:bottom w:val="single" w:sz="4" w:space="0" w:color="auto"/>
              <w:right w:val="nil"/>
            </w:tcBorders>
            <w:shd w:val="clear" w:color="auto" w:fill="FFFFFF" w:themeFill="background1"/>
            <w:tcMar>
              <w:top w:w="72" w:type="dxa"/>
              <w:left w:w="144" w:type="dxa"/>
              <w:bottom w:w="72" w:type="dxa"/>
              <w:right w:w="144" w:type="dxa"/>
            </w:tcMar>
            <w:vAlign w:val="center"/>
            <w:hideMark/>
          </w:tcPr>
          <w:p w14:paraId="26A38902" w14:textId="77777777" w:rsidR="00BF194A" w:rsidRPr="008E7073" w:rsidRDefault="00BF194A">
            <w:pPr>
              <w:keepNext/>
              <w:keepLines/>
              <w:rPr>
                <w:rFonts w:cs="Arial"/>
                <w:lang w:eastAsia="en-AU"/>
              </w:rPr>
            </w:pPr>
            <w:r w:rsidRPr="008E7073">
              <w:rPr>
                <w:rFonts w:cs="Arial"/>
                <w:noProof/>
                <w:lang w:eastAsia="en-AU"/>
              </w:rPr>
              <w:drawing>
                <wp:inline distT="0" distB="0" distL="0" distR="0" wp14:anchorId="63150BE6" wp14:editId="5A043897">
                  <wp:extent cx="477079" cy="477079"/>
                  <wp:effectExtent l="0" t="0" r="0" b="0"/>
                  <wp:docPr id="150389208" name="Graphic 1503892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89208" name="Graphic 150389208">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86216" cy="486216"/>
                          </a:xfrm>
                          <a:prstGeom prst="rect">
                            <a:avLst/>
                          </a:prstGeom>
                        </pic:spPr>
                      </pic:pic>
                    </a:graphicData>
                  </a:graphic>
                </wp:inline>
              </w:drawing>
            </w:r>
          </w:p>
        </w:tc>
        <w:tc>
          <w:tcPr>
            <w:tcW w:w="944" w:type="pct"/>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6ACBE139" w14:textId="77777777" w:rsidR="00BF194A" w:rsidRPr="008E7073" w:rsidRDefault="00BF194A">
            <w:pPr>
              <w:keepNext/>
              <w:keepLines/>
              <w:rPr>
                <w:rFonts w:cs="Arial"/>
                <w:b/>
                <w:bCs/>
                <w:color w:val="365F91" w:themeColor="accent1" w:themeShade="BF"/>
                <w:lang w:eastAsia="en-AU"/>
              </w:rPr>
            </w:pPr>
            <w:r w:rsidRPr="008E7073">
              <w:rPr>
                <w:rFonts w:cs="Arial"/>
                <w:b/>
                <w:bCs/>
                <w:color w:val="365F91" w:themeColor="accent1" w:themeShade="BF"/>
                <w:lang w:eastAsia="en-AU"/>
              </w:rPr>
              <w:t>Catchment Community</w:t>
            </w:r>
          </w:p>
        </w:tc>
        <w:tc>
          <w:tcPr>
            <w:tcW w:w="3474" w:type="pct"/>
            <w:tcBorders>
              <w:top w:val="single" w:sz="4" w:space="0" w:color="auto"/>
              <w:left w:val="nil"/>
              <w:bottom w:val="single" w:sz="4" w:space="0" w:color="auto"/>
              <w:right w:val="nil"/>
            </w:tcBorders>
            <w:tcMar>
              <w:top w:w="72" w:type="dxa"/>
              <w:left w:w="144" w:type="dxa"/>
              <w:bottom w:w="72" w:type="dxa"/>
              <w:right w:w="144" w:type="dxa"/>
            </w:tcMar>
            <w:vAlign w:val="center"/>
          </w:tcPr>
          <w:p w14:paraId="2A8C3D32"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bCs/>
                <w:sz w:val="18"/>
                <w:szCs w:val="20"/>
              </w:rPr>
              <w:t>Median number of LGAs serviced (&gt;50 seps):</w:t>
            </w:r>
            <w:r w:rsidRPr="008E7073">
              <w:rPr>
                <w:rFonts w:ascii="Arial" w:hAnsi="Arial" w:cs="Arial"/>
                <w:sz w:val="18"/>
                <w:szCs w:val="20"/>
              </w:rPr>
              <w:t xml:space="preserve"> 69</w:t>
            </w:r>
          </w:p>
          <w:p w14:paraId="611479CF" w14:textId="77777777" w:rsidR="00BF194A" w:rsidRPr="008E7073" w:rsidRDefault="00BF194A">
            <w:pPr>
              <w:pStyle w:val="PlanXXspecial-appendix4table"/>
              <w:keepNext/>
              <w:keepLines/>
              <w:rPr>
                <w:rFonts w:ascii="Arial" w:hAnsi="Arial" w:cs="Arial"/>
                <w:b/>
                <w:bCs/>
                <w:sz w:val="18"/>
                <w:szCs w:val="20"/>
              </w:rPr>
            </w:pPr>
            <w:r w:rsidRPr="008E7073">
              <w:rPr>
                <w:rFonts w:ascii="Arial" w:hAnsi="Arial" w:cs="Arial"/>
                <w:b/>
                <w:bCs/>
                <w:sz w:val="18"/>
                <w:szCs w:val="20"/>
              </w:rPr>
              <w:t>Community description:</w:t>
            </w:r>
          </w:p>
          <w:p w14:paraId="6991E173"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Population size:</w:t>
            </w:r>
            <w:r w:rsidRPr="008E7073">
              <w:rPr>
                <w:rFonts w:ascii="Arial" w:hAnsi="Arial" w:cs="Arial"/>
                <w:sz w:val="18"/>
                <w:szCs w:val="20"/>
              </w:rPr>
              <w:t xml:space="preserve"> &gt; 1,000,000</w:t>
            </w:r>
          </w:p>
          <w:p w14:paraId="1C82DE28"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Age profile:</w:t>
            </w:r>
            <w:r w:rsidRPr="008E7073">
              <w:rPr>
                <w:rFonts w:ascii="Arial" w:hAnsi="Arial" w:cs="Arial"/>
                <w:sz w:val="18"/>
                <w:szCs w:val="20"/>
              </w:rPr>
              <w:t xml:space="preserve"> varied</w:t>
            </w:r>
          </w:p>
          <w:p w14:paraId="63917527"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sz w:val="18"/>
                <w:szCs w:val="20"/>
              </w:rPr>
              <w:t>Geographies:</w:t>
            </w:r>
            <w:r w:rsidRPr="008E7073">
              <w:rPr>
                <w:rFonts w:ascii="Arial" w:hAnsi="Arial" w:cs="Arial"/>
                <w:sz w:val="18"/>
                <w:szCs w:val="20"/>
              </w:rPr>
              <w:t xml:space="preserve"> major metropolitan Melbourne regions with direct service provision and referral pathways extending across most of regional Victoria</w:t>
            </w:r>
          </w:p>
        </w:tc>
      </w:tr>
    </w:tbl>
    <w:p w14:paraId="156907EA" w14:textId="77777777" w:rsidR="00BF194A" w:rsidRPr="008E7073" w:rsidRDefault="00BF194A" w:rsidP="00BF194A">
      <w:pPr>
        <w:pStyle w:val="Body"/>
        <w:keepNext/>
        <w:keepLines/>
        <w:rPr>
          <w:rFonts w:cs="Arial"/>
          <w:sz w:val="18"/>
          <w:szCs w:val="18"/>
          <w:vertAlign w:val="superscript"/>
        </w:rPr>
      </w:pPr>
      <w:r w:rsidRPr="008E7073">
        <w:rPr>
          <w:rFonts w:eastAsia="Times New Roman" w:cs="Arial"/>
          <w:i/>
          <w:iCs/>
          <w:sz w:val="16"/>
          <w:szCs w:val="16"/>
        </w:rPr>
        <w:t xml:space="preserve">* Excludes sub-acute and mental health admitted activity; </w:t>
      </w:r>
      <w:r w:rsidRPr="008E7073">
        <w:rPr>
          <w:rFonts w:cs="Arial"/>
          <w:i/>
          <w:iCs/>
          <w:sz w:val="16"/>
          <w:szCs w:val="16"/>
          <w:vertAlign w:val="superscript"/>
        </w:rPr>
        <w:t>ⱡ</w:t>
      </w:r>
      <w:r w:rsidRPr="008E7073">
        <w:rPr>
          <w:rFonts w:cs="Arial"/>
          <w:i/>
          <w:iCs/>
          <w:sz w:val="16"/>
          <w:szCs w:val="16"/>
        </w:rPr>
        <w:t xml:space="preserve">Median values are rounded to nearest 100; </w:t>
      </w:r>
      <w:r w:rsidRPr="008E7073">
        <w:rPr>
          <w:rFonts w:cs="Arial"/>
          <w:sz w:val="18"/>
          <w:szCs w:val="18"/>
          <w:vertAlign w:val="superscript"/>
        </w:rPr>
        <w:t>¥</w:t>
      </w:r>
      <w:r w:rsidRPr="008E7073">
        <w:rPr>
          <w:rFonts w:cs="Arial"/>
          <w:i/>
          <w:iCs/>
          <w:sz w:val="16"/>
          <w:szCs w:val="16"/>
        </w:rPr>
        <w:t>Collective self-sufficiency across all sites within the geographic span of a Tertiary Hospital</w:t>
      </w:r>
    </w:p>
    <w:p w14:paraId="79616283" w14:textId="77777777" w:rsidR="00BF194A" w:rsidRPr="008E7073" w:rsidRDefault="00BF194A" w:rsidP="00BF194A">
      <w:pPr>
        <w:pStyle w:val="Body"/>
        <w:rPr>
          <w:rFonts w:eastAsia="Times New Roman" w:cs="Arial"/>
          <w:i/>
          <w:iCs/>
          <w:sz w:val="18"/>
          <w:szCs w:val="18"/>
        </w:rPr>
      </w:pPr>
    </w:p>
    <w:p w14:paraId="280D38DF" w14:textId="77777777" w:rsidR="00BF194A" w:rsidRPr="008E7073" w:rsidRDefault="00BF194A" w:rsidP="00BF194A">
      <w:pPr>
        <w:pStyle w:val="Caption"/>
        <w:keepNext/>
        <w:keepLines/>
        <w:rPr>
          <w:rFonts w:cs="Arial"/>
        </w:rPr>
      </w:pPr>
      <w:r w:rsidRPr="008E7073">
        <w:rPr>
          <w:rFonts w:cs="Arial"/>
        </w:rPr>
        <w:lastRenderedPageBreak/>
        <w:t xml:space="preserve">Table </w:t>
      </w:r>
      <w:r w:rsidRPr="008E7073">
        <w:rPr>
          <w:rFonts w:cs="Arial"/>
        </w:rPr>
        <w:fldChar w:fldCharType="begin"/>
      </w:r>
      <w:r w:rsidRPr="008E7073">
        <w:rPr>
          <w:rFonts w:cs="Arial"/>
        </w:rPr>
        <w:instrText xml:space="preserve"> SEQ Table \* ARABIC </w:instrText>
      </w:r>
      <w:r w:rsidRPr="008E7073">
        <w:rPr>
          <w:rFonts w:cs="Arial"/>
        </w:rPr>
        <w:fldChar w:fldCharType="separate"/>
      </w:r>
      <w:r w:rsidRPr="008E7073">
        <w:rPr>
          <w:rFonts w:cs="Arial"/>
          <w:noProof/>
        </w:rPr>
        <w:t>9</w:t>
      </w:r>
      <w:r w:rsidRPr="008E7073">
        <w:rPr>
          <w:rFonts w:cs="Arial"/>
        </w:rPr>
        <w:fldChar w:fldCharType="end"/>
      </w:r>
      <w:r w:rsidRPr="008E7073">
        <w:rPr>
          <w:rFonts w:cs="Arial"/>
        </w:rPr>
        <w:t>. Women’s and Children’s Hospitals site characteristics</w:t>
      </w:r>
    </w:p>
    <w:tbl>
      <w:tblPr>
        <w:tblW w:w="5108" w:type="pct"/>
        <w:tblCellMar>
          <w:left w:w="0" w:type="dxa"/>
          <w:right w:w="0" w:type="dxa"/>
        </w:tblCellMar>
        <w:tblLook w:val="0420" w:firstRow="1" w:lastRow="0" w:firstColumn="0" w:lastColumn="0" w:noHBand="0" w:noVBand="1"/>
      </w:tblPr>
      <w:tblGrid>
        <w:gridCol w:w="1083"/>
        <w:gridCol w:w="1508"/>
        <w:gridCol w:w="6908"/>
      </w:tblGrid>
      <w:tr w:rsidR="00BF194A" w:rsidRPr="008E7073" w14:paraId="54183C86" w14:textId="77777777">
        <w:trPr>
          <w:trHeight w:val="234"/>
          <w:tblHeader/>
        </w:trPr>
        <w:tc>
          <w:tcPr>
            <w:tcW w:w="5000" w:type="pct"/>
            <w:gridSpan w:val="3"/>
            <w:tcBorders>
              <w:top w:val="single" w:sz="18" w:space="0" w:color="000000" w:themeColor="text1"/>
              <w:left w:val="nil"/>
              <w:bottom w:val="single" w:sz="18" w:space="0" w:color="000000" w:themeColor="text1"/>
              <w:right w:val="nil"/>
            </w:tcBorders>
            <w:shd w:val="clear" w:color="auto" w:fill="F2F2F2" w:themeFill="background1" w:themeFillShade="F2"/>
            <w:tcMar>
              <w:top w:w="72" w:type="dxa"/>
              <w:left w:w="144" w:type="dxa"/>
              <w:bottom w:w="72" w:type="dxa"/>
              <w:right w:w="144" w:type="dxa"/>
            </w:tcMar>
            <w:hideMark/>
          </w:tcPr>
          <w:p w14:paraId="1E4B9177" w14:textId="77777777" w:rsidR="00BF194A" w:rsidRPr="008E7073" w:rsidRDefault="00BF194A">
            <w:pPr>
              <w:keepNext/>
              <w:keepLines/>
              <w:rPr>
                <w:rFonts w:cs="Arial"/>
                <w:b/>
                <w:lang w:eastAsia="en-AU"/>
              </w:rPr>
            </w:pPr>
            <w:r w:rsidRPr="008E7073">
              <w:rPr>
                <w:rFonts w:cs="Arial"/>
                <w:b/>
                <w:lang w:eastAsia="en-AU"/>
              </w:rPr>
              <w:t>Description – Women’s and Children’s Hospital Sites</w:t>
            </w:r>
          </w:p>
        </w:tc>
      </w:tr>
      <w:tr w:rsidR="00BF194A" w:rsidRPr="008E7073" w14:paraId="798B2EAC" w14:textId="77777777">
        <w:trPr>
          <w:trHeight w:val="1246"/>
        </w:trPr>
        <w:tc>
          <w:tcPr>
            <w:tcW w:w="570" w:type="pct"/>
            <w:tcBorders>
              <w:top w:val="single" w:sz="18" w:space="0" w:color="000000" w:themeColor="text1"/>
              <w:left w:val="nil"/>
              <w:bottom w:val="single" w:sz="4" w:space="0" w:color="auto"/>
              <w:right w:val="nil"/>
            </w:tcBorders>
            <w:tcMar>
              <w:top w:w="72" w:type="dxa"/>
              <w:left w:w="144" w:type="dxa"/>
              <w:bottom w:w="72" w:type="dxa"/>
              <w:right w:w="144" w:type="dxa"/>
            </w:tcMar>
            <w:vAlign w:val="center"/>
            <w:hideMark/>
          </w:tcPr>
          <w:p w14:paraId="40D6C6A8" w14:textId="77777777" w:rsidR="00BF194A" w:rsidRPr="008E7073" w:rsidRDefault="00BF194A">
            <w:pPr>
              <w:keepNext/>
              <w:keepLines/>
              <w:rPr>
                <w:rFonts w:cs="Arial"/>
                <w:lang w:eastAsia="en-AU"/>
              </w:rPr>
            </w:pPr>
            <w:r w:rsidRPr="008E7073">
              <w:rPr>
                <w:rFonts w:cs="Arial"/>
                <w:noProof/>
                <w:lang w:eastAsia="en-AU"/>
              </w:rPr>
              <w:drawing>
                <wp:inline distT="0" distB="0" distL="0" distR="0" wp14:anchorId="107784FF" wp14:editId="6EFBDA7C">
                  <wp:extent cx="485775" cy="485775"/>
                  <wp:effectExtent l="0" t="0" r="9525" b="0"/>
                  <wp:docPr id="1280303422" name="Graphic 12803034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03422" name="Graphic 1280303422">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5775" cy="485775"/>
                          </a:xfrm>
                          <a:prstGeom prst="rect">
                            <a:avLst/>
                          </a:prstGeom>
                        </pic:spPr>
                      </pic:pic>
                    </a:graphicData>
                  </a:graphic>
                </wp:inline>
              </w:drawing>
            </w:r>
          </w:p>
        </w:tc>
        <w:tc>
          <w:tcPr>
            <w:tcW w:w="794" w:type="pct"/>
            <w:tcBorders>
              <w:top w:val="single" w:sz="18" w:space="0" w:color="000000" w:themeColor="text1"/>
              <w:left w:val="nil"/>
              <w:bottom w:val="single" w:sz="4" w:space="0" w:color="auto"/>
              <w:right w:val="nil"/>
            </w:tcBorders>
            <w:tcMar>
              <w:top w:w="72" w:type="dxa"/>
              <w:left w:w="144" w:type="dxa"/>
              <w:bottom w:w="72" w:type="dxa"/>
              <w:right w:w="144" w:type="dxa"/>
            </w:tcMar>
            <w:vAlign w:val="center"/>
            <w:hideMark/>
          </w:tcPr>
          <w:p w14:paraId="0A8FFD0B" w14:textId="77777777" w:rsidR="00BF194A" w:rsidRPr="008E7073" w:rsidRDefault="00BF194A">
            <w:pPr>
              <w:keepNext/>
              <w:keepLines/>
              <w:rPr>
                <w:rFonts w:cs="Arial"/>
                <w:b/>
                <w:bCs/>
                <w:color w:val="365F91" w:themeColor="accent1" w:themeShade="BF"/>
                <w:lang w:eastAsia="en-AU"/>
              </w:rPr>
            </w:pPr>
            <w:r w:rsidRPr="008E7073">
              <w:rPr>
                <w:rFonts w:cs="Arial"/>
                <w:b/>
                <w:bCs/>
                <w:color w:val="365F91" w:themeColor="accent1" w:themeShade="BF"/>
                <w:lang w:eastAsia="en-AU"/>
              </w:rPr>
              <w:t>Service Profile</w:t>
            </w:r>
          </w:p>
        </w:tc>
        <w:tc>
          <w:tcPr>
            <w:tcW w:w="3637" w:type="pct"/>
            <w:tcBorders>
              <w:top w:val="single" w:sz="18" w:space="0" w:color="000000" w:themeColor="text1"/>
              <w:left w:val="nil"/>
              <w:bottom w:val="single" w:sz="4" w:space="0" w:color="auto"/>
              <w:right w:val="nil"/>
            </w:tcBorders>
            <w:tcMar>
              <w:top w:w="72" w:type="dxa"/>
              <w:left w:w="144" w:type="dxa"/>
              <w:bottom w:w="72" w:type="dxa"/>
              <w:right w:w="144" w:type="dxa"/>
            </w:tcMar>
            <w:vAlign w:val="center"/>
          </w:tcPr>
          <w:p w14:paraId="50EB3296"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sz w:val="18"/>
                <w:szCs w:val="20"/>
              </w:rPr>
              <w:t>Typical types of services:</w:t>
            </w:r>
          </w:p>
          <w:p w14:paraId="6A00890B" w14:textId="77777777" w:rsidR="00BF194A" w:rsidRPr="008E7073" w:rsidRDefault="00BF194A">
            <w:pPr>
              <w:pStyle w:val="PlanXXSpecial-Appendix4figuredots"/>
              <w:keepNext/>
              <w:keepLines/>
              <w:rPr>
                <w:rFonts w:ascii="Arial" w:hAnsi="Arial" w:cs="Arial"/>
                <w:sz w:val="18"/>
              </w:rPr>
            </w:pPr>
            <w:r w:rsidRPr="008E7073">
              <w:rPr>
                <w:rFonts w:ascii="Arial" w:hAnsi="Arial" w:cs="Arial"/>
                <w:sz w:val="18"/>
              </w:rPr>
              <w:t>emergency care services (24/7)</w:t>
            </w:r>
          </w:p>
          <w:p w14:paraId="3196620F" w14:textId="77777777" w:rsidR="00BF194A" w:rsidRPr="008E7073" w:rsidRDefault="00BF194A">
            <w:pPr>
              <w:pStyle w:val="PlanXXSpecial-Appendix4figuredots"/>
              <w:keepNext/>
              <w:keepLines/>
              <w:rPr>
                <w:rFonts w:ascii="Arial" w:hAnsi="Arial" w:cs="Arial"/>
                <w:sz w:val="18"/>
              </w:rPr>
            </w:pPr>
            <w:r w:rsidRPr="008E7073">
              <w:rPr>
                <w:rFonts w:ascii="Arial" w:hAnsi="Arial" w:cs="Arial"/>
                <w:sz w:val="18"/>
              </w:rPr>
              <w:t>comprehensive range of ambulatory acute paediatric services and women’s services mainly supporting obstetrics, gynaecology, and midwifery specialty areas</w:t>
            </w:r>
          </w:p>
          <w:p w14:paraId="713CA4F9" w14:textId="77777777" w:rsidR="00BF194A" w:rsidRPr="008E7073" w:rsidRDefault="00BF194A">
            <w:pPr>
              <w:pStyle w:val="PlanXXSpecial-Appendix4figuredots"/>
              <w:keepNext/>
              <w:keepLines/>
              <w:rPr>
                <w:rFonts w:ascii="Arial" w:hAnsi="Arial" w:cs="Arial"/>
                <w:sz w:val="18"/>
              </w:rPr>
            </w:pPr>
            <w:r w:rsidRPr="008E7073">
              <w:rPr>
                <w:rFonts w:ascii="Arial" w:hAnsi="Arial" w:cs="Arial"/>
                <w:sz w:val="18"/>
              </w:rPr>
              <w:t>obstetrics, gynaecology, midwifery, and paediatric specialty workforce incorporating primary through highest level health service site bed</w:t>
            </w:r>
            <w:r w:rsidRPr="008E7073">
              <w:rPr>
                <w:rFonts w:ascii="Arial" w:hAnsi="Arial" w:cs="Arial"/>
                <w:sz w:val="18"/>
              </w:rPr>
              <w:noBreakHyphen/>
              <w:t>based care</w:t>
            </w:r>
          </w:p>
          <w:p w14:paraId="3E91E842" w14:textId="77777777" w:rsidR="00BF194A" w:rsidRPr="008E7073" w:rsidRDefault="00BF194A">
            <w:pPr>
              <w:pStyle w:val="PlanXXSpecial-Appendix4figuredots"/>
              <w:keepNext/>
              <w:keepLines/>
              <w:rPr>
                <w:rFonts w:ascii="Arial" w:hAnsi="Arial" w:cs="Arial"/>
                <w:sz w:val="18"/>
              </w:rPr>
            </w:pPr>
            <w:r w:rsidRPr="008E7073">
              <w:rPr>
                <w:rFonts w:ascii="Arial" w:hAnsi="Arial" w:cs="Arial"/>
                <w:sz w:val="18"/>
              </w:rPr>
              <w:t>pregnancy care for normal risk through to highest at-risk pregnancies, vaginal and planned and unplanned caesarean births</w:t>
            </w:r>
          </w:p>
          <w:p w14:paraId="7E87F2EE" w14:textId="77777777" w:rsidR="00BF194A" w:rsidRPr="008E7073" w:rsidRDefault="00BF194A">
            <w:pPr>
              <w:pStyle w:val="PlanXXSpecial-Appendix4figuredots"/>
              <w:keepNext/>
              <w:keepLines/>
              <w:rPr>
                <w:rFonts w:ascii="Arial" w:hAnsi="Arial" w:cs="Arial"/>
                <w:sz w:val="18"/>
              </w:rPr>
            </w:pPr>
            <w:r w:rsidRPr="008E7073">
              <w:rPr>
                <w:rFonts w:ascii="Arial" w:hAnsi="Arial" w:cs="Arial"/>
                <w:sz w:val="18"/>
              </w:rPr>
              <w:t>acute overnight and multi day care for paediatric medical and surgical services, and rehabilitation</w:t>
            </w:r>
          </w:p>
          <w:p w14:paraId="0117266F" w14:textId="77777777" w:rsidR="001B549E" w:rsidRPr="001B549E" w:rsidRDefault="00BF194A">
            <w:pPr>
              <w:pStyle w:val="PlanXXSpecial-Appendix4figuredots"/>
              <w:keepNext/>
              <w:keepLines/>
              <w:rPr>
                <w:rFonts w:ascii="Arial" w:hAnsi="Arial" w:cs="Arial"/>
                <w:sz w:val="16"/>
                <w:szCs w:val="18"/>
              </w:rPr>
            </w:pPr>
            <w:r w:rsidRPr="008E7073">
              <w:rPr>
                <w:rFonts w:ascii="Arial" w:hAnsi="Arial" w:cs="Arial"/>
                <w:sz w:val="18"/>
              </w:rPr>
              <w:t>acute overnight and multi day care for women, mainly supporting obstetrics, gynaecology, and midwifery specialty services.</w:t>
            </w:r>
          </w:p>
          <w:p w14:paraId="407F9530" w14:textId="6AA2E95B" w:rsidR="00BF194A" w:rsidRPr="008E7073" w:rsidRDefault="001B549E">
            <w:pPr>
              <w:pStyle w:val="PlanXXSpecial-Appendix4figuredots"/>
              <w:keepNext/>
              <w:keepLines/>
              <w:rPr>
                <w:rFonts w:ascii="Arial" w:hAnsi="Arial" w:cs="Arial"/>
                <w:sz w:val="16"/>
                <w:szCs w:val="18"/>
              </w:rPr>
            </w:pPr>
            <w:r>
              <w:rPr>
                <w:rFonts w:ascii="Arial" w:hAnsi="Arial" w:cs="Arial"/>
                <w:sz w:val="18"/>
              </w:rPr>
              <w:t>May provide mental health services</w:t>
            </w:r>
            <w:r w:rsidR="00BF194A" w:rsidRPr="008E7073">
              <w:rPr>
                <w:rFonts w:ascii="Arial" w:hAnsi="Arial" w:cs="Arial"/>
                <w:sz w:val="18"/>
              </w:rPr>
              <w:t xml:space="preserve"> </w:t>
            </w:r>
          </w:p>
        </w:tc>
      </w:tr>
      <w:tr w:rsidR="00BF194A" w:rsidRPr="008E7073" w14:paraId="38A17E0A" w14:textId="77777777">
        <w:trPr>
          <w:trHeight w:val="1262"/>
        </w:trPr>
        <w:tc>
          <w:tcPr>
            <w:tcW w:w="570" w:type="pct"/>
            <w:tcBorders>
              <w:top w:val="single" w:sz="4" w:space="0" w:color="auto"/>
              <w:left w:val="nil"/>
              <w:bottom w:val="single" w:sz="4" w:space="0" w:color="auto"/>
              <w:right w:val="nil"/>
            </w:tcBorders>
            <w:tcMar>
              <w:top w:w="72" w:type="dxa"/>
              <w:left w:w="144" w:type="dxa"/>
              <w:bottom w:w="72" w:type="dxa"/>
              <w:right w:w="144" w:type="dxa"/>
            </w:tcMar>
            <w:vAlign w:val="center"/>
          </w:tcPr>
          <w:p w14:paraId="6B8A6D53" w14:textId="77777777" w:rsidR="00BF194A" w:rsidRPr="008E7073" w:rsidRDefault="00BF194A">
            <w:pPr>
              <w:keepNext/>
              <w:keepLines/>
              <w:rPr>
                <w:rFonts w:cs="Arial"/>
                <w:noProof/>
                <w:lang w:eastAsia="en-AU"/>
              </w:rPr>
            </w:pPr>
            <w:r w:rsidRPr="008E7073">
              <w:rPr>
                <w:rFonts w:cs="Arial"/>
                <w:noProof/>
                <w:color w:val="365F91" w:themeColor="accent1" w:themeShade="BF"/>
                <w:lang w:eastAsia="en-AU"/>
              </w:rPr>
              <w:drawing>
                <wp:inline distT="0" distB="0" distL="0" distR="0" wp14:anchorId="339C38EE" wp14:editId="4EF9BAE3">
                  <wp:extent cx="475488" cy="475488"/>
                  <wp:effectExtent l="0" t="0" r="0" b="1270"/>
                  <wp:docPr id="1964305924"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05924" name="Graphic 2">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480114" cy="480114"/>
                          </a:xfrm>
                          <a:prstGeom prst="rect">
                            <a:avLst/>
                          </a:prstGeom>
                        </pic:spPr>
                      </pic:pic>
                    </a:graphicData>
                  </a:graphic>
                </wp:inline>
              </w:drawing>
            </w:r>
          </w:p>
        </w:tc>
        <w:tc>
          <w:tcPr>
            <w:tcW w:w="794" w:type="pct"/>
            <w:tcBorders>
              <w:top w:val="single" w:sz="4" w:space="0" w:color="auto"/>
              <w:left w:val="nil"/>
              <w:bottom w:val="single" w:sz="4" w:space="0" w:color="auto"/>
              <w:right w:val="nil"/>
            </w:tcBorders>
            <w:tcMar>
              <w:top w:w="72" w:type="dxa"/>
              <w:left w:w="144" w:type="dxa"/>
              <w:bottom w:w="72" w:type="dxa"/>
              <w:right w:w="144" w:type="dxa"/>
            </w:tcMar>
            <w:vAlign w:val="center"/>
          </w:tcPr>
          <w:p w14:paraId="3890F846" w14:textId="77777777" w:rsidR="00BF194A" w:rsidRPr="008E7073" w:rsidRDefault="00BF194A">
            <w:pPr>
              <w:keepNext/>
              <w:keepLines/>
              <w:rPr>
                <w:rFonts w:cs="Arial"/>
                <w:b/>
                <w:bCs/>
                <w:color w:val="365F91" w:themeColor="accent1" w:themeShade="BF"/>
                <w:lang w:eastAsia="en-AU"/>
              </w:rPr>
            </w:pPr>
            <w:r w:rsidRPr="008E7073">
              <w:rPr>
                <w:rFonts w:cs="Arial"/>
                <w:b/>
                <w:bCs/>
                <w:color w:val="365F91" w:themeColor="accent1" w:themeShade="BF"/>
                <w:lang w:eastAsia="en-AU"/>
              </w:rPr>
              <w:t>Primary &amp; Aged Care</w:t>
            </w:r>
          </w:p>
        </w:tc>
        <w:tc>
          <w:tcPr>
            <w:tcW w:w="3637" w:type="pct"/>
            <w:tcBorders>
              <w:top w:val="single" w:sz="4" w:space="0" w:color="auto"/>
              <w:left w:val="nil"/>
              <w:bottom w:val="single" w:sz="4" w:space="0" w:color="auto"/>
              <w:right w:val="nil"/>
            </w:tcBorders>
            <w:tcMar>
              <w:top w:w="72" w:type="dxa"/>
              <w:left w:w="144" w:type="dxa"/>
              <w:bottom w:w="72" w:type="dxa"/>
              <w:right w:w="144" w:type="dxa"/>
            </w:tcMar>
            <w:vAlign w:val="center"/>
          </w:tcPr>
          <w:p w14:paraId="2C91574B" w14:textId="77777777" w:rsidR="00BF194A" w:rsidRPr="008E7073" w:rsidRDefault="00BF194A">
            <w:pPr>
              <w:pStyle w:val="Body"/>
              <w:keepNext/>
              <w:keepLines/>
              <w:rPr>
                <w:rFonts w:cs="Arial"/>
                <w:sz w:val="16"/>
                <w:szCs w:val="18"/>
              </w:rPr>
            </w:pPr>
            <w:r w:rsidRPr="008E7073">
              <w:rPr>
                <w:rFonts w:cs="Arial"/>
                <w:b/>
                <w:sz w:val="16"/>
                <w:szCs w:val="18"/>
              </w:rPr>
              <w:t>Public Sector Residential Aged Care places:</w:t>
            </w:r>
            <w:r w:rsidRPr="008E7073">
              <w:rPr>
                <w:rFonts w:cs="Arial"/>
                <w:sz w:val="16"/>
                <w:szCs w:val="18"/>
              </w:rPr>
              <w:t xml:space="preserve"> </w:t>
            </w:r>
            <w:r w:rsidRPr="008E7073">
              <w:rPr>
                <w:rFonts w:cs="Arial"/>
                <w:sz w:val="18"/>
              </w:rPr>
              <w:t xml:space="preserve">Typically, not co-located </w:t>
            </w:r>
          </w:p>
          <w:p w14:paraId="5ECEA51F" w14:textId="77777777" w:rsidR="00BF194A" w:rsidRPr="008E7073" w:rsidRDefault="00BF194A">
            <w:pPr>
              <w:pStyle w:val="Body"/>
              <w:keepNext/>
              <w:keepLines/>
              <w:rPr>
                <w:rFonts w:cs="Arial"/>
                <w:sz w:val="16"/>
                <w:szCs w:val="18"/>
              </w:rPr>
            </w:pPr>
            <w:r w:rsidRPr="008E7073">
              <w:rPr>
                <w:rFonts w:cs="Arial"/>
                <w:b/>
                <w:sz w:val="16"/>
                <w:szCs w:val="18"/>
              </w:rPr>
              <w:t>Primary health services:</w:t>
            </w:r>
            <w:r w:rsidRPr="008E7073">
              <w:rPr>
                <w:rFonts w:cs="Arial"/>
                <w:sz w:val="16"/>
                <w:szCs w:val="18"/>
              </w:rPr>
              <w:t xml:space="preserve"> </w:t>
            </w:r>
            <w:r w:rsidRPr="008E7073">
              <w:rPr>
                <w:rFonts w:cs="Arial"/>
                <w:sz w:val="18"/>
              </w:rPr>
              <w:t xml:space="preserve">Women’s and Children’s health service sites will have patient referral pathways to local community health service organisations. </w:t>
            </w:r>
          </w:p>
        </w:tc>
      </w:tr>
      <w:tr w:rsidR="00BF194A" w:rsidRPr="008E7073" w14:paraId="058E51B4" w14:textId="77777777">
        <w:trPr>
          <w:trHeight w:val="1262"/>
        </w:trPr>
        <w:tc>
          <w:tcPr>
            <w:tcW w:w="570" w:type="pct"/>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266D0F10" w14:textId="77777777" w:rsidR="00BF194A" w:rsidRPr="008E7073" w:rsidRDefault="00BF194A">
            <w:pPr>
              <w:keepNext/>
              <w:keepLines/>
              <w:rPr>
                <w:rFonts w:cs="Arial"/>
                <w:lang w:eastAsia="en-AU"/>
              </w:rPr>
            </w:pPr>
            <w:r w:rsidRPr="008E7073">
              <w:rPr>
                <w:rFonts w:cs="Arial"/>
                <w:noProof/>
                <w:lang w:eastAsia="en-AU"/>
              </w:rPr>
              <w:drawing>
                <wp:inline distT="0" distB="0" distL="0" distR="0" wp14:anchorId="50509EAA" wp14:editId="5D836969">
                  <wp:extent cx="504749" cy="504749"/>
                  <wp:effectExtent l="0" t="0" r="0" b="0"/>
                  <wp:docPr id="588194669"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194669" name="Graphic 1">
                            <a:extLst>
                              <a:ext uri="{C183D7F6-B498-43B3-948B-1728B52AA6E4}">
                                <adec:decorative xmlns:adec="http://schemas.microsoft.com/office/drawing/2017/decorative" val="1"/>
                              </a:ext>
                            </a:extLst>
                          </pic:cNvPr>
                          <pic:cNvPicPr/>
                        </pic:nvPicPr>
                        <pic:blipFill>
                          <a:blip r:embed="rId21">
                            <a:extLst>
                              <a:ext uri="{96DAC541-7B7A-43D3-8B79-37D633B846F1}">
                                <asvg:svgBlip xmlns:asvg="http://schemas.microsoft.com/office/drawing/2016/SVG/main" r:embed="rId22"/>
                              </a:ext>
                            </a:extLst>
                          </a:blip>
                          <a:stretch>
                            <a:fillRect/>
                          </a:stretch>
                        </pic:blipFill>
                        <pic:spPr>
                          <a:xfrm>
                            <a:off x="0" y="0"/>
                            <a:ext cx="508034" cy="508034"/>
                          </a:xfrm>
                          <a:prstGeom prst="rect">
                            <a:avLst/>
                          </a:prstGeom>
                        </pic:spPr>
                      </pic:pic>
                    </a:graphicData>
                  </a:graphic>
                </wp:inline>
              </w:drawing>
            </w:r>
          </w:p>
        </w:tc>
        <w:tc>
          <w:tcPr>
            <w:tcW w:w="794" w:type="pct"/>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40E7B2F4" w14:textId="77777777" w:rsidR="00BF194A" w:rsidRPr="008E7073" w:rsidRDefault="00BF194A">
            <w:pPr>
              <w:keepNext/>
              <w:keepLines/>
              <w:rPr>
                <w:rFonts w:cs="Arial"/>
                <w:b/>
                <w:bCs/>
                <w:color w:val="365F91" w:themeColor="accent1" w:themeShade="BF"/>
                <w:lang w:eastAsia="en-AU"/>
              </w:rPr>
            </w:pPr>
            <w:r w:rsidRPr="008E7073">
              <w:rPr>
                <w:rFonts w:cs="Arial"/>
                <w:b/>
                <w:bCs/>
                <w:color w:val="365F91" w:themeColor="accent1" w:themeShade="BF"/>
                <w:lang w:eastAsia="en-AU"/>
              </w:rPr>
              <w:t>Acute Care*</w:t>
            </w:r>
          </w:p>
        </w:tc>
        <w:tc>
          <w:tcPr>
            <w:tcW w:w="3637" w:type="pct"/>
            <w:tcBorders>
              <w:top w:val="single" w:sz="4" w:space="0" w:color="auto"/>
              <w:left w:val="nil"/>
              <w:bottom w:val="single" w:sz="4" w:space="0" w:color="auto"/>
              <w:right w:val="nil"/>
            </w:tcBorders>
            <w:tcMar>
              <w:top w:w="72" w:type="dxa"/>
              <w:left w:w="144" w:type="dxa"/>
              <w:bottom w:w="72" w:type="dxa"/>
              <w:right w:w="144" w:type="dxa"/>
            </w:tcMar>
            <w:vAlign w:val="center"/>
          </w:tcPr>
          <w:p w14:paraId="13C901D3" w14:textId="77777777" w:rsidR="00BF194A" w:rsidRPr="008E7073" w:rsidRDefault="00BF194A">
            <w:pPr>
              <w:pStyle w:val="PlanXXspecial-appendix4table"/>
              <w:keepNext/>
              <w:keepLines/>
              <w:rPr>
                <w:rFonts w:ascii="Arial" w:hAnsi="Arial" w:cs="Arial"/>
                <w:sz w:val="16"/>
                <w:szCs w:val="18"/>
              </w:rPr>
            </w:pPr>
            <w:r w:rsidRPr="008E7073">
              <w:rPr>
                <w:rFonts w:ascii="Arial" w:hAnsi="Arial" w:cs="Arial"/>
                <w:b/>
                <w:sz w:val="16"/>
                <w:szCs w:val="18"/>
              </w:rPr>
              <w:t>Median</w:t>
            </w:r>
            <w:r w:rsidRPr="008E7073">
              <w:rPr>
                <w:rFonts w:ascii="Arial" w:hAnsi="Arial" w:cs="Arial"/>
                <w:b/>
                <w:sz w:val="16"/>
                <w:szCs w:val="18"/>
                <w:vertAlign w:val="superscript"/>
              </w:rPr>
              <w:t>ⱡ</w:t>
            </w:r>
            <w:r w:rsidRPr="008E7073">
              <w:rPr>
                <w:rFonts w:ascii="Arial" w:hAnsi="Arial" w:cs="Arial"/>
                <w:b/>
                <w:sz w:val="16"/>
                <w:szCs w:val="18"/>
              </w:rPr>
              <w:t xml:space="preserve"> acute separations*:</w:t>
            </w:r>
            <w:r w:rsidRPr="008E7073">
              <w:rPr>
                <w:rFonts w:ascii="Arial" w:hAnsi="Arial" w:cs="Arial"/>
                <w:sz w:val="16"/>
                <w:szCs w:val="18"/>
              </w:rPr>
              <w:t xml:space="preserve"> 22,900</w:t>
            </w:r>
          </w:p>
          <w:p w14:paraId="2157C48F" w14:textId="77777777" w:rsidR="00BF194A" w:rsidRPr="008E7073" w:rsidRDefault="00BF194A">
            <w:pPr>
              <w:pStyle w:val="PlanXXspecial-appendix4table"/>
              <w:keepNext/>
              <w:keepLines/>
              <w:rPr>
                <w:rFonts w:ascii="Arial" w:hAnsi="Arial" w:cs="Arial"/>
                <w:sz w:val="16"/>
                <w:szCs w:val="18"/>
              </w:rPr>
            </w:pPr>
            <w:r w:rsidRPr="008E7073">
              <w:rPr>
                <w:rFonts w:ascii="Arial" w:hAnsi="Arial" w:cs="Arial"/>
                <w:b/>
                <w:sz w:val="16"/>
                <w:szCs w:val="18"/>
              </w:rPr>
              <w:t>Median</w:t>
            </w:r>
            <w:r w:rsidRPr="008E7073">
              <w:rPr>
                <w:rFonts w:ascii="Arial" w:hAnsi="Arial" w:cs="Arial"/>
                <w:b/>
                <w:sz w:val="16"/>
                <w:szCs w:val="18"/>
                <w:vertAlign w:val="superscript"/>
              </w:rPr>
              <w:t>ⱡ</w:t>
            </w:r>
            <w:r w:rsidRPr="008E7073">
              <w:rPr>
                <w:rFonts w:ascii="Arial" w:hAnsi="Arial" w:cs="Arial"/>
                <w:b/>
                <w:sz w:val="16"/>
                <w:szCs w:val="18"/>
              </w:rPr>
              <w:t xml:space="preserve"> urgent &amp; emergency care presentations: </w:t>
            </w:r>
            <w:r w:rsidRPr="008E7073">
              <w:rPr>
                <w:rFonts w:ascii="Arial" w:hAnsi="Arial" w:cs="Arial"/>
                <w:sz w:val="16"/>
                <w:szCs w:val="18"/>
              </w:rPr>
              <w:t>28,134</w:t>
            </w:r>
          </w:p>
          <w:p w14:paraId="3F1C71AC" w14:textId="77777777" w:rsidR="00BF194A" w:rsidRPr="008E7073" w:rsidRDefault="00BF194A">
            <w:pPr>
              <w:pStyle w:val="PlanXXspecial-appendix4table"/>
              <w:keepNext/>
              <w:keepLines/>
              <w:rPr>
                <w:rFonts w:ascii="Arial" w:hAnsi="Arial" w:cs="Arial"/>
                <w:sz w:val="16"/>
                <w:szCs w:val="18"/>
              </w:rPr>
            </w:pPr>
            <w:r w:rsidRPr="008E7073">
              <w:rPr>
                <w:rFonts w:ascii="Arial" w:hAnsi="Arial" w:cs="Arial"/>
                <w:b/>
                <w:sz w:val="16"/>
                <w:szCs w:val="18"/>
              </w:rPr>
              <w:t xml:space="preserve">Median Diagnostic Related Groups (&gt;5 seps): </w:t>
            </w:r>
            <w:r w:rsidRPr="008E7073">
              <w:rPr>
                <w:rFonts w:ascii="Arial" w:hAnsi="Arial" w:cs="Arial"/>
                <w:bCs/>
                <w:sz w:val="16"/>
                <w:szCs w:val="18"/>
              </w:rPr>
              <w:t>108</w:t>
            </w:r>
          </w:p>
          <w:p w14:paraId="4141B784" w14:textId="77777777" w:rsidR="00BF194A" w:rsidRPr="008E7073" w:rsidRDefault="00BF194A">
            <w:pPr>
              <w:pStyle w:val="PlanXXspecial-appendix4table"/>
              <w:keepNext/>
              <w:keepLines/>
              <w:rPr>
                <w:rFonts w:ascii="Arial" w:hAnsi="Arial" w:cs="Arial"/>
                <w:b/>
                <w:sz w:val="16"/>
                <w:szCs w:val="18"/>
              </w:rPr>
            </w:pPr>
            <w:r w:rsidRPr="008E7073">
              <w:rPr>
                <w:rFonts w:ascii="Arial" w:hAnsi="Arial" w:cs="Arial"/>
                <w:b/>
                <w:sz w:val="16"/>
                <w:szCs w:val="18"/>
              </w:rPr>
              <w:t>Median Clinical Capability Levels:</w:t>
            </w:r>
          </w:p>
          <w:p w14:paraId="112A093D" w14:textId="77777777" w:rsidR="00BF194A" w:rsidRPr="008E7073" w:rsidRDefault="00BF194A">
            <w:pPr>
              <w:pStyle w:val="PlanXXspecial-appendix4table"/>
              <w:keepNext/>
              <w:keepLines/>
              <w:ind w:left="720"/>
              <w:rPr>
                <w:rFonts w:ascii="Arial" w:hAnsi="Arial" w:cs="Arial"/>
                <w:sz w:val="16"/>
                <w:szCs w:val="16"/>
              </w:rPr>
            </w:pPr>
            <w:r w:rsidRPr="008E7073">
              <w:rPr>
                <w:rFonts w:ascii="Arial" w:hAnsi="Arial" w:cs="Arial"/>
                <w:b/>
                <w:sz w:val="16"/>
                <w:szCs w:val="16"/>
              </w:rPr>
              <w:t>Adult Perioperative</w:t>
            </w:r>
            <w:r w:rsidRPr="008E7073">
              <w:rPr>
                <w:rFonts w:ascii="Arial" w:hAnsi="Arial" w:cs="Arial"/>
                <w:sz w:val="16"/>
                <w:szCs w:val="16"/>
              </w:rPr>
              <w:t xml:space="preserve"> – 5 (if adult hospital)</w:t>
            </w:r>
          </w:p>
          <w:p w14:paraId="14B12B2D" w14:textId="77777777" w:rsidR="00BF194A" w:rsidRPr="008E7073" w:rsidRDefault="00BF194A">
            <w:pPr>
              <w:pStyle w:val="PlanXXspecial-appendix4table"/>
              <w:keepNext/>
              <w:keepLines/>
              <w:ind w:left="720"/>
              <w:rPr>
                <w:rFonts w:ascii="Arial" w:hAnsi="Arial" w:cs="Arial"/>
                <w:sz w:val="16"/>
                <w:szCs w:val="18"/>
              </w:rPr>
            </w:pPr>
            <w:r w:rsidRPr="008E7073">
              <w:rPr>
                <w:rFonts w:ascii="Arial" w:hAnsi="Arial" w:cs="Arial"/>
                <w:b/>
                <w:sz w:val="16"/>
                <w:szCs w:val="18"/>
              </w:rPr>
              <w:t>Paediatric Perioperative</w:t>
            </w:r>
            <w:r w:rsidRPr="008E7073">
              <w:rPr>
                <w:rFonts w:ascii="Arial" w:hAnsi="Arial" w:cs="Arial"/>
                <w:sz w:val="16"/>
                <w:szCs w:val="18"/>
              </w:rPr>
              <w:t xml:space="preserve"> – 5 (if paediatric hospital)</w:t>
            </w:r>
          </w:p>
          <w:p w14:paraId="6BD211CC" w14:textId="77777777" w:rsidR="00BF194A" w:rsidRPr="008E7073" w:rsidRDefault="00BF194A">
            <w:pPr>
              <w:pStyle w:val="PlanXXspecial-appendix4table"/>
              <w:keepNext/>
              <w:keepLines/>
              <w:ind w:left="720"/>
              <w:rPr>
                <w:rFonts w:ascii="Arial" w:hAnsi="Arial" w:cs="Arial"/>
                <w:sz w:val="16"/>
                <w:szCs w:val="16"/>
              </w:rPr>
            </w:pPr>
            <w:r w:rsidRPr="008E7073">
              <w:rPr>
                <w:rFonts w:ascii="Arial" w:hAnsi="Arial" w:cs="Arial"/>
                <w:b/>
                <w:sz w:val="16"/>
                <w:szCs w:val="16"/>
              </w:rPr>
              <w:t>Maternity</w:t>
            </w:r>
            <w:r w:rsidRPr="008E7073">
              <w:rPr>
                <w:rFonts w:ascii="Arial" w:hAnsi="Arial" w:cs="Arial"/>
                <w:sz w:val="16"/>
                <w:szCs w:val="16"/>
              </w:rPr>
              <w:t xml:space="preserve"> – 6</w:t>
            </w:r>
          </w:p>
          <w:p w14:paraId="75019EA4" w14:textId="77777777" w:rsidR="00BF194A" w:rsidRPr="008E7073" w:rsidRDefault="00BF194A">
            <w:pPr>
              <w:pStyle w:val="PlanXXspecial-appendix4table"/>
              <w:keepNext/>
              <w:keepLines/>
              <w:ind w:left="720"/>
              <w:rPr>
                <w:rFonts w:ascii="Arial" w:hAnsi="Arial" w:cs="Arial"/>
                <w:sz w:val="16"/>
                <w:szCs w:val="16"/>
              </w:rPr>
            </w:pPr>
            <w:r w:rsidRPr="008E7073">
              <w:rPr>
                <w:rFonts w:ascii="Arial" w:hAnsi="Arial" w:cs="Arial"/>
                <w:b/>
                <w:sz w:val="16"/>
                <w:szCs w:val="16"/>
              </w:rPr>
              <w:t>Newborn</w:t>
            </w:r>
            <w:r w:rsidRPr="008E7073">
              <w:rPr>
                <w:rFonts w:ascii="Arial" w:hAnsi="Arial" w:cs="Arial"/>
                <w:sz w:val="16"/>
                <w:szCs w:val="16"/>
              </w:rPr>
              <w:t xml:space="preserve"> – 6</w:t>
            </w:r>
          </w:p>
          <w:p w14:paraId="5A2FEA32" w14:textId="77777777" w:rsidR="00BF194A" w:rsidRPr="008E7073" w:rsidRDefault="00BF194A">
            <w:pPr>
              <w:pStyle w:val="PlanXXspecial-appendix4table"/>
              <w:keepNext/>
              <w:keepLines/>
              <w:rPr>
                <w:rFonts w:ascii="Arial" w:hAnsi="Arial" w:cs="Arial"/>
                <w:b/>
                <w:sz w:val="18"/>
                <w:szCs w:val="20"/>
              </w:rPr>
            </w:pPr>
            <w:r w:rsidRPr="008E7073">
              <w:rPr>
                <w:rFonts w:ascii="Arial" w:hAnsi="Arial" w:cs="Arial"/>
                <w:b/>
                <w:sz w:val="18"/>
                <w:szCs w:val="20"/>
              </w:rPr>
              <w:t xml:space="preserve">Median ICU hours delivered per annum: </w:t>
            </w:r>
            <w:r w:rsidRPr="008E7073">
              <w:rPr>
                <w:rFonts w:ascii="Arial" w:hAnsi="Arial" w:cs="Arial"/>
                <w:sz w:val="18"/>
                <w:szCs w:val="20"/>
              </w:rPr>
              <w:t>218,000</w:t>
            </w:r>
          </w:p>
          <w:p w14:paraId="7B385A4D" w14:textId="77777777" w:rsidR="00BF194A" w:rsidRPr="008E7073" w:rsidRDefault="00BF194A">
            <w:pPr>
              <w:pStyle w:val="PlanXXspecial-appendix4table"/>
              <w:keepNext/>
              <w:keepLines/>
              <w:rPr>
                <w:rFonts w:ascii="Arial" w:hAnsi="Arial" w:cs="Arial"/>
                <w:b/>
                <w:bCs/>
                <w:sz w:val="18"/>
                <w:szCs w:val="18"/>
              </w:rPr>
            </w:pPr>
            <w:r w:rsidRPr="008E7073">
              <w:rPr>
                <w:rFonts w:ascii="Arial" w:hAnsi="Arial" w:cs="Arial"/>
                <w:b/>
                <w:sz w:val="18"/>
                <w:szCs w:val="20"/>
              </w:rPr>
              <w:t xml:space="preserve">Median proportion of elective separations with NWAU&gt;4.0: </w:t>
            </w:r>
            <w:r w:rsidRPr="008E7073">
              <w:rPr>
                <w:rFonts w:ascii="Arial" w:hAnsi="Arial" w:cs="Arial"/>
                <w:sz w:val="18"/>
                <w:szCs w:val="20"/>
              </w:rPr>
              <w:t>3.5%</w:t>
            </w:r>
          </w:p>
          <w:p w14:paraId="3BED2985" w14:textId="77777777" w:rsidR="00BF194A" w:rsidRPr="008E7073" w:rsidRDefault="00BF194A">
            <w:pPr>
              <w:pStyle w:val="PlanXXspecial-appendix4table"/>
              <w:keepNext/>
              <w:keepLines/>
              <w:rPr>
                <w:rFonts w:ascii="Arial" w:hAnsi="Arial" w:cs="Arial"/>
                <w:sz w:val="16"/>
                <w:szCs w:val="18"/>
              </w:rPr>
            </w:pPr>
            <w:r w:rsidRPr="008E7073">
              <w:rPr>
                <w:rFonts w:ascii="Arial" w:hAnsi="Arial" w:cs="Arial"/>
                <w:b/>
                <w:sz w:val="16"/>
                <w:szCs w:val="18"/>
              </w:rPr>
              <w:t>Health service site beds:</w:t>
            </w:r>
            <w:r w:rsidRPr="008E7073">
              <w:rPr>
                <w:rFonts w:ascii="Arial" w:hAnsi="Arial" w:cs="Arial"/>
                <w:sz w:val="16"/>
                <w:szCs w:val="18"/>
              </w:rPr>
              <w:t xml:space="preserve"> 261</w:t>
            </w:r>
          </w:p>
          <w:p w14:paraId="145E9C60" w14:textId="77777777" w:rsidR="00BF194A" w:rsidRPr="008E7073" w:rsidRDefault="00BF194A">
            <w:pPr>
              <w:pStyle w:val="PlanXXspecial-appendix4table"/>
              <w:keepNext/>
              <w:keepLines/>
              <w:rPr>
                <w:rFonts w:ascii="Arial" w:hAnsi="Arial" w:cs="Arial"/>
                <w:sz w:val="16"/>
                <w:szCs w:val="18"/>
              </w:rPr>
            </w:pPr>
            <w:r w:rsidRPr="008E7073">
              <w:rPr>
                <w:rFonts w:ascii="Arial" w:hAnsi="Arial" w:cs="Arial"/>
                <w:b/>
                <w:sz w:val="16"/>
                <w:szCs w:val="18"/>
              </w:rPr>
              <w:t>Average length of stay for overnight care:</w:t>
            </w:r>
            <w:r w:rsidRPr="008E7073">
              <w:rPr>
                <w:rFonts w:ascii="Arial" w:hAnsi="Arial" w:cs="Arial"/>
                <w:sz w:val="16"/>
                <w:szCs w:val="18"/>
              </w:rPr>
              <w:t xml:space="preserve"> 4.2 days</w:t>
            </w:r>
          </w:p>
          <w:p w14:paraId="0CA1C62D" w14:textId="77777777" w:rsidR="00BF194A" w:rsidRPr="008E7073" w:rsidRDefault="00BF194A">
            <w:pPr>
              <w:pStyle w:val="PlanXXspecial-appendix4table"/>
              <w:keepNext/>
              <w:keepLines/>
              <w:rPr>
                <w:rFonts w:ascii="Arial" w:hAnsi="Arial" w:cs="Arial"/>
                <w:sz w:val="16"/>
                <w:szCs w:val="18"/>
              </w:rPr>
            </w:pPr>
            <w:r w:rsidRPr="008E7073">
              <w:rPr>
                <w:rFonts w:ascii="Arial" w:hAnsi="Arial" w:cs="Arial"/>
                <w:b/>
                <w:sz w:val="16"/>
                <w:szCs w:val="18"/>
              </w:rPr>
              <w:t>Catchment self-sufficiency for acute care:</w:t>
            </w:r>
            <w:r w:rsidRPr="008E7073">
              <w:rPr>
                <w:rFonts w:ascii="Arial" w:hAnsi="Arial" w:cs="Arial"/>
                <w:sz w:val="16"/>
                <w:szCs w:val="18"/>
              </w:rPr>
              <w:t xml:space="preserve"> Not applicable</w:t>
            </w:r>
          </w:p>
          <w:p w14:paraId="353C61C6" w14:textId="77777777" w:rsidR="00BF194A" w:rsidRPr="008E7073" w:rsidRDefault="00BF194A">
            <w:pPr>
              <w:pStyle w:val="PlanXXspecial-appendix4table"/>
              <w:keepNext/>
              <w:keepLines/>
              <w:rPr>
                <w:rFonts w:ascii="Arial" w:hAnsi="Arial" w:cs="Arial"/>
                <w:sz w:val="16"/>
                <w:szCs w:val="18"/>
              </w:rPr>
            </w:pPr>
            <w:r w:rsidRPr="008E7073">
              <w:rPr>
                <w:rFonts w:ascii="Arial" w:hAnsi="Arial" w:cs="Arial"/>
                <w:b/>
                <w:sz w:val="16"/>
                <w:szCs w:val="18"/>
              </w:rPr>
              <w:t>Proportion of acute bed days delivered in the home:</w:t>
            </w:r>
            <w:r w:rsidRPr="008E7073">
              <w:rPr>
                <w:rFonts w:ascii="Arial" w:hAnsi="Arial" w:cs="Arial"/>
                <w:sz w:val="16"/>
                <w:szCs w:val="18"/>
              </w:rPr>
              <w:t xml:space="preserve"> 0–25% </w:t>
            </w:r>
          </w:p>
          <w:p w14:paraId="687FAFF6" w14:textId="77777777" w:rsidR="00BF194A" w:rsidRPr="008E7073" w:rsidRDefault="00BF194A">
            <w:pPr>
              <w:pStyle w:val="PlanXXspecial-appendix4table"/>
              <w:keepNext/>
              <w:keepLines/>
              <w:rPr>
                <w:rFonts w:ascii="Arial" w:hAnsi="Arial" w:cs="Arial"/>
                <w:sz w:val="16"/>
                <w:szCs w:val="18"/>
              </w:rPr>
            </w:pPr>
            <w:r w:rsidRPr="008E7073">
              <w:rPr>
                <w:rFonts w:ascii="Arial" w:hAnsi="Arial" w:cs="Arial"/>
                <w:b/>
                <w:sz w:val="16"/>
                <w:szCs w:val="18"/>
              </w:rPr>
              <w:t>Medical practitioners/specialists:</w:t>
            </w:r>
            <w:r w:rsidRPr="008E7073">
              <w:rPr>
                <w:rFonts w:ascii="Arial" w:hAnsi="Arial" w:cs="Arial"/>
                <w:sz w:val="16"/>
                <w:szCs w:val="18"/>
              </w:rPr>
              <w:t xml:space="preserve"> Directly employed</w:t>
            </w:r>
          </w:p>
        </w:tc>
      </w:tr>
      <w:tr w:rsidR="00BF194A" w:rsidRPr="008E7073" w14:paraId="21222B11" w14:textId="77777777">
        <w:trPr>
          <w:trHeight w:val="1489"/>
        </w:trPr>
        <w:tc>
          <w:tcPr>
            <w:tcW w:w="570" w:type="pct"/>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3FE117FE" w14:textId="77777777" w:rsidR="00BF194A" w:rsidRPr="008E7073" w:rsidRDefault="00BF194A">
            <w:pPr>
              <w:keepNext/>
              <w:keepLines/>
              <w:rPr>
                <w:rFonts w:cs="Arial"/>
                <w:lang w:eastAsia="en-AU"/>
              </w:rPr>
            </w:pPr>
            <w:r w:rsidRPr="008E7073">
              <w:rPr>
                <w:rFonts w:cs="Arial"/>
                <w:noProof/>
                <w:lang w:eastAsia="en-AU"/>
              </w:rPr>
              <w:drawing>
                <wp:inline distT="0" distB="0" distL="0" distR="0" wp14:anchorId="1EF4ED04" wp14:editId="156FBDE9">
                  <wp:extent cx="477079" cy="477079"/>
                  <wp:effectExtent l="0" t="0" r="0" b="0"/>
                  <wp:docPr id="442467712" name="Graphic 4424677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67712" name="Graphic 442467712">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86216" cy="486216"/>
                          </a:xfrm>
                          <a:prstGeom prst="rect">
                            <a:avLst/>
                          </a:prstGeom>
                        </pic:spPr>
                      </pic:pic>
                    </a:graphicData>
                  </a:graphic>
                </wp:inline>
              </w:drawing>
            </w:r>
          </w:p>
        </w:tc>
        <w:tc>
          <w:tcPr>
            <w:tcW w:w="794" w:type="pct"/>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39624E8E" w14:textId="77777777" w:rsidR="00BF194A" w:rsidRPr="008E7073" w:rsidRDefault="00BF194A">
            <w:pPr>
              <w:keepNext/>
              <w:keepLines/>
              <w:rPr>
                <w:rFonts w:cs="Arial"/>
                <w:b/>
                <w:bCs/>
                <w:color w:val="365F91" w:themeColor="accent1" w:themeShade="BF"/>
                <w:lang w:eastAsia="en-AU"/>
              </w:rPr>
            </w:pPr>
            <w:r w:rsidRPr="008E7073">
              <w:rPr>
                <w:rFonts w:cs="Arial"/>
                <w:b/>
                <w:bCs/>
                <w:color w:val="365F91" w:themeColor="accent1" w:themeShade="BF"/>
                <w:lang w:eastAsia="en-AU"/>
              </w:rPr>
              <w:t>Catchment Community</w:t>
            </w:r>
          </w:p>
        </w:tc>
        <w:tc>
          <w:tcPr>
            <w:tcW w:w="3637" w:type="pct"/>
            <w:tcBorders>
              <w:top w:val="single" w:sz="4" w:space="0" w:color="auto"/>
              <w:left w:val="nil"/>
              <w:bottom w:val="single" w:sz="4" w:space="0" w:color="auto"/>
              <w:right w:val="nil"/>
            </w:tcBorders>
            <w:tcMar>
              <w:top w:w="72" w:type="dxa"/>
              <w:left w:w="144" w:type="dxa"/>
              <w:bottom w:w="72" w:type="dxa"/>
              <w:right w:w="144" w:type="dxa"/>
            </w:tcMar>
            <w:vAlign w:val="center"/>
          </w:tcPr>
          <w:p w14:paraId="0B6C6AEA" w14:textId="77777777" w:rsidR="00BF194A" w:rsidRPr="008E7073" w:rsidRDefault="00BF194A">
            <w:pPr>
              <w:pStyle w:val="PlanXXspecial-appendix4table"/>
              <w:keepNext/>
              <w:keepLines/>
              <w:rPr>
                <w:rFonts w:ascii="Arial" w:hAnsi="Arial" w:cs="Arial"/>
                <w:sz w:val="16"/>
                <w:szCs w:val="18"/>
              </w:rPr>
            </w:pPr>
            <w:r w:rsidRPr="008E7073">
              <w:rPr>
                <w:rFonts w:ascii="Arial" w:hAnsi="Arial" w:cs="Arial"/>
                <w:b/>
                <w:sz w:val="16"/>
                <w:szCs w:val="18"/>
              </w:rPr>
              <w:t>Population:</w:t>
            </w:r>
            <w:r w:rsidRPr="008E7073">
              <w:rPr>
                <w:rFonts w:ascii="Arial" w:hAnsi="Arial" w:cs="Arial"/>
                <w:sz w:val="16"/>
                <w:szCs w:val="18"/>
              </w:rPr>
              <w:t xml:space="preserve"> women and/or children</w:t>
            </w:r>
          </w:p>
          <w:p w14:paraId="594E57DE" w14:textId="77777777" w:rsidR="00BF194A" w:rsidRPr="008E7073" w:rsidRDefault="00BF194A">
            <w:pPr>
              <w:pStyle w:val="PlanXXspecial-appendix4table"/>
              <w:keepNext/>
              <w:keepLines/>
              <w:rPr>
                <w:rFonts w:ascii="Arial" w:hAnsi="Arial" w:cs="Arial"/>
                <w:sz w:val="16"/>
                <w:szCs w:val="18"/>
              </w:rPr>
            </w:pPr>
            <w:r w:rsidRPr="008E7073">
              <w:rPr>
                <w:rFonts w:ascii="Arial" w:hAnsi="Arial" w:cs="Arial"/>
                <w:b/>
                <w:sz w:val="16"/>
                <w:szCs w:val="18"/>
              </w:rPr>
              <w:t>Age profile:</w:t>
            </w:r>
            <w:r w:rsidRPr="008E7073">
              <w:rPr>
                <w:rFonts w:ascii="Arial" w:hAnsi="Arial" w:cs="Arial"/>
                <w:sz w:val="16"/>
                <w:szCs w:val="18"/>
              </w:rPr>
              <w:t xml:space="preserve"> younger than Victorian average (profile is mainly children and women of child</w:t>
            </w:r>
            <w:r w:rsidRPr="008E7073">
              <w:rPr>
                <w:rFonts w:ascii="Arial" w:hAnsi="Arial" w:cs="Arial"/>
                <w:sz w:val="16"/>
                <w:szCs w:val="18"/>
              </w:rPr>
              <w:noBreakHyphen/>
              <w:t>bearing age)</w:t>
            </w:r>
          </w:p>
          <w:p w14:paraId="2D8DB6B7" w14:textId="77777777" w:rsidR="00BF194A" w:rsidRPr="008E7073" w:rsidRDefault="00BF194A">
            <w:pPr>
              <w:pStyle w:val="PlanXXspecial-appendix4table"/>
              <w:keepNext/>
              <w:keepLines/>
              <w:rPr>
                <w:rFonts w:ascii="Arial" w:hAnsi="Arial" w:cs="Arial"/>
                <w:sz w:val="16"/>
                <w:szCs w:val="18"/>
              </w:rPr>
            </w:pPr>
            <w:r w:rsidRPr="008E7073">
              <w:rPr>
                <w:rFonts w:ascii="Arial" w:hAnsi="Arial" w:cs="Arial"/>
                <w:b/>
                <w:sz w:val="16"/>
                <w:szCs w:val="18"/>
              </w:rPr>
              <w:t>Geographies:</w:t>
            </w:r>
            <w:r w:rsidRPr="008E7073">
              <w:rPr>
                <w:rFonts w:ascii="Arial" w:hAnsi="Arial" w:cs="Arial"/>
                <w:sz w:val="16"/>
                <w:szCs w:val="18"/>
              </w:rPr>
              <w:t xml:space="preserve"> statewide service providers with most patients being residents of metropolitan Melbourne</w:t>
            </w:r>
          </w:p>
          <w:p w14:paraId="30A766DE" w14:textId="77777777" w:rsidR="00BF194A" w:rsidRPr="008E7073" w:rsidRDefault="00BF194A">
            <w:pPr>
              <w:pStyle w:val="PlanXXspecial-appendix4table"/>
              <w:keepNext/>
              <w:keepLines/>
              <w:rPr>
                <w:rFonts w:ascii="Arial" w:hAnsi="Arial" w:cs="Arial"/>
                <w:sz w:val="16"/>
                <w:szCs w:val="18"/>
              </w:rPr>
            </w:pPr>
            <w:r w:rsidRPr="008E7073">
              <w:rPr>
                <w:rFonts w:ascii="Arial" w:hAnsi="Arial" w:cs="Arial"/>
                <w:b/>
                <w:sz w:val="16"/>
                <w:szCs w:val="18"/>
              </w:rPr>
              <w:t>Average travel time to complex health service site care:</w:t>
            </w:r>
            <w:r w:rsidRPr="008E7073">
              <w:rPr>
                <w:rFonts w:ascii="Arial" w:hAnsi="Arial" w:cs="Arial"/>
                <w:sz w:val="16"/>
                <w:szCs w:val="18"/>
              </w:rPr>
              <w:t xml:space="preserve"> average travel time to these health service sites is 34 minutes</w:t>
            </w:r>
          </w:p>
        </w:tc>
      </w:tr>
    </w:tbl>
    <w:p w14:paraId="36DAEB8A" w14:textId="77777777" w:rsidR="00BF194A" w:rsidRPr="008E7073" w:rsidRDefault="00BF194A" w:rsidP="00BF194A">
      <w:pPr>
        <w:pStyle w:val="Body"/>
        <w:keepNext/>
        <w:keepLines/>
        <w:rPr>
          <w:rFonts w:cs="Arial"/>
          <w:i/>
          <w:iCs/>
          <w:sz w:val="16"/>
          <w:szCs w:val="16"/>
        </w:rPr>
      </w:pPr>
      <w:r w:rsidRPr="008E7073">
        <w:rPr>
          <w:rFonts w:eastAsia="Times New Roman" w:cs="Arial"/>
          <w:i/>
          <w:iCs/>
          <w:sz w:val="16"/>
          <w:szCs w:val="16"/>
        </w:rPr>
        <w:t xml:space="preserve">* Excludes sub-acute and mental health admitted activity; </w:t>
      </w:r>
      <w:r w:rsidRPr="008E7073">
        <w:rPr>
          <w:rFonts w:cs="Arial"/>
          <w:i/>
          <w:iCs/>
          <w:sz w:val="16"/>
          <w:szCs w:val="16"/>
          <w:vertAlign w:val="superscript"/>
        </w:rPr>
        <w:t>ⱡ</w:t>
      </w:r>
      <w:r w:rsidRPr="008E7073">
        <w:rPr>
          <w:rFonts w:cs="Arial"/>
          <w:i/>
          <w:iCs/>
          <w:sz w:val="16"/>
          <w:szCs w:val="16"/>
        </w:rPr>
        <w:t>Median values are rounded to nearest 100</w:t>
      </w:r>
    </w:p>
    <w:p w14:paraId="078AE819" w14:textId="77777777" w:rsidR="00BF194A" w:rsidRPr="008E7073" w:rsidRDefault="00BF194A" w:rsidP="00BF194A">
      <w:pPr>
        <w:rPr>
          <w:rFonts w:cs="Arial"/>
        </w:rPr>
      </w:pPr>
    </w:p>
    <w:p w14:paraId="76F6CE30" w14:textId="77777777" w:rsidR="00BF194A" w:rsidRPr="008E7073" w:rsidRDefault="00BF194A" w:rsidP="00BF194A">
      <w:pPr>
        <w:pStyle w:val="Caption"/>
        <w:rPr>
          <w:rFonts w:cs="Arial"/>
        </w:rPr>
      </w:pPr>
    </w:p>
    <w:p w14:paraId="11DD1AE9" w14:textId="77777777" w:rsidR="00EA0292" w:rsidRDefault="00EA0292">
      <w:pPr>
        <w:spacing w:after="0" w:line="240" w:lineRule="auto"/>
        <w:rPr>
          <w:rFonts w:cs="Arial"/>
          <w:i/>
          <w:iCs/>
          <w:color w:val="1F497D" w:themeColor="text2"/>
          <w:sz w:val="18"/>
          <w:szCs w:val="18"/>
        </w:rPr>
      </w:pPr>
      <w:r>
        <w:rPr>
          <w:rFonts w:cs="Arial"/>
        </w:rPr>
        <w:br w:type="page"/>
      </w:r>
    </w:p>
    <w:p w14:paraId="7550EFBC" w14:textId="1AE6587B" w:rsidR="00BF194A" w:rsidRPr="008E7073" w:rsidRDefault="00BF194A" w:rsidP="00BF194A">
      <w:pPr>
        <w:pStyle w:val="Caption"/>
        <w:rPr>
          <w:rFonts w:cs="Arial"/>
        </w:rPr>
      </w:pPr>
      <w:r w:rsidRPr="008E7073">
        <w:rPr>
          <w:rFonts w:cs="Arial"/>
        </w:rPr>
        <w:lastRenderedPageBreak/>
        <w:t xml:space="preserve">Table </w:t>
      </w:r>
      <w:r w:rsidRPr="008E7073">
        <w:rPr>
          <w:rFonts w:cs="Arial"/>
        </w:rPr>
        <w:fldChar w:fldCharType="begin"/>
      </w:r>
      <w:r w:rsidRPr="008E7073">
        <w:rPr>
          <w:rFonts w:cs="Arial"/>
        </w:rPr>
        <w:instrText xml:space="preserve"> SEQ Table \* ARABIC </w:instrText>
      </w:r>
      <w:r w:rsidRPr="008E7073">
        <w:rPr>
          <w:rFonts w:cs="Arial"/>
        </w:rPr>
        <w:fldChar w:fldCharType="separate"/>
      </w:r>
      <w:r w:rsidRPr="008E7073">
        <w:rPr>
          <w:rFonts w:cs="Arial"/>
          <w:noProof/>
        </w:rPr>
        <w:t>10</w:t>
      </w:r>
      <w:r w:rsidRPr="008E7073">
        <w:rPr>
          <w:rFonts w:cs="Arial"/>
        </w:rPr>
        <w:fldChar w:fldCharType="end"/>
      </w:r>
      <w:r w:rsidRPr="008E7073">
        <w:rPr>
          <w:rFonts w:cs="Arial"/>
        </w:rPr>
        <w:t>. Specialist Hospitals site characteristics</w:t>
      </w:r>
    </w:p>
    <w:tbl>
      <w:tblPr>
        <w:tblW w:w="5000" w:type="pct"/>
        <w:tblCellMar>
          <w:left w:w="0" w:type="dxa"/>
          <w:right w:w="0" w:type="dxa"/>
        </w:tblCellMar>
        <w:tblLook w:val="0420" w:firstRow="1" w:lastRow="0" w:firstColumn="0" w:lastColumn="0" w:noHBand="0" w:noVBand="1"/>
      </w:tblPr>
      <w:tblGrid>
        <w:gridCol w:w="1083"/>
        <w:gridCol w:w="1755"/>
        <w:gridCol w:w="6460"/>
      </w:tblGrid>
      <w:tr w:rsidR="00BF194A" w:rsidRPr="008E7073" w14:paraId="42B5AD98" w14:textId="77777777">
        <w:trPr>
          <w:trHeight w:val="234"/>
          <w:tblHeader/>
        </w:trPr>
        <w:tc>
          <w:tcPr>
            <w:tcW w:w="5000" w:type="pct"/>
            <w:gridSpan w:val="3"/>
            <w:tcBorders>
              <w:top w:val="single" w:sz="18" w:space="0" w:color="000000" w:themeColor="text1"/>
              <w:left w:val="nil"/>
              <w:bottom w:val="single" w:sz="18" w:space="0" w:color="000000" w:themeColor="text1"/>
              <w:right w:val="nil"/>
            </w:tcBorders>
            <w:shd w:val="clear" w:color="auto" w:fill="F2F2F2" w:themeFill="background1" w:themeFillShade="F2"/>
            <w:tcMar>
              <w:top w:w="72" w:type="dxa"/>
              <w:left w:w="144" w:type="dxa"/>
              <w:bottom w:w="72" w:type="dxa"/>
              <w:right w:w="144" w:type="dxa"/>
            </w:tcMar>
            <w:hideMark/>
          </w:tcPr>
          <w:p w14:paraId="3D09F981" w14:textId="77777777" w:rsidR="00BF194A" w:rsidRPr="008E7073" w:rsidRDefault="00BF194A">
            <w:pPr>
              <w:keepNext/>
              <w:keepLines/>
              <w:rPr>
                <w:rFonts w:cs="Arial"/>
                <w:b/>
                <w:lang w:eastAsia="en-AU"/>
              </w:rPr>
            </w:pPr>
            <w:r w:rsidRPr="008E7073">
              <w:rPr>
                <w:rFonts w:cs="Arial"/>
                <w:b/>
                <w:lang w:eastAsia="en-AU"/>
              </w:rPr>
              <w:t>Description – Specialist Hospital Sites</w:t>
            </w:r>
          </w:p>
        </w:tc>
      </w:tr>
      <w:tr w:rsidR="00BF194A" w:rsidRPr="008E7073" w14:paraId="37C95936" w14:textId="77777777">
        <w:trPr>
          <w:trHeight w:val="1246"/>
        </w:trPr>
        <w:tc>
          <w:tcPr>
            <w:tcW w:w="582" w:type="pct"/>
            <w:tcBorders>
              <w:top w:val="single" w:sz="18" w:space="0" w:color="000000" w:themeColor="text1"/>
              <w:left w:val="nil"/>
              <w:bottom w:val="single" w:sz="4" w:space="0" w:color="auto"/>
              <w:right w:val="nil"/>
            </w:tcBorders>
            <w:tcMar>
              <w:top w:w="72" w:type="dxa"/>
              <w:left w:w="144" w:type="dxa"/>
              <w:bottom w:w="72" w:type="dxa"/>
              <w:right w:w="144" w:type="dxa"/>
            </w:tcMar>
            <w:vAlign w:val="center"/>
            <w:hideMark/>
          </w:tcPr>
          <w:p w14:paraId="4ED170FE" w14:textId="77777777" w:rsidR="00BF194A" w:rsidRPr="008E7073" w:rsidRDefault="00BF194A">
            <w:pPr>
              <w:keepNext/>
              <w:keepLines/>
              <w:rPr>
                <w:rFonts w:cs="Arial"/>
                <w:lang w:eastAsia="en-AU"/>
              </w:rPr>
            </w:pPr>
            <w:r w:rsidRPr="008E7073">
              <w:rPr>
                <w:rFonts w:cs="Arial"/>
                <w:noProof/>
                <w:lang w:eastAsia="en-AU"/>
              </w:rPr>
              <w:drawing>
                <wp:inline distT="0" distB="0" distL="0" distR="0" wp14:anchorId="5C6BEEF1" wp14:editId="7AD5422C">
                  <wp:extent cx="485775" cy="485775"/>
                  <wp:effectExtent l="0" t="0" r="9525" b="0"/>
                  <wp:docPr id="610228042" name="Graphic 6102280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228042" name="Graphic 610228042">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5775" cy="485775"/>
                          </a:xfrm>
                          <a:prstGeom prst="rect">
                            <a:avLst/>
                          </a:prstGeom>
                        </pic:spPr>
                      </pic:pic>
                    </a:graphicData>
                  </a:graphic>
                </wp:inline>
              </w:drawing>
            </w:r>
          </w:p>
        </w:tc>
        <w:tc>
          <w:tcPr>
            <w:tcW w:w="944" w:type="pct"/>
            <w:tcBorders>
              <w:top w:val="single" w:sz="18" w:space="0" w:color="000000" w:themeColor="text1"/>
              <w:left w:val="nil"/>
              <w:bottom w:val="single" w:sz="4" w:space="0" w:color="auto"/>
              <w:right w:val="nil"/>
            </w:tcBorders>
            <w:tcMar>
              <w:top w:w="72" w:type="dxa"/>
              <w:left w:w="144" w:type="dxa"/>
              <w:bottom w:w="72" w:type="dxa"/>
              <w:right w:w="144" w:type="dxa"/>
            </w:tcMar>
            <w:vAlign w:val="center"/>
            <w:hideMark/>
          </w:tcPr>
          <w:p w14:paraId="53E892C5" w14:textId="77777777" w:rsidR="00BF194A" w:rsidRPr="008E7073" w:rsidRDefault="00BF194A">
            <w:pPr>
              <w:keepNext/>
              <w:keepLines/>
              <w:rPr>
                <w:rFonts w:cs="Arial"/>
                <w:b/>
                <w:bCs/>
                <w:color w:val="365F91" w:themeColor="accent1" w:themeShade="BF"/>
                <w:lang w:eastAsia="en-AU"/>
              </w:rPr>
            </w:pPr>
            <w:r w:rsidRPr="008E7073">
              <w:rPr>
                <w:rFonts w:cs="Arial"/>
                <w:b/>
                <w:bCs/>
                <w:color w:val="365F91" w:themeColor="accent1" w:themeShade="BF"/>
                <w:lang w:eastAsia="en-AU"/>
              </w:rPr>
              <w:t>Service Profile</w:t>
            </w:r>
          </w:p>
        </w:tc>
        <w:tc>
          <w:tcPr>
            <w:tcW w:w="3474" w:type="pct"/>
            <w:tcBorders>
              <w:top w:val="single" w:sz="18" w:space="0" w:color="000000" w:themeColor="text1"/>
              <w:left w:val="nil"/>
              <w:bottom w:val="single" w:sz="4" w:space="0" w:color="auto"/>
              <w:right w:val="nil"/>
            </w:tcBorders>
            <w:tcMar>
              <w:top w:w="72" w:type="dxa"/>
              <w:left w:w="144" w:type="dxa"/>
              <w:bottom w:w="72" w:type="dxa"/>
              <w:right w:w="144" w:type="dxa"/>
            </w:tcMar>
            <w:vAlign w:val="center"/>
          </w:tcPr>
          <w:p w14:paraId="1C5368E2" w14:textId="77777777" w:rsidR="00BF194A" w:rsidRPr="008E7073" w:rsidRDefault="00BF194A">
            <w:pPr>
              <w:pStyle w:val="PlanXXSpecial-Appendix4figuredots"/>
              <w:keepNext/>
              <w:keepLines/>
              <w:rPr>
                <w:rFonts w:ascii="Arial" w:hAnsi="Arial" w:cs="Arial"/>
                <w:sz w:val="18"/>
                <w:szCs w:val="18"/>
              </w:rPr>
            </w:pPr>
            <w:r w:rsidRPr="008E7073">
              <w:rPr>
                <w:rFonts w:ascii="Arial" w:hAnsi="Arial" w:cs="Arial"/>
                <w:sz w:val="18"/>
                <w:szCs w:val="18"/>
              </w:rPr>
              <w:t>Typically limited to a single clinical specialty</w:t>
            </w:r>
          </w:p>
          <w:p w14:paraId="46EB6D5C" w14:textId="77777777" w:rsidR="00BF194A" w:rsidRPr="008E7073" w:rsidRDefault="00BF194A">
            <w:pPr>
              <w:pStyle w:val="PlanXXSpecial-Appendix4figuredots"/>
              <w:keepNext/>
              <w:keepLines/>
              <w:rPr>
                <w:rFonts w:ascii="Arial" w:hAnsi="Arial" w:cs="Arial"/>
                <w:sz w:val="18"/>
                <w:szCs w:val="18"/>
              </w:rPr>
            </w:pPr>
            <w:r w:rsidRPr="008E7073">
              <w:rPr>
                <w:rFonts w:ascii="Arial" w:hAnsi="Arial" w:cs="Arial"/>
                <w:sz w:val="18"/>
                <w:szCs w:val="18"/>
              </w:rPr>
              <w:t>May or may not include emergency department and ICU</w:t>
            </w:r>
          </w:p>
          <w:p w14:paraId="50CF324B" w14:textId="77777777" w:rsidR="00BF194A" w:rsidRPr="008E7073" w:rsidRDefault="00BF194A">
            <w:pPr>
              <w:pStyle w:val="PlanXXSpecial-Appendix4figuredots"/>
              <w:keepNext/>
              <w:keepLines/>
              <w:rPr>
                <w:rFonts w:ascii="Arial" w:hAnsi="Arial" w:cs="Arial"/>
                <w:sz w:val="18"/>
                <w:szCs w:val="18"/>
              </w:rPr>
            </w:pPr>
            <w:r w:rsidRPr="008E7073">
              <w:rPr>
                <w:rFonts w:ascii="Arial" w:hAnsi="Arial" w:cs="Arial"/>
                <w:sz w:val="18"/>
                <w:szCs w:val="18"/>
              </w:rPr>
              <w:t>May provide both acute and community-based care</w:t>
            </w:r>
          </w:p>
        </w:tc>
      </w:tr>
      <w:tr w:rsidR="00BF194A" w:rsidRPr="008E7073" w14:paraId="320D8652" w14:textId="77777777">
        <w:trPr>
          <w:trHeight w:val="1262"/>
        </w:trPr>
        <w:tc>
          <w:tcPr>
            <w:tcW w:w="582" w:type="pct"/>
            <w:tcBorders>
              <w:top w:val="single" w:sz="4" w:space="0" w:color="auto"/>
              <w:left w:val="nil"/>
              <w:bottom w:val="single" w:sz="4" w:space="0" w:color="auto"/>
              <w:right w:val="nil"/>
            </w:tcBorders>
            <w:tcMar>
              <w:top w:w="72" w:type="dxa"/>
              <w:left w:w="144" w:type="dxa"/>
              <w:bottom w:w="72" w:type="dxa"/>
              <w:right w:w="144" w:type="dxa"/>
            </w:tcMar>
            <w:vAlign w:val="center"/>
          </w:tcPr>
          <w:p w14:paraId="42705105" w14:textId="77777777" w:rsidR="00BF194A" w:rsidRPr="008E7073" w:rsidRDefault="00BF194A">
            <w:pPr>
              <w:keepNext/>
              <w:keepLines/>
              <w:rPr>
                <w:rFonts w:cs="Arial"/>
                <w:noProof/>
                <w:lang w:eastAsia="en-AU"/>
              </w:rPr>
            </w:pPr>
            <w:r w:rsidRPr="008E7073">
              <w:rPr>
                <w:rFonts w:cs="Arial"/>
                <w:noProof/>
                <w:color w:val="365F91" w:themeColor="accent1" w:themeShade="BF"/>
                <w:lang w:eastAsia="en-AU"/>
              </w:rPr>
              <w:drawing>
                <wp:inline distT="0" distB="0" distL="0" distR="0" wp14:anchorId="14D7C66A" wp14:editId="62588A78">
                  <wp:extent cx="475488" cy="475488"/>
                  <wp:effectExtent l="0" t="0" r="0" b="1270"/>
                  <wp:docPr id="128876568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765683" name="Graphic 2">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480114" cy="480114"/>
                          </a:xfrm>
                          <a:prstGeom prst="rect">
                            <a:avLst/>
                          </a:prstGeom>
                        </pic:spPr>
                      </pic:pic>
                    </a:graphicData>
                  </a:graphic>
                </wp:inline>
              </w:drawing>
            </w:r>
          </w:p>
        </w:tc>
        <w:tc>
          <w:tcPr>
            <w:tcW w:w="944" w:type="pct"/>
            <w:tcBorders>
              <w:top w:val="single" w:sz="4" w:space="0" w:color="auto"/>
              <w:left w:val="nil"/>
              <w:bottom w:val="single" w:sz="4" w:space="0" w:color="auto"/>
              <w:right w:val="nil"/>
            </w:tcBorders>
            <w:tcMar>
              <w:top w:w="72" w:type="dxa"/>
              <w:left w:w="144" w:type="dxa"/>
              <w:bottom w:w="72" w:type="dxa"/>
              <w:right w:w="144" w:type="dxa"/>
            </w:tcMar>
            <w:vAlign w:val="center"/>
          </w:tcPr>
          <w:p w14:paraId="69E115F0" w14:textId="77777777" w:rsidR="00BF194A" w:rsidRPr="008E7073" w:rsidRDefault="00BF194A">
            <w:pPr>
              <w:keepNext/>
              <w:keepLines/>
              <w:rPr>
                <w:rFonts w:cs="Arial"/>
                <w:b/>
                <w:bCs/>
                <w:color w:val="365F91" w:themeColor="accent1" w:themeShade="BF"/>
                <w:lang w:eastAsia="en-AU"/>
              </w:rPr>
            </w:pPr>
            <w:r w:rsidRPr="008E7073">
              <w:rPr>
                <w:rFonts w:cs="Arial"/>
                <w:b/>
                <w:bCs/>
                <w:color w:val="365F91" w:themeColor="accent1" w:themeShade="BF"/>
                <w:lang w:eastAsia="en-AU"/>
              </w:rPr>
              <w:t>Primary &amp; Aged Care</w:t>
            </w:r>
          </w:p>
        </w:tc>
        <w:tc>
          <w:tcPr>
            <w:tcW w:w="3474" w:type="pct"/>
            <w:tcBorders>
              <w:top w:val="single" w:sz="4" w:space="0" w:color="auto"/>
              <w:left w:val="nil"/>
              <w:bottom w:val="single" w:sz="4" w:space="0" w:color="auto"/>
              <w:right w:val="nil"/>
            </w:tcBorders>
            <w:tcMar>
              <w:top w:w="72" w:type="dxa"/>
              <w:left w:w="144" w:type="dxa"/>
              <w:bottom w:w="72" w:type="dxa"/>
              <w:right w:w="144" w:type="dxa"/>
            </w:tcMar>
            <w:vAlign w:val="center"/>
          </w:tcPr>
          <w:p w14:paraId="7B139251" w14:textId="77777777" w:rsidR="00BF194A" w:rsidRPr="008E7073" w:rsidRDefault="00BF194A">
            <w:pPr>
              <w:pStyle w:val="Body"/>
              <w:keepNext/>
              <w:keepLines/>
              <w:rPr>
                <w:rFonts w:cs="Arial"/>
                <w:sz w:val="18"/>
                <w:szCs w:val="18"/>
              </w:rPr>
            </w:pPr>
            <w:r w:rsidRPr="008E7073">
              <w:rPr>
                <w:rFonts w:cs="Arial"/>
                <w:b/>
                <w:bCs/>
                <w:sz w:val="18"/>
                <w:szCs w:val="18"/>
              </w:rPr>
              <w:t>Public Sector Residential Aged Care places:</w:t>
            </w:r>
            <w:r w:rsidRPr="008E7073">
              <w:rPr>
                <w:rFonts w:cs="Arial"/>
                <w:sz w:val="18"/>
                <w:szCs w:val="18"/>
              </w:rPr>
              <w:t xml:space="preserve"> Nil</w:t>
            </w:r>
          </w:p>
          <w:p w14:paraId="38E1307A" w14:textId="77777777" w:rsidR="00BF194A" w:rsidRPr="008E7073" w:rsidRDefault="00BF194A">
            <w:pPr>
              <w:pStyle w:val="Body"/>
              <w:keepNext/>
              <w:keepLines/>
              <w:rPr>
                <w:rFonts w:cs="Arial"/>
                <w:sz w:val="18"/>
                <w:szCs w:val="18"/>
              </w:rPr>
            </w:pPr>
            <w:r w:rsidRPr="008E7073">
              <w:rPr>
                <w:rFonts w:cs="Arial"/>
                <w:b/>
                <w:bCs/>
                <w:sz w:val="18"/>
                <w:szCs w:val="18"/>
              </w:rPr>
              <w:t>Primary health services:</w:t>
            </w:r>
            <w:r w:rsidRPr="008E7073">
              <w:rPr>
                <w:rFonts w:cs="Arial"/>
                <w:sz w:val="18"/>
                <w:szCs w:val="18"/>
              </w:rPr>
              <w:t xml:space="preserve"> Specialist </w:t>
            </w:r>
            <w:r w:rsidRPr="008E7073">
              <w:rPr>
                <w:rFonts w:eastAsia="VIC" w:cs="Arial"/>
                <w:sz w:val="18"/>
                <w:szCs w:val="18"/>
              </w:rPr>
              <w:t>health service sites</w:t>
            </w:r>
            <w:r w:rsidRPr="008E7073">
              <w:rPr>
                <w:rFonts w:cs="Arial"/>
                <w:sz w:val="18"/>
                <w:szCs w:val="18"/>
              </w:rPr>
              <w:t xml:space="preserve"> may directly manage or have patient referral pathways to registered community health service organisations. </w:t>
            </w:r>
          </w:p>
        </w:tc>
      </w:tr>
      <w:tr w:rsidR="00BF194A" w:rsidRPr="008E7073" w14:paraId="47D44E91" w14:textId="77777777">
        <w:trPr>
          <w:trHeight w:val="1262"/>
        </w:trPr>
        <w:tc>
          <w:tcPr>
            <w:tcW w:w="582" w:type="pct"/>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4BE6D500" w14:textId="77777777" w:rsidR="00BF194A" w:rsidRPr="008E7073" w:rsidRDefault="00BF194A">
            <w:pPr>
              <w:keepNext/>
              <w:keepLines/>
              <w:rPr>
                <w:rFonts w:cs="Arial"/>
                <w:lang w:eastAsia="en-AU"/>
              </w:rPr>
            </w:pPr>
            <w:r w:rsidRPr="008E7073">
              <w:rPr>
                <w:rFonts w:cs="Arial"/>
                <w:noProof/>
                <w:lang w:eastAsia="en-AU"/>
              </w:rPr>
              <w:drawing>
                <wp:inline distT="0" distB="0" distL="0" distR="0" wp14:anchorId="16D271A7" wp14:editId="79C4FA6D">
                  <wp:extent cx="504749" cy="504749"/>
                  <wp:effectExtent l="0" t="0" r="0" b="0"/>
                  <wp:docPr id="128246370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463701" name="Graphic 1">
                            <a:extLst>
                              <a:ext uri="{C183D7F6-B498-43B3-948B-1728B52AA6E4}">
                                <adec:decorative xmlns:adec="http://schemas.microsoft.com/office/drawing/2017/decorative" val="1"/>
                              </a:ext>
                            </a:extLst>
                          </pic:cNvPr>
                          <pic:cNvPicPr/>
                        </pic:nvPicPr>
                        <pic:blipFill>
                          <a:blip r:embed="rId21">
                            <a:extLst>
                              <a:ext uri="{96DAC541-7B7A-43D3-8B79-37D633B846F1}">
                                <asvg:svgBlip xmlns:asvg="http://schemas.microsoft.com/office/drawing/2016/SVG/main" r:embed="rId22"/>
                              </a:ext>
                            </a:extLst>
                          </a:blip>
                          <a:stretch>
                            <a:fillRect/>
                          </a:stretch>
                        </pic:blipFill>
                        <pic:spPr>
                          <a:xfrm>
                            <a:off x="0" y="0"/>
                            <a:ext cx="508034" cy="508034"/>
                          </a:xfrm>
                          <a:prstGeom prst="rect">
                            <a:avLst/>
                          </a:prstGeom>
                        </pic:spPr>
                      </pic:pic>
                    </a:graphicData>
                  </a:graphic>
                </wp:inline>
              </w:drawing>
            </w:r>
          </w:p>
        </w:tc>
        <w:tc>
          <w:tcPr>
            <w:tcW w:w="944" w:type="pct"/>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71863956" w14:textId="77777777" w:rsidR="00BF194A" w:rsidRPr="008E7073" w:rsidRDefault="00BF194A">
            <w:pPr>
              <w:keepNext/>
              <w:keepLines/>
              <w:rPr>
                <w:rFonts w:cs="Arial"/>
                <w:b/>
                <w:bCs/>
                <w:color w:val="365F91" w:themeColor="accent1" w:themeShade="BF"/>
                <w:lang w:eastAsia="en-AU"/>
              </w:rPr>
            </w:pPr>
            <w:r w:rsidRPr="008E7073">
              <w:rPr>
                <w:rFonts w:cs="Arial"/>
                <w:b/>
                <w:bCs/>
                <w:color w:val="365F91" w:themeColor="accent1" w:themeShade="BF"/>
                <w:lang w:eastAsia="en-AU"/>
              </w:rPr>
              <w:t>Acute Care*</w:t>
            </w:r>
          </w:p>
        </w:tc>
        <w:tc>
          <w:tcPr>
            <w:tcW w:w="3474" w:type="pct"/>
            <w:tcBorders>
              <w:top w:val="single" w:sz="4" w:space="0" w:color="auto"/>
              <w:left w:val="nil"/>
              <w:bottom w:val="single" w:sz="4" w:space="0" w:color="auto"/>
              <w:right w:val="nil"/>
            </w:tcBorders>
            <w:tcMar>
              <w:top w:w="72" w:type="dxa"/>
              <w:left w:w="144" w:type="dxa"/>
              <w:bottom w:w="72" w:type="dxa"/>
              <w:right w:w="144" w:type="dxa"/>
            </w:tcMar>
            <w:vAlign w:val="center"/>
          </w:tcPr>
          <w:p w14:paraId="45529E5D"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sz w:val="18"/>
                <w:szCs w:val="20"/>
              </w:rPr>
              <w:t>Median</w:t>
            </w:r>
            <w:r w:rsidRPr="008E7073">
              <w:rPr>
                <w:rFonts w:ascii="Arial" w:hAnsi="Arial" w:cs="Arial"/>
                <w:b/>
                <w:sz w:val="18"/>
                <w:szCs w:val="20"/>
                <w:vertAlign w:val="superscript"/>
              </w:rPr>
              <w:t>ⱡ</w:t>
            </w:r>
            <w:r w:rsidRPr="008E7073">
              <w:rPr>
                <w:rFonts w:ascii="Arial" w:hAnsi="Arial" w:cs="Arial"/>
                <w:b/>
                <w:sz w:val="18"/>
                <w:szCs w:val="20"/>
              </w:rPr>
              <w:t xml:space="preserve"> acute separations*:</w:t>
            </w:r>
            <w:r w:rsidRPr="008E7073">
              <w:rPr>
                <w:rFonts w:ascii="Arial" w:hAnsi="Arial" w:cs="Arial"/>
                <w:sz w:val="18"/>
                <w:szCs w:val="20"/>
              </w:rPr>
              <w:t xml:space="preserve"> 12,900</w:t>
            </w:r>
          </w:p>
          <w:p w14:paraId="0D923506"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sz w:val="18"/>
                <w:szCs w:val="20"/>
              </w:rPr>
              <w:t>Median</w:t>
            </w:r>
            <w:r w:rsidRPr="008E7073">
              <w:rPr>
                <w:rFonts w:ascii="Arial" w:hAnsi="Arial" w:cs="Arial"/>
                <w:b/>
                <w:sz w:val="18"/>
                <w:szCs w:val="20"/>
                <w:vertAlign w:val="superscript"/>
              </w:rPr>
              <w:t>ⱡ</w:t>
            </w:r>
            <w:r w:rsidRPr="008E7073">
              <w:rPr>
                <w:rFonts w:ascii="Arial" w:hAnsi="Arial" w:cs="Arial"/>
                <w:b/>
                <w:sz w:val="18"/>
                <w:szCs w:val="20"/>
              </w:rPr>
              <w:t xml:space="preserve"> urgent &amp; emergency care presentations: </w:t>
            </w:r>
            <w:r w:rsidRPr="008E7073">
              <w:rPr>
                <w:rFonts w:ascii="Arial" w:hAnsi="Arial" w:cs="Arial"/>
                <w:sz w:val="18"/>
                <w:szCs w:val="20"/>
              </w:rPr>
              <w:t>26,819 (where provided - not all specialist hospitals provide time critical access)</w:t>
            </w:r>
          </w:p>
          <w:p w14:paraId="3D08D57C"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sz w:val="18"/>
                <w:szCs w:val="20"/>
              </w:rPr>
              <w:t xml:space="preserve">Median Diagnostic Related Groups (&gt;5 seps): </w:t>
            </w:r>
            <w:r w:rsidRPr="008E7073">
              <w:rPr>
                <w:rFonts w:ascii="Arial" w:hAnsi="Arial" w:cs="Arial"/>
                <w:sz w:val="18"/>
                <w:szCs w:val="20"/>
              </w:rPr>
              <w:t>88</w:t>
            </w:r>
          </w:p>
          <w:p w14:paraId="16F2D9A1" w14:textId="77777777" w:rsidR="00BF194A" w:rsidRPr="008E7073" w:rsidRDefault="00BF194A">
            <w:pPr>
              <w:pStyle w:val="PlanXXspecial-appendix4table"/>
              <w:keepNext/>
              <w:keepLines/>
              <w:rPr>
                <w:rFonts w:ascii="Arial" w:hAnsi="Arial" w:cs="Arial"/>
                <w:b/>
                <w:sz w:val="18"/>
                <w:szCs w:val="20"/>
              </w:rPr>
            </w:pPr>
            <w:r w:rsidRPr="008E7073">
              <w:rPr>
                <w:rFonts w:ascii="Arial" w:hAnsi="Arial" w:cs="Arial"/>
                <w:b/>
                <w:sz w:val="18"/>
                <w:szCs w:val="20"/>
              </w:rPr>
              <w:t>Median Clinical Capability Levels:</w:t>
            </w:r>
          </w:p>
          <w:p w14:paraId="7D93B852"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sz w:val="18"/>
                <w:szCs w:val="20"/>
              </w:rPr>
              <w:t>Adult Perioperative</w:t>
            </w:r>
            <w:r w:rsidRPr="008E7073">
              <w:rPr>
                <w:rFonts w:ascii="Arial" w:hAnsi="Arial" w:cs="Arial"/>
                <w:sz w:val="18"/>
                <w:szCs w:val="20"/>
              </w:rPr>
              <w:t xml:space="preserve"> – varies</w:t>
            </w:r>
          </w:p>
          <w:p w14:paraId="271322E4"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sz w:val="18"/>
                <w:szCs w:val="20"/>
              </w:rPr>
              <w:t>Paediatric Perioperative</w:t>
            </w:r>
            <w:r w:rsidRPr="008E7073">
              <w:rPr>
                <w:rFonts w:ascii="Arial" w:hAnsi="Arial" w:cs="Arial"/>
                <w:sz w:val="18"/>
                <w:szCs w:val="20"/>
              </w:rPr>
              <w:t xml:space="preserve"> – </w:t>
            </w:r>
            <w:r w:rsidRPr="008E7073">
              <w:rPr>
                <w:rFonts w:ascii="Arial" w:hAnsi="Arial" w:cs="Arial"/>
                <w:sz w:val="16"/>
                <w:szCs w:val="18"/>
              </w:rPr>
              <w:t>typically not assessed</w:t>
            </w:r>
          </w:p>
          <w:p w14:paraId="242E5D78"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Maternity</w:t>
            </w:r>
            <w:r w:rsidRPr="008E7073">
              <w:rPr>
                <w:rFonts w:ascii="Arial" w:hAnsi="Arial" w:cs="Arial"/>
                <w:sz w:val="18"/>
                <w:szCs w:val="20"/>
              </w:rPr>
              <w:t xml:space="preserve"> – </w:t>
            </w:r>
            <w:r w:rsidRPr="008E7073">
              <w:rPr>
                <w:rFonts w:ascii="Arial" w:hAnsi="Arial" w:cs="Arial"/>
                <w:sz w:val="16"/>
                <w:szCs w:val="18"/>
              </w:rPr>
              <w:t>typically not assessed</w:t>
            </w:r>
          </w:p>
          <w:p w14:paraId="21C499DD"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Newborn</w:t>
            </w:r>
            <w:r w:rsidRPr="008E7073">
              <w:rPr>
                <w:rFonts w:ascii="Arial" w:hAnsi="Arial" w:cs="Arial"/>
                <w:sz w:val="18"/>
                <w:szCs w:val="20"/>
              </w:rPr>
              <w:t xml:space="preserve"> – </w:t>
            </w:r>
            <w:r w:rsidRPr="008E7073">
              <w:rPr>
                <w:rFonts w:ascii="Arial" w:hAnsi="Arial" w:cs="Arial"/>
                <w:sz w:val="16"/>
                <w:szCs w:val="18"/>
              </w:rPr>
              <w:t>typically not assessed</w:t>
            </w:r>
          </w:p>
          <w:p w14:paraId="0E4F81E3" w14:textId="77777777" w:rsidR="00BF194A" w:rsidRPr="008E7073" w:rsidRDefault="00BF194A">
            <w:pPr>
              <w:pStyle w:val="PlanXXspecial-appendix4table"/>
              <w:keepNext/>
              <w:keepLines/>
              <w:rPr>
                <w:rFonts w:ascii="Arial" w:hAnsi="Arial" w:cs="Arial"/>
                <w:b/>
                <w:sz w:val="18"/>
                <w:szCs w:val="20"/>
              </w:rPr>
            </w:pPr>
            <w:r w:rsidRPr="008E7073">
              <w:rPr>
                <w:rFonts w:ascii="Arial" w:hAnsi="Arial" w:cs="Arial"/>
                <w:b/>
                <w:sz w:val="18"/>
                <w:szCs w:val="20"/>
              </w:rPr>
              <w:t xml:space="preserve">Median ICU hours delivered per annum: </w:t>
            </w:r>
            <w:r w:rsidRPr="008E7073">
              <w:rPr>
                <w:rFonts w:ascii="Arial" w:hAnsi="Arial" w:cs="Arial"/>
                <w:sz w:val="18"/>
                <w:szCs w:val="20"/>
              </w:rPr>
              <w:t>varies</w:t>
            </w:r>
          </w:p>
          <w:p w14:paraId="1B36A9B3" w14:textId="77777777" w:rsidR="00BF194A" w:rsidRPr="008E7073" w:rsidRDefault="00BF194A">
            <w:pPr>
              <w:pStyle w:val="PlanXXspecial-appendix4table"/>
              <w:keepNext/>
              <w:keepLines/>
              <w:rPr>
                <w:rFonts w:ascii="Arial" w:hAnsi="Arial" w:cs="Arial"/>
                <w:b/>
                <w:bCs/>
                <w:sz w:val="18"/>
                <w:szCs w:val="18"/>
              </w:rPr>
            </w:pPr>
            <w:r w:rsidRPr="008E7073">
              <w:rPr>
                <w:rFonts w:ascii="Arial" w:hAnsi="Arial" w:cs="Arial"/>
                <w:b/>
                <w:sz w:val="18"/>
                <w:szCs w:val="20"/>
              </w:rPr>
              <w:t xml:space="preserve">Median proportion of elective separations with NWAU&gt;4.0: </w:t>
            </w:r>
            <w:r w:rsidRPr="008E7073">
              <w:rPr>
                <w:rFonts w:ascii="Arial" w:hAnsi="Arial" w:cs="Arial"/>
                <w:sz w:val="18"/>
                <w:szCs w:val="20"/>
              </w:rPr>
              <w:t>varies</w:t>
            </w:r>
          </w:p>
          <w:p w14:paraId="1B18EF67"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bCs/>
                <w:sz w:val="18"/>
                <w:szCs w:val="18"/>
              </w:rPr>
              <w:t>Median health service site beds:</w:t>
            </w:r>
            <w:r w:rsidRPr="008E7073">
              <w:rPr>
                <w:rFonts w:ascii="Arial" w:hAnsi="Arial" w:cs="Arial"/>
                <w:sz w:val="18"/>
                <w:szCs w:val="18"/>
              </w:rPr>
              <w:t xml:space="preserve"> 100</w:t>
            </w:r>
          </w:p>
          <w:p w14:paraId="26A4FED0"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bCs/>
                <w:sz w:val="18"/>
                <w:szCs w:val="18"/>
              </w:rPr>
              <w:t>Average length of stay for overnight care:</w:t>
            </w:r>
            <w:r w:rsidRPr="008E7073">
              <w:rPr>
                <w:rFonts w:ascii="Arial" w:hAnsi="Arial" w:cs="Arial"/>
                <w:sz w:val="18"/>
                <w:szCs w:val="18"/>
              </w:rPr>
              <w:t xml:space="preserve"> 4.3 days</w:t>
            </w:r>
          </w:p>
          <w:p w14:paraId="22D0347A"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bCs/>
                <w:sz w:val="18"/>
                <w:szCs w:val="18"/>
              </w:rPr>
              <w:t>Catchment self-sufficiency for acute care:</w:t>
            </w:r>
            <w:r w:rsidRPr="008E7073">
              <w:rPr>
                <w:rFonts w:ascii="Arial" w:hAnsi="Arial" w:cs="Arial"/>
                <w:sz w:val="18"/>
                <w:szCs w:val="18"/>
              </w:rPr>
              <w:t xml:space="preserve"> Not applicable</w:t>
            </w:r>
          </w:p>
          <w:p w14:paraId="2879E7AA"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bCs/>
                <w:sz w:val="18"/>
                <w:szCs w:val="18"/>
              </w:rPr>
              <w:t>Proportion of acute bed days delivered in the home:</w:t>
            </w:r>
            <w:r w:rsidRPr="008E7073">
              <w:rPr>
                <w:rFonts w:ascii="Arial" w:hAnsi="Arial" w:cs="Arial"/>
                <w:sz w:val="18"/>
                <w:szCs w:val="18"/>
              </w:rPr>
              <w:t xml:space="preserve"> 0–11% </w:t>
            </w:r>
          </w:p>
          <w:p w14:paraId="67B93933"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bCs/>
                <w:sz w:val="18"/>
                <w:szCs w:val="18"/>
              </w:rPr>
              <w:t>Medical practitioners/specialists:</w:t>
            </w:r>
            <w:r w:rsidRPr="008E7073">
              <w:rPr>
                <w:rFonts w:ascii="Arial" w:hAnsi="Arial" w:cs="Arial"/>
                <w:sz w:val="18"/>
                <w:szCs w:val="18"/>
              </w:rPr>
              <w:t xml:space="preserve"> Directly employed</w:t>
            </w:r>
          </w:p>
        </w:tc>
      </w:tr>
      <w:tr w:rsidR="00BF194A" w:rsidRPr="008E7073" w14:paraId="5802332B" w14:textId="77777777">
        <w:trPr>
          <w:trHeight w:val="1489"/>
        </w:trPr>
        <w:tc>
          <w:tcPr>
            <w:tcW w:w="582" w:type="pct"/>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36D6DFE0" w14:textId="77777777" w:rsidR="00BF194A" w:rsidRPr="008E7073" w:rsidRDefault="00BF194A">
            <w:pPr>
              <w:keepNext/>
              <w:keepLines/>
              <w:rPr>
                <w:rFonts w:cs="Arial"/>
                <w:lang w:eastAsia="en-AU"/>
              </w:rPr>
            </w:pPr>
            <w:r w:rsidRPr="008E7073">
              <w:rPr>
                <w:rFonts w:cs="Arial"/>
                <w:noProof/>
                <w:lang w:eastAsia="en-AU"/>
              </w:rPr>
              <w:drawing>
                <wp:inline distT="0" distB="0" distL="0" distR="0" wp14:anchorId="2BEA8702" wp14:editId="14C829D3">
                  <wp:extent cx="477079" cy="477079"/>
                  <wp:effectExtent l="0" t="0" r="0" b="0"/>
                  <wp:docPr id="2129388703" name="Graphic 21293887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388703" name="Graphic 2129388703">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86216" cy="486216"/>
                          </a:xfrm>
                          <a:prstGeom prst="rect">
                            <a:avLst/>
                          </a:prstGeom>
                        </pic:spPr>
                      </pic:pic>
                    </a:graphicData>
                  </a:graphic>
                </wp:inline>
              </w:drawing>
            </w:r>
          </w:p>
        </w:tc>
        <w:tc>
          <w:tcPr>
            <w:tcW w:w="944" w:type="pct"/>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6C576DFD" w14:textId="77777777" w:rsidR="00BF194A" w:rsidRPr="008E7073" w:rsidRDefault="00BF194A">
            <w:pPr>
              <w:keepNext/>
              <w:keepLines/>
              <w:rPr>
                <w:rFonts w:cs="Arial"/>
                <w:b/>
                <w:bCs/>
                <w:color w:val="365F91" w:themeColor="accent1" w:themeShade="BF"/>
                <w:lang w:eastAsia="en-AU"/>
              </w:rPr>
            </w:pPr>
            <w:r w:rsidRPr="008E7073">
              <w:rPr>
                <w:rFonts w:cs="Arial"/>
                <w:b/>
                <w:bCs/>
                <w:color w:val="365F91" w:themeColor="accent1" w:themeShade="BF"/>
                <w:lang w:eastAsia="en-AU"/>
              </w:rPr>
              <w:t>Catchment Community</w:t>
            </w:r>
          </w:p>
        </w:tc>
        <w:tc>
          <w:tcPr>
            <w:tcW w:w="3474" w:type="pct"/>
            <w:tcBorders>
              <w:top w:val="single" w:sz="4" w:space="0" w:color="auto"/>
              <w:left w:val="nil"/>
              <w:bottom w:val="single" w:sz="4" w:space="0" w:color="auto"/>
              <w:right w:val="nil"/>
            </w:tcBorders>
            <w:tcMar>
              <w:top w:w="72" w:type="dxa"/>
              <w:left w:w="144" w:type="dxa"/>
              <w:bottom w:w="72" w:type="dxa"/>
              <w:right w:w="144" w:type="dxa"/>
            </w:tcMar>
            <w:vAlign w:val="center"/>
          </w:tcPr>
          <w:p w14:paraId="7123660A" w14:textId="77777777" w:rsidR="00BF194A" w:rsidRPr="008E7073" w:rsidRDefault="00BF194A">
            <w:pPr>
              <w:pStyle w:val="PlanXXspecial-appendix4table"/>
              <w:keepNext/>
              <w:keepLines/>
              <w:rPr>
                <w:rFonts w:ascii="Arial" w:hAnsi="Arial" w:cs="Arial"/>
                <w:b/>
                <w:sz w:val="18"/>
                <w:szCs w:val="18"/>
              </w:rPr>
            </w:pPr>
            <w:r w:rsidRPr="008E7073">
              <w:rPr>
                <w:rFonts w:ascii="Arial" w:hAnsi="Arial" w:cs="Arial"/>
                <w:b/>
                <w:sz w:val="18"/>
                <w:szCs w:val="18"/>
              </w:rPr>
              <w:t xml:space="preserve">Population Size: </w:t>
            </w:r>
            <w:r w:rsidRPr="008E7073">
              <w:rPr>
                <w:rFonts w:ascii="Arial" w:hAnsi="Arial" w:cs="Arial"/>
                <w:bCs/>
                <w:sz w:val="18"/>
                <w:szCs w:val="18"/>
              </w:rPr>
              <w:t>state-wide providers.</w:t>
            </w:r>
          </w:p>
          <w:p w14:paraId="760E7375" w14:textId="77777777" w:rsidR="00BF194A" w:rsidRPr="008E7073" w:rsidRDefault="00BF194A">
            <w:pPr>
              <w:pStyle w:val="PlanXXspecial-appendix4table"/>
              <w:keepNext/>
              <w:keepLines/>
              <w:rPr>
                <w:rFonts w:ascii="Arial" w:hAnsi="Arial" w:cs="Arial"/>
                <w:b/>
                <w:sz w:val="18"/>
                <w:szCs w:val="18"/>
              </w:rPr>
            </w:pPr>
            <w:r w:rsidRPr="008E7073">
              <w:rPr>
                <w:rFonts w:ascii="Arial" w:hAnsi="Arial" w:cs="Arial"/>
                <w:b/>
                <w:sz w:val="18"/>
                <w:szCs w:val="18"/>
              </w:rPr>
              <w:t xml:space="preserve">Age distribution: </w:t>
            </w:r>
            <w:r w:rsidRPr="008E7073">
              <w:rPr>
                <w:rFonts w:ascii="Arial" w:hAnsi="Arial" w:cs="Arial"/>
                <w:bCs/>
                <w:sz w:val="18"/>
                <w:szCs w:val="18"/>
              </w:rPr>
              <w:t>varies.</w:t>
            </w:r>
          </w:p>
          <w:p w14:paraId="23704A04" w14:textId="77777777" w:rsidR="00BF194A" w:rsidRPr="008E7073" w:rsidRDefault="00BF194A">
            <w:pPr>
              <w:pStyle w:val="PlanXXspecial-appendix4table"/>
              <w:keepNext/>
              <w:keepLines/>
              <w:rPr>
                <w:rFonts w:ascii="Arial" w:hAnsi="Arial" w:cs="Arial"/>
                <w:b/>
                <w:sz w:val="18"/>
                <w:szCs w:val="18"/>
              </w:rPr>
            </w:pPr>
            <w:r w:rsidRPr="008E7073">
              <w:rPr>
                <w:rFonts w:ascii="Arial" w:hAnsi="Arial" w:cs="Arial"/>
                <w:b/>
                <w:sz w:val="18"/>
                <w:szCs w:val="18"/>
              </w:rPr>
              <w:t xml:space="preserve">Location: </w:t>
            </w:r>
            <w:r w:rsidRPr="008E7073">
              <w:rPr>
                <w:rFonts w:ascii="Arial" w:hAnsi="Arial" w:cs="Arial"/>
                <w:bCs/>
                <w:sz w:val="18"/>
                <w:szCs w:val="18"/>
              </w:rPr>
              <w:t>Metropolitan Melbourne.</w:t>
            </w:r>
          </w:p>
          <w:p w14:paraId="25D42E55"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sz w:val="18"/>
                <w:szCs w:val="18"/>
              </w:rPr>
              <w:t xml:space="preserve">Avg. travel distance: </w:t>
            </w:r>
            <w:r w:rsidRPr="008E7073">
              <w:rPr>
                <w:rFonts w:ascii="Arial" w:hAnsi="Arial" w:cs="Arial"/>
                <w:bCs/>
                <w:sz w:val="18"/>
                <w:szCs w:val="18"/>
              </w:rPr>
              <w:t>Not applicable</w:t>
            </w:r>
          </w:p>
        </w:tc>
      </w:tr>
    </w:tbl>
    <w:p w14:paraId="6771CC9D" w14:textId="77777777" w:rsidR="00BF194A" w:rsidRPr="008E7073" w:rsidRDefault="00BF194A" w:rsidP="00BF194A">
      <w:pPr>
        <w:pStyle w:val="Body"/>
        <w:keepNext/>
        <w:keepLines/>
        <w:rPr>
          <w:rFonts w:cs="Arial"/>
          <w:i/>
          <w:iCs/>
          <w:sz w:val="16"/>
          <w:szCs w:val="16"/>
        </w:rPr>
      </w:pPr>
      <w:r w:rsidRPr="008E7073">
        <w:rPr>
          <w:rFonts w:eastAsia="Times New Roman" w:cs="Arial"/>
          <w:i/>
          <w:iCs/>
          <w:sz w:val="16"/>
          <w:szCs w:val="16"/>
        </w:rPr>
        <w:t xml:space="preserve">* Excludes sub-acute and mental health admitted activity; </w:t>
      </w:r>
      <w:r w:rsidRPr="008E7073">
        <w:rPr>
          <w:rFonts w:cs="Arial"/>
          <w:i/>
          <w:iCs/>
          <w:sz w:val="16"/>
          <w:szCs w:val="16"/>
          <w:vertAlign w:val="superscript"/>
        </w:rPr>
        <w:t>ⱡ</w:t>
      </w:r>
      <w:r w:rsidRPr="008E7073">
        <w:rPr>
          <w:rFonts w:cs="Arial"/>
          <w:i/>
          <w:iCs/>
          <w:sz w:val="16"/>
          <w:szCs w:val="16"/>
        </w:rPr>
        <w:t>Median values are rounded to nearest 100</w:t>
      </w:r>
    </w:p>
    <w:p w14:paraId="13C394A1" w14:textId="77777777" w:rsidR="00BF194A" w:rsidRPr="008E7073" w:rsidRDefault="00BF194A" w:rsidP="00BF194A">
      <w:pPr>
        <w:pStyle w:val="Caption"/>
        <w:rPr>
          <w:rFonts w:cs="Arial"/>
        </w:rPr>
      </w:pPr>
    </w:p>
    <w:p w14:paraId="5129A60D" w14:textId="77777777" w:rsidR="00BF194A" w:rsidRPr="008E7073" w:rsidRDefault="00BF194A" w:rsidP="00BF194A">
      <w:pPr>
        <w:pStyle w:val="Caption"/>
        <w:keepNext/>
        <w:keepLines/>
        <w:rPr>
          <w:rFonts w:cs="Arial"/>
        </w:rPr>
      </w:pPr>
      <w:r w:rsidRPr="008E7073">
        <w:rPr>
          <w:rFonts w:cs="Arial"/>
        </w:rPr>
        <w:lastRenderedPageBreak/>
        <w:t xml:space="preserve">Table </w:t>
      </w:r>
      <w:r w:rsidRPr="008E7073">
        <w:rPr>
          <w:rFonts w:cs="Arial"/>
        </w:rPr>
        <w:fldChar w:fldCharType="begin"/>
      </w:r>
      <w:r w:rsidRPr="008E7073">
        <w:rPr>
          <w:rFonts w:cs="Arial"/>
        </w:rPr>
        <w:instrText xml:space="preserve"> SEQ Table \* ARABIC </w:instrText>
      </w:r>
      <w:r w:rsidRPr="008E7073">
        <w:rPr>
          <w:rFonts w:cs="Arial"/>
        </w:rPr>
        <w:fldChar w:fldCharType="separate"/>
      </w:r>
      <w:r w:rsidRPr="008E7073">
        <w:rPr>
          <w:rFonts w:cs="Arial"/>
          <w:noProof/>
        </w:rPr>
        <w:t>11</w:t>
      </w:r>
      <w:r w:rsidRPr="008E7073">
        <w:rPr>
          <w:rFonts w:cs="Arial"/>
        </w:rPr>
        <w:fldChar w:fldCharType="end"/>
      </w:r>
      <w:r w:rsidRPr="008E7073">
        <w:rPr>
          <w:rFonts w:cs="Arial"/>
        </w:rPr>
        <w:t>. Sub-acute Hospitals site characteristics</w:t>
      </w:r>
    </w:p>
    <w:tbl>
      <w:tblPr>
        <w:tblW w:w="5000" w:type="pct"/>
        <w:tblCellMar>
          <w:left w:w="0" w:type="dxa"/>
          <w:right w:w="0" w:type="dxa"/>
        </w:tblCellMar>
        <w:tblLook w:val="0420" w:firstRow="1" w:lastRow="0" w:firstColumn="0" w:lastColumn="0" w:noHBand="0" w:noVBand="1"/>
      </w:tblPr>
      <w:tblGrid>
        <w:gridCol w:w="1083"/>
        <w:gridCol w:w="1755"/>
        <w:gridCol w:w="6460"/>
      </w:tblGrid>
      <w:tr w:rsidR="00BF194A" w:rsidRPr="008E7073" w14:paraId="74ACFC40" w14:textId="77777777">
        <w:trPr>
          <w:trHeight w:val="234"/>
          <w:tblHeader/>
        </w:trPr>
        <w:tc>
          <w:tcPr>
            <w:tcW w:w="5000" w:type="pct"/>
            <w:gridSpan w:val="3"/>
            <w:tcBorders>
              <w:top w:val="single" w:sz="18" w:space="0" w:color="000000" w:themeColor="text1"/>
              <w:left w:val="nil"/>
              <w:bottom w:val="single" w:sz="18" w:space="0" w:color="000000" w:themeColor="text1"/>
              <w:right w:val="nil"/>
            </w:tcBorders>
            <w:shd w:val="clear" w:color="auto" w:fill="F2F2F2" w:themeFill="background1" w:themeFillShade="F2"/>
            <w:tcMar>
              <w:top w:w="72" w:type="dxa"/>
              <w:left w:w="144" w:type="dxa"/>
              <w:bottom w:w="72" w:type="dxa"/>
              <w:right w:w="144" w:type="dxa"/>
            </w:tcMar>
            <w:hideMark/>
          </w:tcPr>
          <w:p w14:paraId="45D41817" w14:textId="77777777" w:rsidR="00BF194A" w:rsidRPr="008E7073" w:rsidRDefault="00BF194A">
            <w:pPr>
              <w:keepNext/>
              <w:keepLines/>
              <w:rPr>
                <w:rFonts w:cs="Arial"/>
                <w:b/>
                <w:lang w:eastAsia="en-AU"/>
              </w:rPr>
            </w:pPr>
            <w:r w:rsidRPr="008E7073">
              <w:rPr>
                <w:rFonts w:cs="Arial"/>
                <w:b/>
                <w:lang w:eastAsia="en-AU"/>
              </w:rPr>
              <w:t>Description – Sub-Acute Hospital Sites</w:t>
            </w:r>
          </w:p>
        </w:tc>
      </w:tr>
      <w:tr w:rsidR="00BF194A" w:rsidRPr="008E7073" w14:paraId="0241DB37" w14:textId="77777777">
        <w:trPr>
          <w:trHeight w:val="1246"/>
        </w:trPr>
        <w:tc>
          <w:tcPr>
            <w:tcW w:w="582" w:type="pct"/>
            <w:tcBorders>
              <w:top w:val="single" w:sz="18" w:space="0" w:color="000000" w:themeColor="text1"/>
              <w:left w:val="nil"/>
              <w:bottom w:val="single" w:sz="4" w:space="0" w:color="auto"/>
              <w:right w:val="nil"/>
            </w:tcBorders>
            <w:tcMar>
              <w:top w:w="72" w:type="dxa"/>
              <w:left w:w="144" w:type="dxa"/>
              <w:bottom w:w="72" w:type="dxa"/>
              <w:right w:w="144" w:type="dxa"/>
            </w:tcMar>
            <w:vAlign w:val="center"/>
            <w:hideMark/>
          </w:tcPr>
          <w:p w14:paraId="2B56118C" w14:textId="77777777" w:rsidR="00BF194A" w:rsidRPr="008E7073" w:rsidRDefault="00BF194A">
            <w:pPr>
              <w:keepNext/>
              <w:keepLines/>
              <w:rPr>
                <w:rFonts w:cs="Arial"/>
                <w:lang w:eastAsia="en-AU"/>
              </w:rPr>
            </w:pPr>
            <w:r w:rsidRPr="008E7073">
              <w:rPr>
                <w:rFonts w:cs="Arial"/>
                <w:noProof/>
                <w:lang w:eastAsia="en-AU"/>
              </w:rPr>
              <w:drawing>
                <wp:inline distT="0" distB="0" distL="0" distR="0" wp14:anchorId="396B3B3B" wp14:editId="5DF951CD">
                  <wp:extent cx="485775" cy="485775"/>
                  <wp:effectExtent l="0" t="0" r="9525" b="0"/>
                  <wp:docPr id="1355302956" name="Graphic 1355302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02956" name="Graphic 1355302956">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5775" cy="485775"/>
                          </a:xfrm>
                          <a:prstGeom prst="rect">
                            <a:avLst/>
                          </a:prstGeom>
                        </pic:spPr>
                      </pic:pic>
                    </a:graphicData>
                  </a:graphic>
                </wp:inline>
              </w:drawing>
            </w:r>
          </w:p>
        </w:tc>
        <w:tc>
          <w:tcPr>
            <w:tcW w:w="944" w:type="pct"/>
            <w:tcBorders>
              <w:top w:val="single" w:sz="18" w:space="0" w:color="000000" w:themeColor="text1"/>
              <w:left w:val="nil"/>
              <w:bottom w:val="single" w:sz="4" w:space="0" w:color="auto"/>
              <w:right w:val="nil"/>
            </w:tcBorders>
            <w:tcMar>
              <w:top w:w="72" w:type="dxa"/>
              <w:left w:w="144" w:type="dxa"/>
              <w:bottom w:w="72" w:type="dxa"/>
              <w:right w:w="144" w:type="dxa"/>
            </w:tcMar>
            <w:vAlign w:val="center"/>
            <w:hideMark/>
          </w:tcPr>
          <w:p w14:paraId="1FEBE9B9" w14:textId="77777777" w:rsidR="00BF194A" w:rsidRPr="008E7073" w:rsidRDefault="00BF194A">
            <w:pPr>
              <w:keepNext/>
              <w:keepLines/>
              <w:rPr>
                <w:rFonts w:cs="Arial"/>
                <w:b/>
                <w:bCs/>
                <w:color w:val="365F91" w:themeColor="accent1" w:themeShade="BF"/>
                <w:lang w:eastAsia="en-AU"/>
              </w:rPr>
            </w:pPr>
            <w:r w:rsidRPr="008E7073">
              <w:rPr>
                <w:rFonts w:cs="Arial"/>
                <w:b/>
                <w:bCs/>
                <w:color w:val="365F91" w:themeColor="accent1" w:themeShade="BF"/>
                <w:lang w:eastAsia="en-AU"/>
              </w:rPr>
              <w:t>Service Profile</w:t>
            </w:r>
          </w:p>
        </w:tc>
        <w:tc>
          <w:tcPr>
            <w:tcW w:w="3474" w:type="pct"/>
            <w:tcBorders>
              <w:top w:val="single" w:sz="18" w:space="0" w:color="000000" w:themeColor="text1"/>
              <w:left w:val="nil"/>
              <w:bottom w:val="single" w:sz="4" w:space="0" w:color="auto"/>
              <w:right w:val="nil"/>
            </w:tcBorders>
            <w:tcMar>
              <w:top w:w="72" w:type="dxa"/>
              <w:left w:w="144" w:type="dxa"/>
              <w:bottom w:w="72" w:type="dxa"/>
              <w:right w:w="144" w:type="dxa"/>
            </w:tcMar>
            <w:vAlign w:val="center"/>
          </w:tcPr>
          <w:p w14:paraId="38722B16" w14:textId="77777777" w:rsidR="00BF194A" w:rsidRPr="008E7073" w:rsidRDefault="00BF194A">
            <w:pPr>
              <w:pStyle w:val="PlanXXSpecial-Appendix4figuredots"/>
              <w:keepNext/>
              <w:keepLines/>
              <w:rPr>
                <w:rFonts w:ascii="Arial" w:hAnsi="Arial" w:cs="Arial"/>
                <w:sz w:val="18"/>
                <w:szCs w:val="18"/>
              </w:rPr>
            </w:pPr>
            <w:r w:rsidRPr="008E7073">
              <w:rPr>
                <w:rFonts w:ascii="Arial" w:hAnsi="Arial" w:cs="Arial"/>
                <w:sz w:val="18"/>
                <w:szCs w:val="18"/>
              </w:rPr>
              <w:t>Inpatient and outpatient rehabilitation, geriatric evaluation and management</w:t>
            </w:r>
          </w:p>
          <w:p w14:paraId="0EEBAC68" w14:textId="77777777" w:rsidR="00BF194A" w:rsidRPr="008E7073" w:rsidRDefault="00BF194A">
            <w:pPr>
              <w:pStyle w:val="PlanXXSpecial-Appendix4figuredots"/>
              <w:keepNext/>
              <w:keepLines/>
              <w:rPr>
                <w:rFonts w:ascii="Arial" w:hAnsi="Arial" w:cs="Arial"/>
              </w:rPr>
            </w:pPr>
            <w:r w:rsidRPr="008E7073">
              <w:rPr>
                <w:rFonts w:ascii="Arial" w:hAnsi="Arial" w:cs="Arial"/>
                <w:sz w:val="18"/>
                <w:szCs w:val="18"/>
              </w:rPr>
              <w:t>May provide some acute services such as low complexity medical and surgical care and maintenance dialysis, With the exclusion of maintenance dialysis over 70% of patient days are sub-acute days and over 50% of separations are sub-acute separations</w:t>
            </w:r>
          </w:p>
        </w:tc>
      </w:tr>
      <w:tr w:rsidR="00BF194A" w:rsidRPr="008E7073" w14:paraId="31739B21" w14:textId="77777777">
        <w:trPr>
          <w:trHeight w:val="1262"/>
        </w:trPr>
        <w:tc>
          <w:tcPr>
            <w:tcW w:w="582" w:type="pct"/>
            <w:tcBorders>
              <w:top w:val="single" w:sz="4" w:space="0" w:color="auto"/>
              <w:left w:val="nil"/>
              <w:bottom w:val="single" w:sz="4" w:space="0" w:color="auto"/>
              <w:right w:val="nil"/>
            </w:tcBorders>
            <w:tcMar>
              <w:top w:w="72" w:type="dxa"/>
              <w:left w:w="144" w:type="dxa"/>
              <w:bottom w:w="72" w:type="dxa"/>
              <w:right w:w="144" w:type="dxa"/>
            </w:tcMar>
            <w:vAlign w:val="center"/>
          </w:tcPr>
          <w:p w14:paraId="338380C2" w14:textId="77777777" w:rsidR="00BF194A" w:rsidRPr="008E7073" w:rsidRDefault="00BF194A">
            <w:pPr>
              <w:keepNext/>
              <w:keepLines/>
              <w:rPr>
                <w:rFonts w:cs="Arial"/>
                <w:noProof/>
                <w:lang w:eastAsia="en-AU"/>
              </w:rPr>
            </w:pPr>
            <w:r w:rsidRPr="008E7073">
              <w:rPr>
                <w:rFonts w:cs="Arial"/>
                <w:noProof/>
                <w:color w:val="365F91" w:themeColor="accent1" w:themeShade="BF"/>
                <w:lang w:eastAsia="en-AU"/>
              </w:rPr>
              <w:drawing>
                <wp:inline distT="0" distB="0" distL="0" distR="0" wp14:anchorId="6FC2664E" wp14:editId="40C4109F">
                  <wp:extent cx="475488" cy="475488"/>
                  <wp:effectExtent l="0" t="0" r="0" b="1270"/>
                  <wp:docPr id="2025061386"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061386" name="Graphic 2">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480114" cy="480114"/>
                          </a:xfrm>
                          <a:prstGeom prst="rect">
                            <a:avLst/>
                          </a:prstGeom>
                        </pic:spPr>
                      </pic:pic>
                    </a:graphicData>
                  </a:graphic>
                </wp:inline>
              </w:drawing>
            </w:r>
          </w:p>
        </w:tc>
        <w:tc>
          <w:tcPr>
            <w:tcW w:w="944" w:type="pct"/>
            <w:tcBorders>
              <w:top w:val="single" w:sz="4" w:space="0" w:color="auto"/>
              <w:left w:val="nil"/>
              <w:bottom w:val="single" w:sz="4" w:space="0" w:color="auto"/>
              <w:right w:val="nil"/>
            </w:tcBorders>
            <w:tcMar>
              <w:top w:w="72" w:type="dxa"/>
              <w:left w:w="144" w:type="dxa"/>
              <w:bottom w:w="72" w:type="dxa"/>
              <w:right w:w="144" w:type="dxa"/>
            </w:tcMar>
            <w:vAlign w:val="center"/>
          </w:tcPr>
          <w:p w14:paraId="56EF59A9" w14:textId="77777777" w:rsidR="00BF194A" w:rsidRPr="008E7073" w:rsidRDefault="00BF194A">
            <w:pPr>
              <w:keepNext/>
              <w:keepLines/>
              <w:rPr>
                <w:rFonts w:cs="Arial"/>
                <w:b/>
                <w:bCs/>
                <w:color w:val="365F91" w:themeColor="accent1" w:themeShade="BF"/>
                <w:lang w:eastAsia="en-AU"/>
              </w:rPr>
            </w:pPr>
            <w:r w:rsidRPr="008E7073">
              <w:rPr>
                <w:rFonts w:cs="Arial"/>
                <w:b/>
                <w:bCs/>
                <w:color w:val="365F91" w:themeColor="accent1" w:themeShade="BF"/>
                <w:lang w:eastAsia="en-AU"/>
              </w:rPr>
              <w:t>Primary &amp; Aged Care</w:t>
            </w:r>
          </w:p>
        </w:tc>
        <w:tc>
          <w:tcPr>
            <w:tcW w:w="3474" w:type="pct"/>
            <w:tcBorders>
              <w:top w:val="single" w:sz="4" w:space="0" w:color="auto"/>
              <w:left w:val="nil"/>
              <w:bottom w:val="single" w:sz="4" w:space="0" w:color="auto"/>
              <w:right w:val="nil"/>
            </w:tcBorders>
            <w:tcMar>
              <w:top w:w="72" w:type="dxa"/>
              <w:left w:w="144" w:type="dxa"/>
              <w:bottom w:w="72" w:type="dxa"/>
              <w:right w:w="144" w:type="dxa"/>
            </w:tcMar>
            <w:vAlign w:val="center"/>
          </w:tcPr>
          <w:p w14:paraId="374F884E" w14:textId="77777777" w:rsidR="00BF194A" w:rsidRPr="008E7073" w:rsidRDefault="00BF194A">
            <w:pPr>
              <w:pStyle w:val="Body"/>
              <w:keepNext/>
              <w:keepLines/>
              <w:rPr>
                <w:rFonts w:cs="Arial"/>
                <w:sz w:val="18"/>
                <w:szCs w:val="18"/>
              </w:rPr>
            </w:pPr>
            <w:r w:rsidRPr="008E7073">
              <w:rPr>
                <w:rFonts w:cs="Arial"/>
                <w:b/>
                <w:bCs/>
                <w:sz w:val="18"/>
                <w:szCs w:val="18"/>
              </w:rPr>
              <w:t>Public Sector Residential Aged Care places:</w:t>
            </w:r>
            <w:r w:rsidRPr="008E7073">
              <w:rPr>
                <w:rFonts w:cs="Arial"/>
                <w:sz w:val="18"/>
                <w:szCs w:val="18"/>
              </w:rPr>
              <w:t xml:space="preserve"> May be collocated with some subacute services</w:t>
            </w:r>
          </w:p>
          <w:p w14:paraId="012CDEFF" w14:textId="77777777" w:rsidR="00BF194A" w:rsidRPr="008E7073" w:rsidRDefault="00BF194A">
            <w:pPr>
              <w:pStyle w:val="Body"/>
              <w:keepNext/>
              <w:keepLines/>
              <w:rPr>
                <w:rFonts w:cs="Arial"/>
                <w:sz w:val="18"/>
                <w:szCs w:val="18"/>
              </w:rPr>
            </w:pPr>
            <w:r w:rsidRPr="008E7073">
              <w:rPr>
                <w:rFonts w:cs="Arial"/>
                <w:b/>
                <w:bCs/>
                <w:sz w:val="18"/>
                <w:szCs w:val="18"/>
              </w:rPr>
              <w:t>Primary health services:</w:t>
            </w:r>
            <w:r w:rsidRPr="008E7073">
              <w:rPr>
                <w:rFonts w:cs="Arial"/>
                <w:sz w:val="18"/>
                <w:szCs w:val="18"/>
              </w:rPr>
              <w:t xml:space="preserve"> Specialist facilities may be co-located with registered community health service organisations. </w:t>
            </w:r>
          </w:p>
        </w:tc>
      </w:tr>
      <w:tr w:rsidR="00BF194A" w:rsidRPr="008E7073" w14:paraId="5BD8CBC1" w14:textId="77777777">
        <w:trPr>
          <w:trHeight w:val="1262"/>
        </w:trPr>
        <w:tc>
          <w:tcPr>
            <w:tcW w:w="582" w:type="pct"/>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3B130733" w14:textId="77777777" w:rsidR="00BF194A" w:rsidRPr="008E7073" w:rsidRDefault="00BF194A">
            <w:pPr>
              <w:keepNext/>
              <w:keepLines/>
              <w:rPr>
                <w:rFonts w:cs="Arial"/>
                <w:lang w:eastAsia="en-AU"/>
              </w:rPr>
            </w:pPr>
            <w:r w:rsidRPr="008E7073">
              <w:rPr>
                <w:rFonts w:cs="Arial"/>
                <w:noProof/>
                <w:lang w:eastAsia="en-AU"/>
              </w:rPr>
              <w:drawing>
                <wp:inline distT="0" distB="0" distL="0" distR="0" wp14:anchorId="7A57DAD4" wp14:editId="3CBE73DC">
                  <wp:extent cx="466725" cy="466725"/>
                  <wp:effectExtent l="0" t="0" r="9525" b="0"/>
                  <wp:docPr id="1535489964"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489964" name="Graphic 3">
                            <a:extLst>
                              <a:ext uri="{C183D7F6-B498-43B3-948B-1728B52AA6E4}">
                                <adec:decorative xmlns:adec="http://schemas.microsoft.com/office/drawing/2017/decorative" val="1"/>
                              </a:ext>
                            </a:extLst>
                          </pic:cNvPr>
                          <pic:cNvPicPr/>
                        </pic:nvPicPr>
                        <pic:blipFill>
                          <a:blip r:embed="rId25">
                            <a:extLst>
                              <a:ext uri="{96DAC541-7B7A-43D3-8B79-37D633B846F1}">
                                <asvg:svgBlip xmlns:asvg="http://schemas.microsoft.com/office/drawing/2016/SVG/main" r:embed="rId26"/>
                              </a:ext>
                            </a:extLst>
                          </a:blip>
                          <a:stretch>
                            <a:fillRect/>
                          </a:stretch>
                        </pic:blipFill>
                        <pic:spPr>
                          <a:xfrm>
                            <a:off x="0" y="0"/>
                            <a:ext cx="466725" cy="466725"/>
                          </a:xfrm>
                          <a:prstGeom prst="rect">
                            <a:avLst/>
                          </a:prstGeom>
                        </pic:spPr>
                      </pic:pic>
                    </a:graphicData>
                  </a:graphic>
                </wp:inline>
              </w:drawing>
            </w:r>
          </w:p>
        </w:tc>
        <w:tc>
          <w:tcPr>
            <w:tcW w:w="944" w:type="pct"/>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6407F612" w14:textId="77777777" w:rsidR="00BF194A" w:rsidRPr="008E7073" w:rsidRDefault="00BF194A">
            <w:pPr>
              <w:keepNext/>
              <w:keepLines/>
              <w:rPr>
                <w:rFonts w:cs="Arial"/>
                <w:b/>
                <w:bCs/>
                <w:color w:val="365F91" w:themeColor="accent1" w:themeShade="BF"/>
                <w:lang w:eastAsia="en-AU"/>
              </w:rPr>
            </w:pPr>
            <w:r w:rsidRPr="008E7073">
              <w:rPr>
                <w:rFonts w:cs="Arial"/>
                <w:b/>
                <w:bCs/>
                <w:color w:val="365F91" w:themeColor="accent1" w:themeShade="BF"/>
                <w:lang w:eastAsia="en-AU"/>
              </w:rPr>
              <w:t>Sub-Acute Care*</w:t>
            </w:r>
          </w:p>
        </w:tc>
        <w:tc>
          <w:tcPr>
            <w:tcW w:w="3474" w:type="pct"/>
            <w:tcBorders>
              <w:top w:val="single" w:sz="4" w:space="0" w:color="auto"/>
              <w:left w:val="nil"/>
              <w:bottom w:val="single" w:sz="4" w:space="0" w:color="auto"/>
              <w:right w:val="nil"/>
            </w:tcBorders>
            <w:tcMar>
              <w:top w:w="72" w:type="dxa"/>
              <w:left w:w="144" w:type="dxa"/>
              <w:bottom w:w="72" w:type="dxa"/>
              <w:right w:w="144" w:type="dxa"/>
            </w:tcMar>
            <w:vAlign w:val="center"/>
          </w:tcPr>
          <w:p w14:paraId="2077FE16"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sz w:val="18"/>
                <w:szCs w:val="20"/>
              </w:rPr>
              <w:t>Median</w:t>
            </w:r>
            <w:r w:rsidRPr="008E7073">
              <w:rPr>
                <w:rFonts w:ascii="Arial" w:hAnsi="Arial" w:cs="Arial"/>
                <w:b/>
                <w:sz w:val="18"/>
                <w:szCs w:val="20"/>
                <w:vertAlign w:val="superscript"/>
              </w:rPr>
              <w:t>ⱡ</w:t>
            </w:r>
            <w:r w:rsidRPr="008E7073">
              <w:rPr>
                <w:rFonts w:ascii="Arial" w:hAnsi="Arial" w:cs="Arial"/>
                <w:b/>
                <w:sz w:val="18"/>
                <w:szCs w:val="20"/>
              </w:rPr>
              <w:t xml:space="preserve"> </w:t>
            </w:r>
            <w:r w:rsidRPr="008E7073">
              <w:rPr>
                <w:rFonts w:ascii="Arial" w:hAnsi="Arial" w:cs="Arial"/>
                <w:b/>
                <w:bCs/>
                <w:sz w:val="18"/>
                <w:szCs w:val="20"/>
              </w:rPr>
              <w:t>sub-</w:t>
            </w:r>
            <w:r w:rsidRPr="008E7073">
              <w:rPr>
                <w:rFonts w:ascii="Arial" w:hAnsi="Arial" w:cs="Arial"/>
                <w:b/>
                <w:sz w:val="18"/>
                <w:szCs w:val="20"/>
              </w:rPr>
              <w:t>acute separations*:</w:t>
            </w:r>
            <w:r w:rsidRPr="008E7073">
              <w:rPr>
                <w:rFonts w:ascii="Arial" w:hAnsi="Arial" w:cs="Arial"/>
                <w:sz w:val="18"/>
                <w:szCs w:val="20"/>
              </w:rPr>
              <w:t xml:space="preserve"> 1,300</w:t>
            </w:r>
          </w:p>
          <w:p w14:paraId="365B5AE6"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sz w:val="18"/>
                <w:szCs w:val="20"/>
              </w:rPr>
              <w:t>Median</w:t>
            </w:r>
            <w:r w:rsidRPr="008E7073">
              <w:rPr>
                <w:rFonts w:ascii="Arial" w:hAnsi="Arial" w:cs="Arial"/>
                <w:b/>
                <w:sz w:val="18"/>
                <w:szCs w:val="20"/>
                <w:vertAlign w:val="superscript"/>
              </w:rPr>
              <w:t>ⱡ</w:t>
            </w:r>
            <w:r w:rsidRPr="008E7073">
              <w:rPr>
                <w:rFonts w:ascii="Arial" w:hAnsi="Arial" w:cs="Arial"/>
                <w:b/>
                <w:sz w:val="18"/>
                <w:szCs w:val="20"/>
              </w:rPr>
              <w:t xml:space="preserve"> urgent &amp; emergency care presentations: </w:t>
            </w:r>
            <w:r w:rsidRPr="008E7073">
              <w:rPr>
                <w:rFonts w:ascii="Arial" w:hAnsi="Arial" w:cs="Arial"/>
                <w:sz w:val="18"/>
                <w:szCs w:val="20"/>
              </w:rPr>
              <w:t>Not applicable</w:t>
            </w:r>
          </w:p>
          <w:p w14:paraId="69BAF947"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sz w:val="18"/>
                <w:szCs w:val="20"/>
              </w:rPr>
              <w:t xml:space="preserve">Median Diagnostic Related Groups (&gt;5 seps): </w:t>
            </w:r>
            <w:r w:rsidRPr="008E7073">
              <w:rPr>
                <w:rFonts w:ascii="Arial" w:hAnsi="Arial" w:cs="Arial"/>
                <w:sz w:val="18"/>
                <w:szCs w:val="20"/>
              </w:rPr>
              <w:t>56</w:t>
            </w:r>
          </w:p>
          <w:p w14:paraId="44F9FCD2" w14:textId="77777777" w:rsidR="00BF194A" w:rsidRPr="008E7073" w:rsidRDefault="00BF194A">
            <w:pPr>
              <w:pStyle w:val="PlanXXspecial-appendix4table"/>
              <w:keepNext/>
              <w:keepLines/>
              <w:rPr>
                <w:rFonts w:ascii="Arial" w:hAnsi="Arial" w:cs="Arial"/>
                <w:b/>
                <w:sz w:val="18"/>
                <w:szCs w:val="20"/>
              </w:rPr>
            </w:pPr>
            <w:r w:rsidRPr="008E7073">
              <w:rPr>
                <w:rFonts w:ascii="Arial" w:hAnsi="Arial" w:cs="Arial"/>
                <w:b/>
                <w:sz w:val="18"/>
                <w:szCs w:val="20"/>
              </w:rPr>
              <w:t>Median Clinical Capability Levels:</w:t>
            </w:r>
          </w:p>
          <w:p w14:paraId="4564F0EF"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sz w:val="18"/>
                <w:szCs w:val="20"/>
              </w:rPr>
              <w:t>Adult Perioperative</w:t>
            </w:r>
            <w:r w:rsidRPr="008E7073">
              <w:rPr>
                <w:rFonts w:ascii="Arial" w:hAnsi="Arial" w:cs="Arial"/>
                <w:sz w:val="18"/>
                <w:szCs w:val="20"/>
              </w:rPr>
              <w:t xml:space="preserve"> – Typically not assessed</w:t>
            </w:r>
          </w:p>
          <w:p w14:paraId="4C7BE933"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sz w:val="18"/>
                <w:szCs w:val="20"/>
              </w:rPr>
              <w:t>Paediatric Perioperative</w:t>
            </w:r>
            <w:r w:rsidRPr="008E7073">
              <w:rPr>
                <w:rFonts w:ascii="Arial" w:hAnsi="Arial" w:cs="Arial"/>
                <w:sz w:val="18"/>
                <w:szCs w:val="20"/>
              </w:rPr>
              <w:t xml:space="preserve"> – Typically not assessed</w:t>
            </w:r>
          </w:p>
          <w:p w14:paraId="48AE2457"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Maternity</w:t>
            </w:r>
            <w:r w:rsidRPr="008E7073">
              <w:rPr>
                <w:rFonts w:ascii="Arial" w:hAnsi="Arial" w:cs="Arial"/>
                <w:sz w:val="18"/>
                <w:szCs w:val="20"/>
              </w:rPr>
              <w:t xml:space="preserve"> – Typically not assessed</w:t>
            </w:r>
          </w:p>
          <w:p w14:paraId="5BB4FD23"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Newborn</w:t>
            </w:r>
            <w:r w:rsidRPr="008E7073">
              <w:rPr>
                <w:rFonts w:ascii="Arial" w:hAnsi="Arial" w:cs="Arial"/>
                <w:sz w:val="18"/>
                <w:szCs w:val="20"/>
              </w:rPr>
              <w:t xml:space="preserve"> – Typically not assessed</w:t>
            </w:r>
          </w:p>
          <w:p w14:paraId="49601842" w14:textId="77777777" w:rsidR="00BF194A" w:rsidRPr="008E7073" w:rsidRDefault="00BF194A">
            <w:pPr>
              <w:pStyle w:val="PlanXXspecial-appendix4table"/>
              <w:keepNext/>
              <w:keepLines/>
              <w:rPr>
                <w:rFonts w:ascii="Arial" w:hAnsi="Arial" w:cs="Arial"/>
                <w:b/>
                <w:sz w:val="18"/>
                <w:szCs w:val="20"/>
              </w:rPr>
            </w:pPr>
            <w:r w:rsidRPr="008E7073">
              <w:rPr>
                <w:rFonts w:ascii="Arial" w:hAnsi="Arial" w:cs="Arial"/>
                <w:b/>
                <w:sz w:val="18"/>
                <w:szCs w:val="20"/>
              </w:rPr>
              <w:t xml:space="preserve">Median ICU hours delivered per annum: </w:t>
            </w:r>
            <w:r w:rsidRPr="008E7073">
              <w:rPr>
                <w:rFonts w:ascii="Arial" w:hAnsi="Arial" w:cs="Arial"/>
                <w:sz w:val="18"/>
                <w:szCs w:val="20"/>
              </w:rPr>
              <w:t>Not applicable</w:t>
            </w:r>
          </w:p>
          <w:p w14:paraId="068F6F13" w14:textId="77777777" w:rsidR="00BF194A" w:rsidRPr="008E7073" w:rsidRDefault="00BF194A">
            <w:pPr>
              <w:pStyle w:val="PlanXXspecial-appendix4table"/>
              <w:keepNext/>
              <w:keepLines/>
              <w:rPr>
                <w:rFonts w:ascii="Arial" w:hAnsi="Arial" w:cs="Arial"/>
                <w:b/>
                <w:bCs/>
                <w:sz w:val="18"/>
                <w:szCs w:val="18"/>
              </w:rPr>
            </w:pPr>
            <w:r w:rsidRPr="008E7073">
              <w:rPr>
                <w:rFonts w:ascii="Arial" w:hAnsi="Arial" w:cs="Arial"/>
                <w:b/>
                <w:sz w:val="18"/>
                <w:szCs w:val="20"/>
              </w:rPr>
              <w:t xml:space="preserve">Median proportion of elective seps with NWAU&gt;4.0: </w:t>
            </w:r>
            <w:r w:rsidRPr="008E7073">
              <w:rPr>
                <w:rFonts w:ascii="Arial" w:hAnsi="Arial" w:cs="Arial"/>
                <w:sz w:val="18"/>
                <w:szCs w:val="20"/>
              </w:rPr>
              <w:t>variable</w:t>
            </w:r>
          </w:p>
          <w:p w14:paraId="47A4F03D"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bCs/>
                <w:sz w:val="18"/>
                <w:szCs w:val="18"/>
              </w:rPr>
              <w:t>Health service site beds:</w:t>
            </w:r>
            <w:r w:rsidRPr="008E7073">
              <w:rPr>
                <w:rFonts w:ascii="Arial" w:hAnsi="Arial" w:cs="Arial"/>
                <w:sz w:val="18"/>
                <w:szCs w:val="18"/>
              </w:rPr>
              <w:t xml:space="preserve"> 73</w:t>
            </w:r>
          </w:p>
          <w:p w14:paraId="1DA120D0"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bCs/>
                <w:sz w:val="18"/>
                <w:szCs w:val="18"/>
              </w:rPr>
              <w:t>Average length of stay for overnight care:</w:t>
            </w:r>
            <w:r w:rsidRPr="008E7073">
              <w:rPr>
                <w:rFonts w:ascii="Arial" w:hAnsi="Arial" w:cs="Arial"/>
                <w:sz w:val="18"/>
                <w:szCs w:val="18"/>
              </w:rPr>
              <w:t xml:space="preserve"> 20 days</w:t>
            </w:r>
          </w:p>
          <w:p w14:paraId="49749E6F"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bCs/>
                <w:sz w:val="18"/>
                <w:szCs w:val="18"/>
              </w:rPr>
              <w:t>Catchment self-sufficiency for acute care:</w:t>
            </w:r>
            <w:r w:rsidRPr="008E7073">
              <w:rPr>
                <w:rFonts w:ascii="Arial" w:hAnsi="Arial" w:cs="Arial"/>
                <w:sz w:val="18"/>
                <w:szCs w:val="18"/>
              </w:rPr>
              <w:t xml:space="preserve"> Not applicable</w:t>
            </w:r>
          </w:p>
          <w:p w14:paraId="19EEDE1F"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bCs/>
                <w:sz w:val="18"/>
                <w:szCs w:val="18"/>
              </w:rPr>
              <w:t>Proportion of acute bed days delivered in the home:</w:t>
            </w:r>
            <w:r w:rsidRPr="008E7073">
              <w:rPr>
                <w:rFonts w:ascii="Arial" w:hAnsi="Arial" w:cs="Arial"/>
                <w:sz w:val="18"/>
                <w:szCs w:val="18"/>
              </w:rPr>
              <w:t xml:space="preserve"> 0–11% </w:t>
            </w:r>
          </w:p>
          <w:p w14:paraId="7BCBFDE9"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bCs/>
                <w:sz w:val="18"/>
                <w:szCs w:val="18"/>
              </w:rPr>
              <w:t>Medical practitioners/specialists:</w:t>
            </w:r>
            <w:r w:rsidRPr="008E7073">
              <w:rPr>
                <w:rFonts w:ascii="Arial" w:hAnsi="Arial" w:cs="Arial"/>
                <w:sz w:val="18"/>
                <w:szCs w:val="18"/>
              </w:rPr>
              <w:t xml:space="preserve"> Directly employed</w:t>
            </w:r>
          </w:p>
        </w:tc>
      </w:tr>
      <w:tr w:rsidR="00BF194A" w:rsidRPr="008E7073" w14:paraId="4A1151AA" w14:textId="77777777">
        <w:trPr>
          <w:trHeight w:val="1489"/>
        </w:trPr>
        <w:tc>
          <w:tcPr>
            <w:tcW w:w="582" w:type="pct"/>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270D8B8C" w14:textId="77777777" w:rsidR="00BF194A" w:rsidRPr="008E7073" w:rsidRDefault="00BF194A">
            <w:pPr>
              <w:keepNext/>
              <w:keepLines/>
              <w:rPr>
                <w:rFonts w:cs="Arial"/>
                <w:lang w:eastAsia="en-AU"/>
              </w:rPr>
            </w:pPr>
            <w:r w:rsidRPr="008E7073">
              <w:rPr>
                <w:rFonts w:cs="Arial"/>
                <w:noProof/>
                <w:lang w:eastAsia="en-AU"/>
              </w:rPr>
              <w:drawing>
                <wp:inline distT="0" distB="0" distL="0" distR="0" wp14:anchorId="2E0D6D57" wp14:editId="716F9F6D">
                  <wp:extent cx="477079" cy="477079"/>
                  <wp:effectExtent l="0" t="0" r="0" b="0"/>
                  <wp:docPr id="1153585365" name="Graphic 11535853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585365" name="Graphic 1153585365">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86216" cy="486216"/>
                          </a:xfrm>
                          <a:prstGeom prst="rect">
                            <a:avLst/>
                          </a:prstGeom>
                        </pic:spPr>
                      </pic:pic>
                    </a:graphicData>
                  </a:graphic>
                </wp:inline>
              </w:drawing>
            </w:r>
          </w:p>
        </w:tc>
        <w:tc>
          <w:tcPr>
            <w:tcW w:w="944" w:type="pct"/>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4DAF4AEE" w14:textId="77777777" w:rsidR="00BF194A" w:rsidRPr="008E7073" w:rsidRDefault="00BF194A">
            <w:pPr>
              <w:keepNext/>
              <w:keepLines/>
              <w:rPr>
                <w:rFonts w:cs="Arial"/>
                <w:b/>
                <w:bCs/>
                <w:color w:val="365F91" w:themeColor="accent1" w:themeShade="BF"/>
                <w:lang w:eastAsia="en-AU"/>
              </w:rPr>
            </w:pPr>
            <w:r w:rsidRPr="008E7073">
              <w:rPr>
                <w:rFonts w:cs="Arial"/>
                <w:b/>
                <w:bCs/>
                <w:color w:val="365F91" w:themeColor="accent1" w:themeShade="BF"/>
                <w:lang w:eastAsia="en-AU"/>
              </w:rPr>
              <w:t>Catchment Community</w:t>
            </w:r>
          </w:p>
        </w:tc>
        <w:tc>
          <w:tcPr>
            <w:tcW w:w="3474" w:type="pct"/>
            <w:tcBorders>
              <w:top w:val="single" w:sz="4" w:space="0" w:color="auto"/>
              <w:left w:val="nil"/>
              <w:bottom w:val="single" w:sz="4" w:space="0" w:color="auto"/>
              <w:right w:val="nil"/>
            </w:tcBorders>
            <w:tcMar>
              <w:top w:w="72" w:type="dxa"/>
              <w:left w:w="144" w:type="dxa"/>
              <w:bottom w:w="72" w:type="dxa"/>
              <w:right w:w="144" w:type="dxa"/>
            </w:tcMar>
            <w:vAlign w:val="center"/>
          </w:tcPr>
          <w:p w14:paraId="58DA7AD4" w14:textId="77777777" w:rsidR="00BF194A" w:rsidRPr="008E7073" w:rsidRDefault="00BF194A">
            <w:pPr>
              <w:pStyle w:val="PlanXXspecial-appendix4table"/>
              <w:keepNext/>
              <w:keepLines/>
              <w:rPr>
                <w:rFonts w:ascii="Arial" w:hAnsi="Arial" w:cs="Arial"/>
                <w:b/>
                <w:sz w:val="18"/>
                <w:szCs w:val="18"/>
              </w:rPr>
            </w:pPr>
            <w:r w:rsidRPr="008E7073">
              <w:rPr>
                <w:rFonts w:ascii="Arial" w:hAnsi="Arial" w:cs="Arial"/>
                <w:b/>
                <w:sz w:val="18"/>
                <w:szCs w:val="18"/>
              </w:rPr>
              <w:t xml:space="preserve">Population Size: </w:t>
            </w:r>
            <w:r w:rsidRPr="008E7073">
              <w:rPr>
                <w:rFonts w:ascii="Arial" w:hAnsi="Arial" w:cs="Arial"/>
                <w:sz w:val="18"/>
                <w:szCs w:val="18"/>
              </w:rPr>
              <w:t>&gt;</w:t>
            </w:r>
            <w:r w:rsidRPr="008E7073">
              <w:rPr>
                <w:rFonts w:ascii="Arial" w:hAnsi="Arial" w:cs="Arial"/>
                <w:bCs/>
                <w:sz w:val="18"/>
                <w:szCs w:val="18"/>
              </w:rPr>
              <w:t>200,000</w:t>
            </w:r>
          </w:p>
          <w:p w14:paraId="50A70635" w14:textId="77777777" w:rsidR="00BF194A" w:rsidRPr="008E7073" w:rsidRDefault="00BF194A">
            <w:pPr>
              <w:pStyle w:val="PlanXXspecial-appendix4table"/>
              <w:keepNext/>
              <w:keepLines/>
              <w:rPr>
                <w:rFonts w:ascii="Arial" w:hAnsi="Arial" w:cs="Arial"/>
                <w:b/>
                <w:sz w:val="18"/>
                <w:szCs w:val="18"/>
              </w:rPr>
            </w:pPr>
            <w:r w:rsidRPr="008E7073">
              <w:rPr>
                <w:rFonts w:ascii="Arial" w:hAnsi="Arial" w:cs="Arial"/>
                <w:b/>
                <w:sz w:val="18"/>
                <w:szCs w:val="18"/>
              </w:rPr>
              <w:t xml:space="preserve">Age distribution: </w:t>
            </w:r>
            <w:r w:rsidRPr="008E7073">
              <w:rPr>
                <w:rFonts w:ascii="Arial" w:hAnsi="Arial" w:cs="Arial"/>
                <w:bCs/>
                <w:sz w:val="18"/>
                <w:szCs w:val="18"/>
              </w:rPr>
              <w:t>varies</w:t>
            </w:r>
          </w:p>
          <w:p w14:paraId="32A60E60" w14:textId="77777777" w:rsidR="00BF194A" w:rsidRPr="008E7073" w:rsidRDefault="00BF194A">
            <w:pPr>
              <w:pStyle w:val="PlanXXspecial-appendix4table"/>
              <w:keepNext/>
              <w:keepLines/>
              <w:rPr>
                <w:rFonts w:ascii="Arial" w:hAnsi="Arial" w:cs="Arial"/>
                <w:b/>
                <w:sz w:val="18"/>
                <w:szCs w:val="18"/>
              </w:rPr>
            </w:pPr>
            <w:r w:rsidRPr="008E7073">
              <w:rPr>
                <w:rFonts w:ascii="Arial" w:hAnsi="Arial" w:cs="Arial"/>
                <w:b/>
                <w:sz w:val="18"/>
                <w:szCs w:val="18"/>
              </w:rPr>
              <w:t xml:space="preserve">Location: </w:t>
            </w:r>
            <w:r w:rsidRPr="008E7073">
              <w:rPr>
                <w:rFonts w:ascii="Arial" w:hAnsi="Arial" w:cs="Arial"/>
                <w:bCs/>
                <w:sz w:val="18"/>
                <w:szCs w:val="18"/>
              </w:rPr>
              <w:t>Metropolitan Melbourne and large regional cities</w:t>
            </w:r>
          </w:p>
          <w:p w14:paraId="27823AAA"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sz w:val="18"/>
                <w:szCs w:val="18"/>
              </w:rPr>
              <w:t xml:space="preserve">Avg. travel distance: </w:t>
            </w:r>
            <w:r w:rsidRPr="008E7073">
              <w:rPr>
                <w:rFonts w:ascii="Arial" w:hAnsi="Arial" w:cs="Arial"/>
                <w:bCs/>
                <w:sz w:val="18"/>
                <w:szCs w:val="18"/>
              </w:rPr>
              <w:t>Not applicable</w:t>
            </w:r>
          </w:p>
        </w:tc>
      </w:tr>
    </w:tbl>
    <w:p w14:paraId="1576D2A8" w14:textId="77777777" w:rsidR="00BF194A" w:rsidRPr="008E7073" w:rsidRDefault="00BF194A" w:rsidP="00BF194A">
      <w:pPr>
        <w:pStyle w:val="Body"/>
        <w:keepNext/>
        <w:keepLines/>
        <w:rPr>
          <w:rFonts w:cs="Arial"/>
          <w:i/>
          <w:iCs/>
          <w:sz w:val="16"/>
          <w:szCs w:val="16"/>
        </w:rPr>
      </w:pPr>
      <w:r w:rsidRPr="008E7073">
        <w:rPr>
          <w:rFonts w:eastAsia="Times New Roman" w:cs="Arial"/>
          <w:i/>
          <w:iCs/>
          <w:sz w:val="16"/>
          <w:szCs w:val="16"/>
        </w:rPr>
        <w:t xml:space="preserve">* Excludes mental health admitted activity; </w:t>
      </w:r>
      <w:r w:rsidRPr="008E7073">
        <w:rPr>
          <w:rFonts w:cs="Arial"/>
          <w:i/>
          <w:iCs/>
          <w:sz w:val="16"/>
          <w:szCs w:val="16"/>
          <w:vertAlign w:val="superscript"/>
        </w:rPr>
        <w:t>ⱡ</w:t>
      </w:r>
      <w:r w:rsidRPr="008E7073">
        <w:rPr>
          <w:rFonts w:cs="Arial"/>
          <w:i/>
          <w:iCs/>
          <w:sz w:val="16"/>
          <w:szCs w:val="16"/>
        </w:rPr>
        <w:t>Median values are rounded to nearest 100</w:t>
      </w:r>
    </w:p>
    <w:p w14:paraId="0A7C4017" w14:textId="77777777" w:rsidR="00BF194A" w:rsidRPr="008E7073" w:rsidRDefault="00BF194A" w:rsidP="00BF194A">
      <w:pPr>
        <w:pStyle w:val="Body"/>
        <w:keepNext/>
        <w:keepLines/>
        <w:rPr>
          <w:rFonts w:cs="Arial"/>
          <w:i/>
          <w:iCs/>
          <w:sz w:val="16"/>
          <w:szCs w:val="16"/>
        </w:rPr>
      </w:pPr>
    </w:p>
    <w:p w14:paraId="5BB369A7" w14:textId="77777777" w:rsidR="00BF194A" w:rsidRPr="008E7073" w:rsidRDefault="00BF194A" w:rsidP="00BF194A">
      <w:pPr>
        <w:pStyle w:val="Body"/>
        <w:keepNext/>
        <w:keepLines/>
        <w:rPr>
          <w:rFonts w:cs="Arial"/>
          <w:i/>
          <w:iCs/>
          <w:sz w:val="16"/>
          <w:szCs w:val="16"/>
        </w:rPr>
      </w:pPr>
    </w:p>
    <w:p w14:paraId="0CE90775" w14:textId="77777777" w:rsidR="00BF194A" w:rsidRPr="008E7073" w:rsidRDefault="00BF194A" w:rsidP="00BF194A">
      <w:pPr>
        <w:pStyle w:val="Body"/>
        <w:keepNext/>
        <w:keepLines/>
        <w:rPr>
          <w:rFonts w:cs="Arial"/>
          <w:i/>
          <w:iCs/>
          <w:sz w:val="16"/>
          <w:szCs w:val="16"/>
        </w:rPr>
      </w:pPr>
    </w:p>
    <w:p w14:paraId="62CFDA89" w14:textId="77777777" w:rsidR="00BF194A" w:rsidRPr="008E7073" w:rsidRDefault="00BF194A" w:rsidP="00BF194A">
      <w:pPr>
        <w:pStyle w:val="Caption"/>
        <w:keepNext/>
        <w:keepLines/>
        <w:rPr>
          <w:rFonts w:cs="Arial"/>
        </w:rPr>
      </w:pPr>
    </w:p>
    <w:p w14:paraId="5AFF9B1A" w14:textId="77777777" w:rsidR="00BF194A" w:rsidRPr="008E7073" w:rsidRDefault="00BF194A" w:rsidP="00BF194A">
      <w:pPr>
        <w:pStyle w:val="Caption"/>
        <w:keepNext/>
        <w:keepLines/>
        <w:rPr>
          <w:rFonts w:cs="Arial"/>
        </w:rPr>
      </w:pPr>
    </w:p>
    <w:p w14:paraId="1AEE0C6A" w14:textId="77777777" w:rsidR="00BF194A" w:rsidRPr="008E7073" w:rsidRDefault="00BF194A" w:rsidP="00BF194A">
      <w:pPr>
        <w:pStyle w:val="Caption"/>
        <w:keepNext/>
        <w:keepLines/>
        <w:rPr>
          <w:rFonts w:cs="Arial"/>
        </w:rPr>
      </w:pPr>
    </w:p>
    <w:p w14:paraId="395EFB6D" w14:textId="77777777" w:rsidR="00BF194A" w:rsidRPr="008E7073" w:rsidRDefault="00BF194A" w:rsidP="00BF194A">
      <w:pPr>
        <w:pStyle w:val="Caption"/>
        <w:keepNext/>
        <w:keepLines/>
        <w:rPr>
          <w:rFonts w:cs="Arial"/>
        </w:rPr>
      </w:pPr>
    </w:p>
    <w:p w14:paraId="39157EF9" w14:textId="77777777" w:rsidR="00EA0292" w:rsidRDefault="00EA0292">
      <w:pPr>
        <w:spacing w:after="0" w:line="240" w:lineRule="auto"/>
        <w:rPr>
          <w:rFonts w:cs="Arial"/>
          <w:i/>
          <w:iCs/>
          <w:color w:val="1F497D" w:themeColor="text2"/>
          <w:sz w:val="18"/>
          <w:szCs w:val="18"/>
        </w:rPr>
      </w:pPr>
      <w:r>
        <w:rPr>
          <w:rFonts w:cs="Arial"/>
        </w:rPr>
        <w:br w:type="page"/>
      </w:r>
    </w:p>
    <w:p w14:paraId="0BE051ED" w14:textId="6A5E2745" w:rsidR="00BF194A" w:rsidRPr="008E7073" w:rsidRDefault="00BF194A" w:rsidP="00BF194A">
      <w:pPr>
        <w:pStyle w:val="Caption"/>
        <w:keepNext/>
        <w:keepLines/>
        <w:rPr>
          <w:rFonts w:cs="Arial"/>
        </w:rPr>
      </w:pPr>
      <w:r w:rsidRPr="008E7073">
        <w:rPr>
          <w:rFonts w:cs="Arial"/>
        </w:rPr>
        <w:lastRenderedPageBreak/>
        <w:t xml:space="preserve">Table </w:t>
      </w:r>
      <w:r w:rsidRPr="008E7073">
        <w:rPr>
          <w:rFonts w:cs="Arial"/>
        </w:rPr>
        <w:fldChar w:fldCharType="begin"/>
      </w:r>
      <w:r w:rsidRPr="008E7073">
        <w:rPr>
          <w:rFonts w:cs="Arial"/>
        </w:rPr>
        <w:instrText xml:space="preserve"> SEQ Table \* ARABIC </w:instrText>
      </w:r>
      <w:r w:rsidRPr="008E7073">
        <w:rPr>
          <w:rFonts w:cs="Arial"/>
        </w:rPr>
        <w:fldChar w:fldCharType="separate"/>
      </w:r>
      <w:r w:rsidRPr="008E7073">
        <w:rPr>
          <w:rFonts w:cs="Arial"/>
          <w:noProof/>
        </w:rPr>
        <w:t>12</w:t>
      </w:r>
      <w:r w:rsidRPr="008E7073">
        <w:rPr>
          <w:rFonts w:cs="Arial"/>
        </w:rPr>
        <w:fldChar w:fldCharType="end"/>
      </w:r>
      <w:r w:rsidRPr="008E7073">
        <w:rPr>
          <w:rFonts w:cs="Arial"/>
        </w:rPr>
        <w:t>.  Public Surgery Centre site characteristics</w:t>
      </w:r>
    </w:p>
    <w:tbl>
      <w:tblPr>
        <w:tblW w:w="5000" w:type="pct"/>
        <w:tblCellMar>
          <w:left w:w="0" w:type="dxa"/>
          <w:right w:w="0" w:type="dxa"/>
        </w:tblCellMar>
        <w:tblLook w:val="0420" w:firstRow="1" w:lastRow="0" w:firstColumn="0" w:lastColumn="0" w:noHBand="0" w:noVBand="1"/>
      </w:tblPr>
      <w:tblGrid>
        <w:gridCol w:w="1083"/>
        <w:gridCol w:w="1755"/>
        <w:gridCol w:w="6460"/>
      </w:tblGrid>
      <w:tr w:rsidR="00BF194A" w:rsidRPr="008E7073" w14:paraId="04584F13" w14:textId="77777777">
        <w:trPr>
          <w:trHeight w:val="234"/>
          <w:tblHeader/>
        </w:trPr>
        <w:tc>
          <w:tcPr>
            <w:tcW w:w="5000" w:type="pct"/>
            <w:gridSpan w:val="3"/>
            <w:tcBorders>
              <w:top w:val="single" w:sz="18" w:space="0" w:color="000000" w:themeColor="text1"/>
              <w:left w:val="nil"/>
              <w:bottom w:val="single" w:sz="18" w:space="0" w:color="000000" w:themeColor="text1"/>
              <w:right w:val="nil"/>
            </w:tcBorders>
            <w:shd w:val="clear" w:color="auto" w:fill="F2F2F2" w:themeFill="background1" w:themeFillShade="F2"/>
            <w:tcMar>
              <w:top w:w="72" w:type="dxa"/>
              <w:left w:w="144" w:type="dxa"/>
              <w:bottom w:w="72" w:type="dxa"/>
              <w:right w:w="144" w:type="dxa"/>
            </w:tcMar>
          </w:tcPr>
          <w:p w14:paraId="37B3B5F5" w14:textId="77777777" w:rsidR="00BF194A" w:rsidRPr="008E7073" w:rsidRDefault="00BF194A">
            <w:pPr>
              <w:keepNext/>
              <w:keepLines/>
              <w:rPr>
                <w:rFonts w:cs="Arial"/>
                <w:b/>
                <w:lang w:eastAsia="en-AU"/>
              </w:rPr>
            </w:pPr>
            <w:r w:rsidRPr="008E7073">
              <w:rPr>
                <w:rFonts w:cs="Arial"/>
                <w:b/>
                <w:lang w:eastAsia="en-AU"/>
              </w:rPr>
              <w:t>Description – Public Surgery Centres</w:t>
            </w:r>
          </w:p>
        </w:tc>
      </w:tr>
      <w:tr w:rsidR="00BF194A" w:rsidRPr="008E7073" w14:paraId="362AC0A0" w14:textId="77777777">
        <w:trPr>
          <w:trHeight w:val="1246"/>
        </w:trPr>
        <w:tc>
          <w:tcPr>
            <w:tcW w:w="582" w:type="pct"/>
            <w:tcBorders>
              <w:top w:val="single" w:sz="18" w:space="0" w:color="000000" w:themeColor="text1"/>
              <w:left w:val="nil"/>
              <w:bottom w:val="single" w:sz="4" w:space="0" w:color="auto"/>
              <w:right w:val="nil"/>
            </w:tcBorders>
            <w:tcMar>
              <w:top w:w="72" w:type="dxa"/>
              <w:left w:w="144" w:type="dxa"/>
              <w:bottom w:w="72" w:type="dxa"/>
              <w:right w:w="144" w:type="dxa"/>
            </w:tcMar>
            <w:vAlign w:val="center"/>
            <w:hideMark/>
          </w:tcPr>
          <w:p w14:paraId="4ADE41ED" w14:textId="77777777" w:rsidR="00BF194A" w:rsidRPr="008E7073" w:rsidRDefault="00BF194A">
            <w:pPr>
              <w:keepNext/>
              <w:keepLines/>
              <w:rPr>
                <w:rFonts w:cs="Arial"/>
                <w:lang w:eastAsia="en-AU"/>
              </w:rPr>
            </w:pPr>
            <w:r w:rsidRPr="008E7073">
              <w:rPr>
                <w:rFonts w:cs="Arial"/>
                <w:noProof/>
                <w:lang w:eastAsia="en-AU"/>
              </w:rPr>
              <w:drawing>
                <wp:inline distT="0" distB="0" distL="0" distR="0" wp14:anchorId="2D6F334A" wp14:editId="62441700">
                  <wp:extent cx="485775" cy="485775"/>
                  <wp:effectExtent l="0" t="0" r="9525" b="0"/>
                  <wp:docPr id="1865114390" name="Graphic 18651143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14390" name="Graphic 1865114390">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5775" cy="485775"/>
                          </a:xfrm>
                          <a:prstGeom prst="rect">
                            <a:avLst/>
                          </a:prstGeom>
                        </pic:spPr>
                      </pic:pic>
                    </a:graphicData>
                  </a:graphic>
                </wp:inline>
              </w:drawing>
            </w:r>
          </w:p>
        </w:tc>
        <w:tc>
          <w:tcPr>
            <w:tcW w:w="944" w:type="pct"/>
            <w:tcBorders>
              <w:top w:val="single" w:sz="18" w:space="0" w:color="000000" w:themeColor="text1"/>
              <w:left w:val="nil"/>
              <w:bottom w:val="single" w:sz="4" w:space="0" w:color="auto"/>
              <w:right w:val="nil"/>
            </w:tcBorders>
            <w:tcMar>
              <w:top w:w="72" w:type="dxa"/>
              <w:left w:w="144" w:type="dxa"/>
              <w:bottom w:w="72" w:type="dxa"/>
              <w:right w:w="144" w:type="dxa"/>
            </w:tcMar>
            <w:vAlign w:val="center"/>
            <w:hideMark/>
          </w:tcPr>
          <w:p w14:paraId="4B93F983" w14:textId="77777777" w:rsidR="00BF194A" w:rsidRPr="008E7073" w:rsidRDefault="00BF194A">
            <w:pPr>
              <w:keepNext/>
              <w:keepLines/>
              <w:rPr>
                <w:rFonts w:cs="Arial"/>
                <w:b/>
                <w:color w:val="365F91" w:themeColor="accent1" w:themeShade="BF"/>
                <w:lang w:eastAsia="en-AU"/>
              </w:rPr>
            </w:pPr>
            <w:r w:rsidRPr="008E7073">
              <w:rPr>
                <w:rFonts w:cs="Arial"/>
                <w:b/>
                <w:color w:val="365F91" w:themeColor="accent1" w:themeShade="BF"/>
                <w:lang w:eastAsia="en-AU"/>
              </w:rPr>
              <w:t>Service Profile</w:t>
            </w:r>
          </w:p>
        </w:tc>
        <w:tc>
          <w:tcPr>
            <w:tcW w:w="3474" w:type="pct"/>
            <w:tcBorders>
              <w:top w:val="single" w:sz="18" w:space="0" w:color="000000" w:themeColor="text1"/>
              <w:left w:val="nil"/>
              <w:bottom w:val="single" w:sz="4" w:space="0" w:color="auto"/>
              <w:right w:val="nil"/>
            </w:tcBorders>
            <w:tcMar>
              <w:top w:w="72" w:type="dxa"/>
              <w:left w:w="144" w:type="dxa"/>
              <w:bottom w:w="72" w:type="dxa"/>
              <w:right w:w="144" w:type="dxa"/>
            </w:tcMar>
            <w:vAlign w:val="center"/>
          </w:tcPr>
          <w:p w14:paraId="06D7FD52" w14:textId="77777777" w:rsidR="00BF194A" w:rsidRPr="008E7073" w:rsidRDefault="00BF194A">
            <w:pPr>
              <w:pStyle w:val="PlanXXSpecial-Appendix4figuredots"/>
              <w:keepNext/>
              <w:keepLines/>
              <w:rPr>
                <w:rFonts w:ascii="Arial" w:hAnsi="Arial" w:cs="Arial"/>
                <w:sz w:val="18"/>
                <w:szCs w:val="18"/>
              </w:rPr>
            </w:pPr>
            <w:r w:rsidRPr="008E7073">
              <w:rPr>
                <w:rFonts w:ascii="Arial" w:hAnsi="Arial" w:cs="Arial"/>
                <w:sz w:val="18"/>
                <w:szCs w:val="18"/>
              </w:rPr>
              <w:t xml:space="preserve">Planned, non-emergency surgical procedures for broad catchments. </w:t>
            </w:r>
          </w:p>
          <w:p w14:paraId="271DE764" w14:textId="77777777" w:rsidR="00BF194A" w:rsidRPr="008E7073" w:rsidRDefault="00BF194A">
            <w:pPr>
              <w:pStyle w:val="PlanXXSpecial-Appendix4figuredots"/>
              <w:keepNext/>
              <w:keepLines/>
              <w:rPr>
                <w:rFonts w:ascii="Arial" w:hAnsi="Arial" w:cs="Arial"/>
                <w:sz w:val="18"/>
                <w:szCs w:val="18"/>
              </w:rPr>
            </w:pPr>
            <w:r w:rsidRPr="008E7073">
              <w:rPr>
                <w:rFonts w:ascii="Arial" w:hAnsi="Arial" w:cs="Arial"/>
                <w:sz w:val="18"/>
                <w:szCs w:val="18"/>
              </w:rPr>
              <w:t xml:space="preserve">Cater to patients who have been assessed by a specialist and can have their surgery scheduled in advance. </w:t>
            </w:r>
          </w:p>
          <w:p w14:paraId="4142AE6F" w14:textId="77777777" w:rsidR="00BF194A" w:rsidRPr="008E7073" w:rsidRDefault="00BF194A">
            <w:pPr>
              <w:pStyle w:val="PlanXXSpecial-Appendix4figuredots"/>
              <w:keepNext/>
              <w:keepLines/>
              <w:rPr>
                <w:rFonts w:ascii="Arial" w:hAnsi="Arial" w:cs="Arial"/>
              </w:rPr>
            </w:pPr>
            <w:r w:rsidRPr="008E7073">
              <w:rPr>
                <w:rFonts w:ascii="Arial" w:hAnsi="Arial" w:cs="Arial"/>
                <w:sz w:val="18"/>
                <w:szCs w:val="18"/>
              </w:rPr>
              <w:t>Public Surgery Centres covered in this Framework are those which are stand-alone (not collocated with an acute hospital site) and deliver moderate complexity procedural care.</w:t>
            </w:r>
          </w:p>
        </w:tc>
      </w:tr>
      <w:tr w:rsidR="00BF194A" w:rsidRPr="008E7073" w14:paraId="355E2ED5" w14:textId="77777777">
        <w:trPr>
          <w:trHeight w:val="1262"/>
        </w:trPr>
        <w:tc>
          <w:tcPr>
            <w:tcW w:w="582" w:type="pct"/>
            <w:tcBorders>
              <w:top w:val="single" w:sz="4" w:space="0" w:color="auto"/>
              <w:left w:val="nil"/>
              <w:bottom w:val="single" w:sz="4" w:space="0" w:color="auto"/>
              <w:right w:val="nil"/>
            </w:tcBorders>
            <w:tcMar>
              <w:top w:w="72" w:type="dxa"/>
              <w:left w:w="144" w:type="dxa"/>
              <w:bottom w:w="72" w:type="dxa"/>
              <w:right w:w="144" w:type="dxa"/>
            </w:tcMar>
            <w:vAlign w:val="center"/>
          </w:tcPr>
          <w:p w14:paraId="212C8DF9" w14:textId="77777777" w:rsidR="00BF194A" w:rsidRPr="008E7073" w:rsidRDefault="00BF194A">
            <w:pPr>
              <w:keepNext/>
              <w:keepLines/>
              <w:rPr>
                <w:rFonts w:cs="Arial"/>
                <w:lang w:eastAsia="en-AU"/>
              </w:rPr>
            </w:pPr>
            <w:r w:rsidRPr="008E7073">
              <w:rPr>
                <w:rFonts w:cs="Arial"/>
                <w:noProof/>
                <w:color w:val="365F91" w:themeColor="accent1" w:themeShade="BF"/>
                <w:lang w:eastAsia="en-AU"/>
              </w:rPr>
              <w:drawing>
                <wp:inline distT="0" distB="0" distL="0" distR="0" wp14:anchorId="50ECB756" wp14:editId="69334552">
                  <wp:extent cx="475488" cy="475488"/>
                  <wp:effectExtent l="0" t="0" r="0" b="1270"/>
                  <wp:docPr id="16367278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72783" name="Graphic 2">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480114" cy="480114"/>
                          </a:xfrm>
                          <a:prstGeom prst="rect">
                            <a:avLst/>
                          </a:prstGeom>
                        </pic:spPr>
                      </pic:pic>
                    </a:graphicData>
                  </a:graphic>
                </wp:inline>
              </w:drawing>
            </w:r>
          </w:p>
        </w:tc>
        <w:tc>
          <w:tcPr>
            <w:tcW w:w="944" w:type="pct"/>
            <w:tcBorders>
              <w:top w:val="single" w:sz="4" w:space="0" w:color="auto"/>
              <w:left w:val="nil"/>
              <w:bottom w:val="single" w:sz="4" w:space="0" w:color="auto"/>
              <w:right w:val="nil"/>
            </w:tcBorders>
            <w:tcMar>
              <w:top w:w="72" w:type="dxa"/>
              <w:left w:w="144" w:type="dxa"/>
              <w:bottom w:w="72" w:type="dxa"/>
              <w:right w:w="144" w:type="dxa"/>
            </w:tcMar>
            <w:vAlign w:val="center"/>
          </w:tcPr>
          <w:p w14:paraId="454F46C0" w14:textId="77777777" w:rsidR="00BF194A" w:rsidRPr="008E7073" w:rsidRDefault="00BF194A">
            <w:pPr>
              <w:keepNext/>
              <w:keepLines/>
              <w:rPr>
                <w:rFonts w:cs="Arial"/>
                <w:b/>
                <w:color w:val="365F91" w:themeColor="accent1" w:themeShade="BF"/>
                <w:lang w:eastAsia="en-AU"/>
              </w:rPr>
            </w:pPr>
            <w:r w:rsidRPr="008E7073">
              <w:rPr>
                <w:rFonts w:cs="Arial"/>
                <w:b/>
                <w:color w:val="365F91" w:themeColor="accent1" w:themeShade="BF"/>
                <w:lang w:eastAsia="en-AU"/>
              </w:rPr>
              <w:t>Primary &amp; Aged Care</w:t>
            </w:r>
          </w:p>
        </w:tc>
        <w:tc>
          <w:tcPr>
            <w:tcW w:w="3474" w:type="pct"/>
            <w:tcBorders>
              <w:top w:val="single" w:sz="4" w:space="0" w:color="auto"/>
              <w:left w:val="nil"/>
              <w:bottom w:val="single" w:sz="4" w:space="0" w:color="auto"/>
              <w:right w:val="nil"/>
            </w:tcBorders>
            <w:tcMar>
              <w:top w:w="72" w:type="dxa"/>
              <w:left w:w="144" w:type="dxa"/>
              <w:bottom w:w="72" w:type="dxa"/>
              <w:right w:w="144" w:type="dxa"/>
            </w:tcMar>
            <w:vAlign w:val="center"/>
          </w:tcPr>
          <w:p w14:paraId="0D59FD8F" w14:textId="77777777" w:rsidR="00BF194A" w:rsidRPr="008E7073" w:rsidRDefault="00BF194A">
            <w:pPr>
              <w:pStyle w:val="Body"/>
              <w:keepNext/>
              <w:keepLines/>
              <w:rPr>
                <w:rFonts w:cs="Arial"/>
                <w:sz w:val="18"/>
                <w:szCs w:val="18"/>
              </w:rPr>
            </w:pPr>
            <w:r w:rsidRPr="008E7073">
              <w:rPr>
                <w:rFonts w:cs="Arial"/>
                <w:b/>
                <w:sz w:val="18"/>
                <w:szCs w:val="18"/>
              </w:rPr>
              <w:t>Public Sector Residential Aged Care places:</w:t>
            </w:r>
            <w:r w:rsidRPr="008E7073">
              <w:rPr>
                <w:rFonts w:cs="Arial"/>
                <w:sz w:val="18"/>
                <w:szCs w:val="18"/>
              </w:rPr>
              <w:t xml:space="preserve"> Not applicable</w:t>
            </w:r>
          </w:p>
          <w:p w14:paraId="50610734" w14:textId="77777777" w:rsidR="00BF194A" w:rsidRPr="008E7073" w:rsidRDefault="00BF194A">
            <w:pPr>
              <w:pStyle w:val="Body"/>
              <w:keepNext/>
              <w:keepLines/>
              <w:rPr>
                <w:rFonts w:cs="Arial"/>
                <w:sz w:val="18"/>
                <w:szCs w:val="18"/>
              </w:rPr>
            </w:pPr>
            <w:r w:rsidRPr="008E7073">
              <w:rPr>
                <w:rFonts w:cs="Arial"/>
                <w:b/>
                <w:bCs/>
                <w:sz w:val="18"/>
                <w:szCs w:val="18"/>
              </w:rPr>
              <w:t>Primary health services:</w:t>
            </w:r>
            <w:r w:rsidRPr="008E7073">
              <w:rPr>
                <w:rFonts w:cs="Arial"/>
                <w:sz w:val="18"/>
                <w:szCs w:val="18"/>
              </w:rPr>
              <w:t xml:space="preserve"> Not applicable</w:t>
            </w:r>
          </w:p>
        </w:tc>
      </w:tr>
      <w:tr w:rsidR="00BF194A" w:rsidRPr="008E7073" w14:paraId="262AEB13" w14:textId="77777777">
        <w:trPr>
          <w:trHeight w:val="1262"/>
        </w:trPr>
        <w:tc>
          <w:tcPr>
            <w:tcW w:w="582" w:type="pct"/>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79376C27" w14:textId="77777777" w:rsidR="00BF194A" w:rsidRPr="008E7073" w:rsidRDefault="00BF194A">
            <w:pPr>
              <w:keepNext/>
              <w:keepLines/>
              <w:rPr>
                <w:rFonts w:cs="Arial"/>
                <w:highlight w:val="yellow"/>
                <w:lang w:eastAsia="en-AU"/>
              </w:rPr>
            </w:pPr>
            <w:r w:rsidRPr="008E7073">
              <w:rPr>
                <w:rFonts w:cs="Arial"/>
                <w:noProof/>
                <w:lang w:eastAsia="en-AU"/>
              </w:rPr>
              <w:drawing>
                <wp:inline distT="0" distB="0" distL="0" distR="0" wp14:anchorId="1E3FCED8" wp14:editId="6EF75153">
                  <wp:extent cx="504749" cy="504749"/>
                  <wp:effectExtent l="0" t="0" r="0" b="0"/>
                  <wp:docPr id="1035990098"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990098" name="Graphic 1">
                            <a:extLst>
                              <a:ext uri="{C183D7F6-B498-43B3-948B-1728B52AA6E4}">
                                <adec:decorative xmlns:adec="http://schemas.microsoft.com/office/drawing/2017/decorative" val="1"/>
                              </a:ext>
                            </a:extLst>
                          </pic:cNvPr>
                          <pic:cNvPicPr/>
                        </pic:nvPicPr>
                        <pic:blipFill>
                          <a:blip r:embed="rId21">
                            <a:extLst>
                              <a:ext uri="{96DAC541-7B7A-43D3-8B79-37D633B846F1}">
                                <asvg:svgBlip xmlns:asvg="http://schemas.microsoft.com/office/drawing/2016/SVG/main" r:embed="rId22"/>
                              </a:ext>
                            </a:extLst>
                          </a:blip>
                          <a:stretch>
                            <a:fillRect/>
                          </a:stretch>
                        </pic:blipFill>
                        <pic:spPr>
                          <a:xfrm>
                            <a:off x="0" y="0"/>
                            <a:ext cx="508034" cy="508034"/>
                          </a:xfrm>
                          <a:prstGeom prst="rect">
                            <a:avLst/>
                          </a:prstGeom>
                        </pic:spPr>
                      </pic:pic>
                    </a:graphicData>
                  </a:graphic>
                </wp:inline>
              </w:drawing>
            </w:r>
          </w:p>
        </w:tc>
        <w:tc>
          <w:tcPr>
            <w:tcW w:w="944" w:type="pct"/>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5E3D1F02" w14:textId="77777777" w:rsidR="00BF194A" w:rsidRPr="008E7073" w:rsidRDefault="00BF194A">
            <w:pPr>
              <w:keepNext/>
              <w:keepLines/>
              <w:rPr>
                <w:rFonts w:cs="Arial"/>
                <w:b/>
                <w:color w:val="365F91" w:themeColor="accent1" w:themeShade="BF"/>
                <w:lang w:eastAsia="en-AU"/>
              </w:rPr>
            </w:pPr>
            <w:r w:rsidRPr="008E7073">
              <w:rPr>
                <w:rFonts w:cs="Arial"/>
                <w:b/>
                <w:color w:val="365F91" w:themeColor="accent1" w:themeShade="BF"/>
                <w:lang w:eastAsia="en-AU"/>
              </w:rPr>
              <w:t>Acute Care*</w:t>
            </w:r>
          </w:p>
        </w:tc>
        <w:tc>
          <w:tcPr>
            <w:tcW w:w="3474" w:type="pct"/>
            <w:tcBorders>
              <w:top w:val="single" w:sz="4" w:space="0" w:color="auto"/>
              <w:left w:val="nil"/>
              <w:bottom w:val="single" w:sz="4" w:space="0" w:color="auto"/>
              <w:right w:val="nil"/>
            </w:tcBorders>
            <w:tcMar>
              <w:top w:w="72" w:type="dxa"/>
              <w:left w:w="144" w:type="dxa"/>
              <w:bottom w:w="72" w:type="dxa"/>
              <w:right w:w="144" w:type="dxa"/>
            </w:tcMar>
            <w:vAlign w:val="center"/>
          </w:tcPr>
          <w:p w14:paraId="69DB7FE4"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sz w:val="18"/>
                <w:szCs w:val="20"/>
              </w:rPr>
              <w:t>Median</w:t>
            </w:r>
            <w:r w:rsidRPr="008E7073">
              <w:rPr>
                <w:rFonts w:ascii="Arial" w:hAnsi="Arial" w:cs="Arial"/>
                <w:b/>
                <w:sz w:val="18"/>
                <w:szCs w:val="20"/>
                <w:vertAlign w:val="superscript"/>
              </w:rPr>
              <w:t>ⱡ</w:t>
            </w:r>
            <w:r w:rsidRPr="008E7073">
              <w:rPr>
                <w:rFonts w:ascii="Arial" w:hAnsi="Arial" w:cs="Arial"/>
                <w:b/>
                <w:sz w:val="18"/>
                <w:szCs w:val="20"/>
              </w:rPr>
              <w:t xml:space="preserve"> acute separations*:</w:t>
            </w:r>
            <w:r w:rsidRPr="008E7073">
              <w:rPr>
                <w:rFonts w:ascii="Arial" w:hAnsi="Arial" w:cs="Arial"/>
                <w:sz w:val="18"/>
                <w:szCs w:val="20"/>
              </w:rPr>
              <w:t xml:space="preserve"> 4,900</w:t>
            </w:r>
          </w:p>
          <w:p w14:paraId="24C64ACF"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sz w:val="18"/>
                <w:szCs w:val="20"/>
              </w:rPr>
              <w:t>Median</w:t>
            </w:r>
            <w:r w:rsidRPr="008E7073">
              <w:rPr>
                <w:rFonts w:ascii="Arial" w:hAnsi="Arial" w:cs="Arial"/>
                <w:b/>
                <w:sz w:val="18"/>
                <w:szCs w:val="20"/>
                <w:vertAlign w:val="superscript"/>
              </w:rPr>
              <w:t>ⱡ</w:t>
            </w:r>
            <w:r w:rsidRPr="008E7073">
              <w:rPr>
                <w:rFonts w:ascii="Arial" w:hAnsi="Arial" w:cs="Arial"/>
                <w:b/>
                <w:sz w:val="18"/>
                <w:szCs w:val="20"/>
              </w:rPr>
              <w:t xml:space="preserve"> urgent &amp; emergency care presentations: </w:t>
            </w:r>
            <w:r w:rsidRPr="008E7073">
              <w:rPr>
                <w:rFonts w:ascii="Arial" w:hAnsi="Arial" w:cs="Arial"/>
                <w:sz w:val="18"/>
                <w:szCs w:val="20"/>
              </w:rPr>
              <w:t>Not applicable</w:t>
            </w:r>
          </w:p>
          <w:p w14:paraId="6630C023"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sz w:val="18"/>
                <w:szCs w:val="20"/>
              </w:rPr>
              <w:t xml:space="preserve">Median Diagnostic Related Groups (&gt;5 seps): </w:t>
            </w:r>
            <w:r w:rsidRPr="008E7073">
              <w:rPr>
                <w:rFonts w:ascii="Arial" w:hAnsi="Arial" w:cs="Arial"/>
                <w:sz w:val="18"/>
                <w:szCs w:val="20"/>
              </w:rPr>
              <w:t>46</w:t>
            </w:r>
          </w:p>
          <w:p w14:paraId="7747EFDA" w14:textId="77777777" w:rsidR="00BF194A" w:rsidRPr="008E7073" w:rsidRDefault="00BF194A">
            <w:pPr>
              <w:pStyle w:val="PlanXXspecial-appendix4table"/>
              <w:keepNext/>
              <w:keepLines/>
              <w:rPr>
                <w:rFonts w:ascii="Arial" w:hAnsi="Arial" w:cs="Arial"/>
                <w:b/>
                <w:sz w:val="18"/>
                <w:szCs w:val="20"/>
              </w:rPr>
            </w:pPr>
            <w:r w:rsidRPr="008E7073">
              <w:rPr>
                <w:rFonts w:ascii="Arial" w:hAnsi="Arial" w:cs="Arial"/>
                <w:b/>
                <w:sz w:val="18"/>
                <w:szCs w:val="20"/>
              </w:rPr>
              <w:t>Median Clinical Capability Levels:</w:t>
            </w:r>
          </w:p>
          <w:p w14:paraId="1DC9890A"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sz w:val="18"/>
                <w:szCs w:val="20"/>
              </w:rPr>
              <w:t>Adult Perioperative</w:t>
            </w:r>
            <w:r w:rsidRPr="008E7073">
              <w:rPr>
                <w:rFonts w:ascii="Arial" w:hAnsi="Arial" w:cs="Arial"/>
                <w:sz w:val="18"/>
                <w:szCs w:val="20"/>
              </w:rPr>
              <w:t xml:space="preserve"> – 3</w:t>
            </w:r>
          </w:p>
          <w:p w14:paraId="579B0E70"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sz w:val="18"/>
                <w:szCs w:val="20"/>
              </w:rPr>
              <w:t>Paediatric Perioperative</w:t>
            </w:r>
            <w:r w:rsidRPr="008E7073">
              <w:rPr>
                <w:rFonts w:ascii="Arial" w:hAnsi="Arial" w:cs="Arial"/>
                <w:sz w:val="18"/>
                <w:szCs w:val="20"/>
              </w:rPr>
              <w:t xml:space="preserve"> – Typically not assessed</w:t>
            </w:r>
          </w:p>
          <w:p w14:paraId="7285B54D"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Maternity</w:t>
            </w:r>
            <w:r w:rsidRPr="008E7073">
              <w:rPr>
                <w:rFonts w:ascii="Arial" w:hAnsi="Arial" w:cs="Arial"/>
                <w:sz w:val="18"/>
                <w:szCs w:val="20"/>
              </w:rPr>
              <w:t xml:space="preserve"> – Typically not assessed</w:t>
            </w:r>
          </w:p>
          <w:p w14:paraId="0E894A47"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Newborn</w:t>
            </w:r>
            <w:r w:rsidRPr="008E7073">
              <w:rPr>
                <w:rFonts w:ascii="Arial" w:hAnsi="Arial" w:cs="Arial"/>
                <w:sz w:val="18"/>
                <w:szCs w:val="20"/>
              </w:rPr>
              <w:t xml:space="preserve"> – Typically not assessed</w:t>
            </w:r>
          </w:p>
          <w:p w14:paraId="43F350A5" w14:textId="77777777" w:rsidR="00BF194A" w:rsidRPr="008E7073" w:rsidRDefault="00BF194A">
            <w:pPr>
              <w:pStyle w:val="PlanXXspecial-appendix4table"/>
              <w:keepNext/>
              <w:keepLines/>
              <w:rPr>
                <w:rFonts w:ascii="Arial" w:hAnsi="Arial" w:cs="Arial"/>
                <w:b/>
                <w:sz w:val="18"/>
                <w:szCs w:val="20"/>
              </w:rPr>
            </w:pPr>
            <w:r w:rsidRPr="008E7073">
              <w:rPr>
                <w:rFonts w:ascii="Arial" w:hAnsi="Arial" w:cs="Arial"/>
                <w:b/>
                <w:sz w:val="18"/>
                <w:szCs w:val="20"/>
              </w:rPr>
              <w:t xml:space="preserve">Median ICU hours delivered per annum: </w:t>
            </w:r>
            <w:r w:rsidRPr="008E7073">
              <w:rPr>
                <w:rFonts w:ascii="Arial" w:hAnsi="Arial" w:cs="Arial"/>
                <w:sz w:val="18"/>
                <w:szCs w:val="20"/>
              </w:rPr>
              <w:t>Not applicable</w:t>
            </w:r>
          </w:p>
          <w:p w14:paraId="6869B563" w14:textId="77777777" w:rsidR="00BF194A" w:rsidRPr="008E7073" w:rsidRDefault="00BF194A">
            <w:pPr>
              <w:pStyle w:val="PlanXXspecial-appendix4table"/>
              <w:keepNext/>
              <w:keepLines/>
              <w:rPr>
                <w:rFonts w:ascii="Arial" w:hAnsi="Arial" w:cs="Arial"/>
                <w:b/>
                <w:bCs/>
                <w:sz w:val="18"/>
                <w:szCs w:val="18"/>
              </w:rPr>
            </w:pPr>
            <w:r w:rsidRPr="008E7073">
              <w:rPr>
                <w:rFonts w:ascii="Arial" w:hAnsi="Arial" w:cs="Arial"/>
                <w:b/>
                <w:sz w:val="18"/>
                <w:szCs w:val="20"/>
              </w:rPr>
              <w:t xml:space="preserve">Median proportion of elective seps with NWAU&gt;4.0: </w:t>
            </w:r>
            <w:r w:rsidRPr="008E7073">
              <w:rPr>
                <w:rFonts w:ascii="Arial" w:hAnsi="Arial" w:cs="Arial"/>
                <w:sz w:val="18"/>
                <w:szCs w:val="20"/>
              </w:rPr>
              <w:t>Not applicable</w:t>
            </w:r>
          </w:p>
          <w:p w14:paraId="3A6082F0"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sz w:val="18"/>
                <w:szCs w:val="18"/>
              </w:rPr>
              <w:t>Health service site beds:</w:t>
            </w:r>
            <w:r w:rsidRPr="008E7073">
              <w:rPr>
                <w:rFonts w:ascii="Arial" w:hAnsi="Arial" w:cs="Arial"/>
                <w:sz w:val="18"/>
                <w:szCs w:val="18"/>
              </w:rPr>
              <w:t xml:space="preserve"> 84</w:t>
            </w:r>
          </w:p>
          <w:p w14:paraId="238C0137"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sz w:val="18"/>
                <w:szCs w:val="18"/>
              </w:rPr>
              <w:t>Average length of stay for overnight care:</w:t>
            </w:r>
            <w:r w:rsidRPr="008E7073">
              <w:rPr>
                <w:rFonts w:ascii="Arial" w:hAnsi="Arial" w:cs="Arial"/>
                <w:sz w:val="18"/>
                <w:szCs w:val="18"/>
              </w:rPr>
              <w:t xml:space="preserve"> 1.6 days</w:t>
            </w:r>
          </w:p>
          <w:p w14:paraId="4D174E28"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sz w:val="18"/>
                <w:szCs w:val="18"/>
              </w:rPr>
              <w:t>Catchment self-sufficiency for acute care:</w:t>
            </w:r>
            <w:r w:rsidRPr="008E7073">
              <w:rPr>
                <w:rFonts w:ascii="Arial" w:hAnsi="Arial" w:cs="Arial"/>
                <w:sz w:val="18"/>
                <w:szCs w:val="18"/>
              </w:rPr>
              <w:t xml:space="preserve"> Not applicable</w:t>
            </w:r>
          </w:p>
          <w:p w14:paraId="121E30B2"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sz w:val="18"/>
                <w:szCs w:val="18"/>
              </w:rPr>
              <w:t>Proportion of acute bed days delivered in the home:</w:t>
            </w:r>
            <w:r w:rsidRPr="008E7073">
              <w:rPr>
                <w:rFonts w:ascii="Arial" w:hAnsi="Arial" w:cs="Arial"/>
                <w:sz w:val="18"/>
                <w:szCs w:val="18"/>
              </w:rPr>
              <w:t xml:space="preserve"> 0–5% </w:t>
            </w:r>
          </w:p>
          <w:p w14:paraId="2B3EE02D"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sz w:val="18"/>
                <w:szCs w:val="18"/>
              </w:rPr>
              <w:t>Medical practitioners/specialists:</w:t>
            </w:r>
            <w:r w:rsidRPr="008E7073">
              <w:rPr>
                <w:rFonts w:ascii="Arial" w:hAnsi="Arial" w:cs="Arial"/>
                <w:sz w:val="18"/>
                <w:szCs w:val="18"/>
              </w:rPr>
              <w:t xml:space="preserve"> Directly employed</w:t>
            </w:r>
          </w:p>
        </w:tc>
      </w:tr>
      <w:tr w:rsidR="00BF194A" w:rsidRPr="008E7073" w14:paraId="365623CD" w14:textId="77777777">
        <w:trPr>
          <w:trHeight w:val="1489"/>
        </w:trPr>
        <w:tc>
          <w:tcPr>
            <w:tcW w:w="582" w:type="pct"/>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578911BE" w14:textId="77777777" w:rsidR="00BF194A" w:rsidRPr="008E7073" w:rsidRDefault="00BF194A">
            <w:pPr>
              <w:keepNext/>
              <w:keepLines/>
              <w:rPr>
                <w:rFonts w:cs="Arial"/>
                <w:lang w:eastAsia="en-AU"/>
              </w:rPr>
            </w:pPr>
            <w:r w:rsidRPr="008E7073">
              <w:rPr>
                <w:rFonts w:cs="Arial"/>
                <w:noProof/>
                <w:lang w:eastAsia="en-AU"/>
              </w:rPr>
              <w:drawing>
                <wp:inline distT="0" distB="0" distL="0" distR="0" wp14:anchorId="386A5EE8" wp14:editId="20F7C4A1">
                  <wp:extent cx="477079" cy="477079"/>
                  <wp:effectExtent l="0" t="0" r="0" b="0"/>
                  <wp:docPr id="920988647" name="Graphic 9209886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988647" name="Graphic 920988647">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86216" cy="486216"/>
                          </a:xfrm>
                          <a:prstGeom prst="rect">
                            <a:avLst/>
                          </a:prstGeom>
                        </pic:spPr>
                      </pic:pic>
                    </a:graphicData>
                  </a:graphic>
                </wp:inline>
              </w:drawing>
            </w:r>
          </w:p>
        </w:tc>
        <w:tc>
          <w:tcPr>
            <w:tcW w:w="944" w:type="pct"/>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407A77B2" w14:textId="77777777" w:rsidR="00BF194A" w:rsidRPr="008E7073" w:rsidRDefault="00BF194A">
            <w:pPr>
              <w:keepNext/>
              <w:keepLines/>
              <w:rPr>
                <w:rFonts w:cs="Arial"/>
                <w:b/>
                <w:color w:val="365F91" w:themeColor="accent1" w:themeShade="BF"/>
                <w:lang w:eastAsia="en-AU"/>
              </w:rPr>
            </w:pPr>
            <w:r w:rsidRPr="008E7073">
              <w:rPr>
                <w:rFonts w:cs="Arial"/>
                <w:b/>
                <w:color w:val="365F91" w:themeColor="accent1" w:themeShade="BF"/>
                <w:lang w:eastAsia="en-AU"/>
              </w:rPr>
              <w:t>Catchment Community</w:t>
            </w:r>
          </w:p>
        </w:tc>
        <w:tc>
          <w:tcPr>
            <w:tcW w:w="3474" w:type="pct"/>
            <w:tcBorders>
              <w:top w:val="single" w:sz="4" w:space="0" w:color="auto"/>
              <w:left w:val="nil"/>
              <w:bottom w:val="single" w:sz="4" w:space="0" w:color="auto"/>
              <w:right w:val="nil"/>
            </w:tcBorders>
            <w:tcMar>
              <w:top w:w="72" w:type="dxa"/>
              <w:left w:w="144" w:type="dxa"/>
              <w:bottom w:w="72" w:type="dxa"/>
              <w:right w:w="144" w:type="dxa"/>
            </w:tcMar>
            <w:vAlign w:val="center"/>
          </w:tcPr>
          <w:p w14:paraId="354EC10E" w14:textId="77777777" w:rsidR="00BF194A" w:rsidRPr="008E7073" w:rsidRDefault="00BF194A">
            <w:pPr>
              <w:pStyle w:val="PlanXXspecial-appendix4table"/>
              <w:keepNext/>
              <w:keepLines/>
              <w:rPr>
                <w:rFonts w:ascii="Arial" w:hAnsi="Arial" w:cs="Arial"/>
                <w:b/>
                <w:sz w:val="18"/>
                <w:szCs w:val="18"/>
              </w:rPr>
            </w:pPr>
            <w:r w:rsidRPr="008E7073">
              <w:rPr>
                <w:rFonts w:ascii="Arial" w:hAnsi="Arial" w:cs="Arial"/>
                <w:b/>
                <w:sz w:val="18"/>
                <w:szCs w:val="18"/>
              </w:rPr>
              <w:t xml:space="preserve">Population Size: </w:t>
            </w:r>
            <w:r w:rsidRPr="008E7073">
              <w:rPr>
                <w:rFonts w:ascii="Arial" w:hAnsi="Arial" w:cs="Arial"/>
                <w:sz w:val="18"/>
                <w:szCs w:val="18"/>
              </w:rPr>
              <w:t>&gt;200,000</w:t>
            </w:r>
          </w:p>
          <w:p w14:paraId="29510450" w14:textId="77777777" w:rsidR="00BF194A" w:rsidRPr="008E7073" w:rsidRDefault="00BF194A">
            <w:pPr>
              <w:pStyle w:val="PlanXXspecial-appendix4table"/>
              <w:keepNext/>
              <w:keepLines/>
              <w:rPr>
                <w:rFonts w:ascii="Arial" w:hAnsi="Arial" w:cs="Arial"/>
                <w:b/>
                <w:sz w:val="18"/>
                <w:szCs w:val="18"/>
              </w:rPr>
            </w:pPr>
            <w:r w:rsidRPr="008E7073">
              <w:rPr>
                <w:rFonts w:ascii="Arial" w:hAnsi="Arial" w:cs="Arial"/>
                <w:b/>
                <w:sz w:val="18"/>
                <w:szCs w:val="18"/>
              </w:rPr>
              <w:t xml:space="preserve">Age distribution: </w:t>
            </w:r>
            <w:r w:rsidRPr="008E7073">
              <w:rPr>
                <w:rFonts w:ascii="Arial" w:hAnsi="Arial" w:cs="Arial"/>
                <w:sz w:val="18"/>
                <w:szCs w:val="18"/>
              </w:rPr>
              <w:t>varies</w:t>
            </w:r>
          </w:p>
          <w:p w14:paraId="241F3CD1" w14:textId="77777777" w:rsidR="00BF194A" w:rsidRPr="008E7073" w:rsidRDefault="00BF194A">
            <w:pPr>
              <w:pStyle w:val="PlanXXspecial-appendix4table"/>
              <w:keepNext/>
              <w:keepLines/>
              <w:rPr>
                <w:rFonts w:ascii="Arial" w:hAnsi="Arial" w:cs="Arial"/>
                <w:b/>
                <w:sz w:val="18"/>
                <w:szCs w:val="18"/>
              </w:rPr>
            </w:pPr>
            <w:r w:rsidRPr="008E7073">
              <w:rPr>
                <w:rFonts w:ascii="Arial" w:hAnsi="Arial" w:cs="Arial"/>
                <w:b/>
                <w:sz w:val="18"/>
                <w:szCs w:val="18"/>
              </w:rPr>
              <w:t xml:space="preserve">Location: </w:t>
            </w:r>
            <w:r w:rsidRPr="008E7073">
              <w:rPr>
                <w:rFonts w:ascii="Arial" w:hAnsi="Arial" w:cs="Arial"/>
                <w:sz w:val="18"/>
                <w:szCs w:val="18"/>
              </w:rPr>
              <w:t>Metropolitan Melbourne</w:t>
            </w:r>
          </w:p>
          <w:p w14:paraId="5D6CE9E7"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sz w:val="18"/>
                <w:szCs w:val="18"/>
              </w:rPr>
              <w:t xml:space="preserve">Avg. travel distance: </w:t>
            </w:r>
            <w:r w:rsidRPr="008E7073">
              <w:rPr>
                <w:rFonts w:ascii="Arial" w:hAnsi="Arial" w:cs="Arial"/>
                <w:sz w:val="18"/>
                <w:szCs w:val="18"/>
              </w:rPr>
              <w:t>Not applicable</w:t>
            </w:r>
          </w:p>
        </w:tc>
      </w:tr>
    </w:tbl>
    <w:p w14:paraId="21A843FE" w14:textId="77777777" w:rsidR="00BF194A" w:rsidRPr="008E7073" w:rsidRDefault="00BF194A" w:rsidP="00BF194A">
      <w:pPr>
        <w:pStyle w:val="Body"/>
        <w:keepNext/>
        <w:keepLines/>
        <w:rPr>
          <w:rFonts w:cs="Arial"/>
          <w:i/>
          <w:iCs/>
          <w:sz w:val="16"/>
          <w:szCs w:val="16"/>
        </w:rPr>
      </w:pPr>
      <w:r w:rsidRPr="008E7073">
        <w:rPr>
          <w:rFonts w:eastAsia="Times New Roman" w:cs="Arial"/>
          <w:i/>
          <w:iCs/>
          <w:sz w:val="16"/>
          <w:szCs w:val="16"/>
        </w:rPr>
        <w:t xml:space="preserve">* Excludes sub-acute and mental health admitted activity; </w:t>
      </w:r>
      <w:r w:rsidRPr="008E7073">
        <w:rPr>
          <w:rFonts w:cs="Arial"/>
          <w:i/>
          <w:iCs/>
          <w:sz w:val="16"/>
          <w:szCs w:val="16"/>
          <w:vertAlign w:val="superscript"/>
        </w:rPr>
        <w:t>ⱡ</w:t>
      </w:r>
      <w:r w:rsidRPr="008E7073">
        <w:rPr>
          <w:rFonts w:cs="Arial"/>
          <w:i/>
          <w:iCs/>
          <w:sz w:val="16"/>
          <w:szCs w:val="16"/>
        </w:rPr>
        <w:t>Median values are rounded to nearest 100</w:t>
      </w:r>
    </w:p>
    <w:p w14:paraId="4F453CEA" w14:textId="77777777" w:rsidR="00BF194A" w:rsidRPr="008E7073" w:rsidRDefault="00BF194A" w:rsidP="00BF194A">
      <w:pPr>
        <w:pStyle w:val="Body"/>
        <w:keepNext/>
        <w:keepLines/>
        <w:rPr>
          <w:rFonts w:cs="Arial"/>
          <w:i/>
          <w:iCs/>
          <w:sz w:val="16"/>
          <w:szCs w:val="16"/>
        </w:rPr>
      </w:pPr>
    </w:p>
    <w:p w14:paraId="2E3ECE73" w14:textId="77777777" w:rsidR="00BF194A" w:rsidRPr="008E7073" w:rsidRDefault="00BF194A" w:rsidP="00BF194A">
      <w:pPr>
        <w:pStyle w:val="Body"/>
        <w:keepNext/>
        <w:keepLines/>
        <w:rPr>
          <w:rFonts w:eastAsia="Times New Roman" w:cs="Arial"/>
          <w:i/>
          <w:iCs/>
          <w:sz w:val="18"/>
          <w:szCs w:val="18"/>
        </w:rPr>
      </w:pPr>
    </w:p>
    <w:p w14:paraId="3A82EBC4" w14:textId="77777777" w:rsidR="00BF194A" w:rsidRPr="008E7073" w:rsidRDefault="00BF194A" w:rsidP="00BF194A">
      <w:pPr>
        <w:spacing w:after="0" w:line="240" w:lineRule="auto"/>
        <w:rPr>
          <w:rFonts w:cs="Arial"/>
          <w:i/>
          <w:iCs/>
          <w:sz w:val="18"/>
          <w:szCs w:val="18"/>
        </w:rPr>
      </w:pPr>
      <w:r w:rsidRPr="008E7073">
        <w:rPr>
          <w:rFonts w:cs="Arial"/>
          <w:i/>
          <w:iCs/>
          <w:sz w:val="18"/>
          <w:szCs w:val="18"/>
        </w:rPr>
        <w:br w:type="page"/>
      </w:r>
    </w:p>
    <w:p w14:paraId="4B9B9DD0" w14:textId="77777777" w:rsidR="00BF194A" w:rsidRPr="008E7073" w:rsidRDefault="00BF194A" w:rsidP="00BF194A">
      <w:pPr>
        <w:pStyle w:val="Caption"/>
        <w:keepNext/>
        <w:keepLines/>
        <w:rPr>
          <w:rFonts w:cs="Arial"/>
        </w:rPr>
      </w:pPr>
      <w:r w:rsidRPr="008E7073">
        <w:rPr>
          <w:rFonts w:cs="Arial"/>
        </w:rPr>
        <w:lastRenderedPageBreak/>
        <w:t xml:space="preserve">Table </w:t>
      </w:r>
      <w:r w:rsidRPr="008E7073">
        <w:rPr>
          <w:rFonts w:cs="Arial"/>
        </w:rPr>
        <w:fldChar w:fldCharType="begin"/>
      </w:r>
      <w:r w:rsidRPr="008E7073">
        <w:rPr>
          <w:rFonts w:cs="Arial"/>
        </w:rPr>
        <w:instrText xml:space="preserve"> SEQ Table \* ARABIC </w:instrText>
      </w:r>
      <w:r w:rsidRPr="008E7073">
        <w:rPr>
          <w:rFonts w:cs="Arial"/>
        </w:rPr>
        <w:fldChar w:fldCharType="separate"/>
      </w:r>
      <w:r w:rsidRPr="008E7073">
        <w:rPr>
          <w:rFonts w:cs="Arial"/>
          <w:noProof/>
        </w:rPr>
        <w:t>13</w:t>
      </w:r>
      <w:r w:rsidRPr="008E7073">
        <w:rPr>
          <w:rFonts w:cs="Arial"/>
        </w:rPr>
        <w:fldChar w:fldCharType="end"/>
      </w:r>
      <w:r w:rsidRPr="008E7073">
        <w:rPr>
          <w:rFonts w:cs="Arial"/>
        </w:rPr>
        <w:t>.  Public Surgery Centre site characteristics</w:t>
      </w:r>
    </w:p>
    <w:tbl>
      <w:tblPr>
        <w:tblW w:w="5000" w:type="pct"/>
        <w:tblCellMar>
          <w:left w:w="0" w:type="dxa"/>
          <w:right w:w="0" w:type="dxa"/>
        </w:tblCellMar>
        <w:tblLook w:val="0420" w:firstRow="1" w:lastRow="0" w:firstColumn="0" w:lastColumn="0" w:noHBand="0" w:noVBand="1"/>
      </w:tblPr>
      <w:tblGrid>
        <w:gridCol w:w="1083"/>
        <w:gridCol w:w="1755"/>
        <w:gridCol w:w="6460"/>
      </w:tblGrid>
      <w:tr w:rsidR="00BF194A" w:rsidRPr="008E7073" w14:paraId="64A1E617" w14:textId="77777777">
        <w:trPr>
          <w:trHeight w:val="234"/>
          <w:tblHeader/>
        </w:trPr>
        <w:tc>
          <w:tcPr>
            <w:tcW w:w="5000" w:type="pct"/>
            <w:gridSpan w:val="3"/>
            <w:tcBorders>
              <w:top w:val="single" w:sz="18" w:space="0" w:color="000000" w:themeColor="text1"/>
              <w:left w:val="nil"/>
              <w:bottom w:val="single" w:sz="18" w:space="0" w:color="000000" w:themeColor="text1"/>
              <w:right w:val="nil"/>
            </w:tcBorders>
            <w:shd w:val="clear" w:color="auto" w:fill="F2F2F2" w:themeFill="background1" w:themeFillShade="F2"/>
            <w:tcMar>
              <w:top w:w="72" w:type="dxa"/>
              <w:left w:w="144" w:type="dxa"/>
              <w:bottom w:w="72" w:type="dxa"/>
              <w:right w:w="144" w:type="dxa"/>
            </w:tcMar>
          </w:tcPr>
          <w:p w14:paraId="2C0205B6" w14:textId="77777777" w:rsidR="00BF194A" w:rsidRPr="008E7073" w:rsidRDefault="00BF194A">
            <w:pPr>
              <w:keepNext/>
              <w:keepLines/>
              <w:rPr>
                <w:rFonts w:cs="Arial"/>
                <w:b/>
                <w:lang w:eastAsia="en-AU"/>
              </w:rPr>
            </w:pPr>
            <w:r w:rsidRPr="008E7073">
              <w:rPr>
                <w:rFonts w:cs="Arial"/>
                <w:b/>
                <w:lang w:eastAsia="en-AU"/>
              </w:rPr>
              <w:t>Description – Early Parenting Centres</w:t>
            </w:r>
          </w:p>
        </w:tc>
      </w:tr>
      <w:tr w:rsidR="00BF194A" w:rsidRPr="008E7073" w14:paraId="78DAB5F9" w14:textId="77777777">
        <w:trPr>
          <w:trHeight w:val="1246"/>
        </w:trPr>
        <w:tc>
          <w:tcPr>
            <w:tcW w:w="582" w:type="pct"/>
            <w:tcBorders>
              <w:top w:val="single" w:sz="18" w:space="0" w:color="000000" w:themeColor="text1"/>
              <w:left w:val="nil"/>
              <w:bottom w:val="single" w:sz="4" w:space="0" w:color="auto"/>
              <w:right w:val="nil"/>
            </w:tcBorders>
            <w:tcMar>
              <w:top w:w="72" w:type="dxa"/>
              <w:left w:w="144" w:type="dxa"/>
              <w:bottom w:w="72" w:type="dxa"/>
              <w:right w:w="144" w:type="dxa"/>
            </w:tcMar>
            <w:vAlign w:val="center"/>
            <w:hideMark/>
          </w:tcPr>
          <w:p w14:paraId="3204EB6E" w14:textId="77777777" w:rsidR="00BF194A" w:rsidRPr="008E7073" w:rsidRDefault="00BF194A">
            <w:pPr>
              <w:keepNext/>
              <w:keepLines/>
              <w:rPr>
                <w:rFonts w:cs="Arial"/>
                <w:lang w:eastAsia="en-AU"/>
              </w:rPr>
            </w:pPr>
            <w:r w:rsidRPr="008E7073">
              <w:rPr>
                <w:rFonts w:cs="Arial"/>
                <w:noProof/>
                <w:lang w:eastAsia="en-AU"/>
              </w:rPr>
              <w:drawing>
                <wp:inline distT="0" distB="0" distL="0" distR="0" wp14:anchorId="7F62E5F6" wp14:editId="5C3F287B">
                  <wp:extent cx="485775" cy="485775"/>
                  <wp:effectExtent l="0" t="0" r="9525" b="0"/>
                  <wp:docPr id="472872802" name="Graphic 4728728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872802" name="Graphic 472872802">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5775" cy="485775"/>
                          </a:xfrm>
                          <a:prstGeom prst="rect">
                            <a:avLst/>
                          </a:prstGeom>
                        </pic:spPr>
                      </pic:pic>
                    </a:graphicData>
                  </a:graphic>
                </wp:inline>
              </w:drawing>
            </w:r>
          </w:p>
        </w:tc>
        <w:tc>
          <w:tcPr>
            <w:tcW w:w="944" w:type="pct"/>
            <w:tcBorders>
              <w:top w:val="single" w:sz="18" w:space="0" w:color="000000" w:themeColor="text1"/>
              <w:left w:val="nil"/>
              <w:bottom w:val="single" w:sz="4" w:space="0" w:color="auto"/>
              <w:right w:val="nil"/>
            </w:tcBorders>
            <w:tcMar>
              <w:top w:w="72" w:type="dxa"/>
              <w:left w:w="144" w:type="dxa"/>
              <w:bottom w:w="72" w:type="dxa"/>
              <w:right w:w="144" w:type="dxa"/>
            </w:tcMar>
            <w:vAlign w:val="center"/>
            <w:hideMark/>
          </w:tcPr>
          <w:p w14:paraId="01C8A418" w14:textId="77777777" w:rsidR="00BF194A" w:rsidRPr="008E7073" w:rsidRDefault="00BF194A">
            <w:pPr>
              <w:keepNext/>
              <w:keepLines/>
              <w:rPr>
                <w:rFonts w:cs="Arial"/>
                <w:b/>
                <w:color w:val="365F91" w:themeColor="accent1" w:themeShade="BF"/>
                <w:lang w:eastAsia="en-AU"/>
              </w:rPr>
            </w:pPr>
            <w:r w:rsidRPr="008E7073">
              <w:rPr>
                <w:rFonts w:cs="Arial"/>
                <w:b/>
                <w:color w:val="365F91" w:themeColor="accent1" w:themeShade="BF"/>
                <w:lang w:eastAsia="en-AU"/>
              </w:rPr>
              <w:t>Service Profile</w:t>
            </w:r>
          </w:p>
        </w:tc>
        <w:tc>
          <w:tcPr>
            <w:tcW w:w="3474" w:type="pct"/>
            <w:tcBorders>
              <w:top w:val="single" w:sz="18" w:space="0" w:color="000000" w:themeColor="text1"/>
              <w:left w:val="nil"/>
              <w:bottom w:val="single" w:sz="4" w:space="0" w:color="auto"/>
              <w:right w:val="nil"/>
            </w:tcBorders>
            <w:tcMar>
              <w:top w:w="72" w:type="dxa"/>
              <w:left w:w="144" w:type="dxa"/>
              <w:bottom w:w="72" w:type="dxa"/>
              <w:right w:w="144" w:type="dxa"/>
            </w:tcMar>
            <w:vAlign w:val="center"/>
          </w:tcPr>
          <w:p w14:paraId="094BEAFD" w14:textId="77777777" w:rsidR="00BF194A" w:rsidRPr="008E7073" w:rsidRDefault="00BF194A">
            <w:pPr>
              <w:pStyle w:val="PlanXXSpecial-Appendix4figuredots"/>
              <w:keepNext/>
              <w:keepLines/>
              <w:ind w:left="357" w:hanging="357"/>
              <w:rPr>
                <w:rFonts w:ascii="Arial" w:hAnsi="Arial" w:cs="Arial"/>
                <w:sz w:val="18"/>
                <w:szCs w:val="18"/>
              </w:rPr>
            </w:pPr>
            <w:r w:rsidRPr="008E7073">
              <w:rPr>
                <w:rFonts w:ascii="Arial" w:hAnsi="Arial" w:cs="Arial"/>
                <w:sz w:val="18"/>
                <w:szCs w:val="18"/>
              </w:rPr>
              <w:t>Same day and overnight care addressing sleep and settling routines and feeding difficulties</w:t>
            </w:r>
          </w:p>
          <w:p w14:paraId="40829D37" w14:textId="77777777" w:rsidR="00BF194A" w:rsidRPr="008E7073" w:rsidRDefault="00BF194A">
            <w:pPr>
              <w:pStyle w:val="PlanXXSpecial-Appendix4figuredots"/>
              <w:keepNext/>
              <w:keepLines/>
              <w:ind w:left="357" w:hanging="357"/>
              <w:rPr>
                <w:rFonts w:ascii="Arial" w:hAnsi="Arial" w:cs="Arial"/>
                <w:sz w:val="18"/>
                <w:szCs w:val="18"/>
              </w:rPr>
            </w:pPr>
            <w:r w:rsidRPr="008E7073">
              <w:rPr>
                <w:rFonts w:ascii="Arial" w:hAnsi="Arial" w:cs="Arial"/>
                <w:sz w:val="18"/>
                <w:szCs w:val="18"/>
              </w:rPr>
              <w:t>Managing infant and toddler behavioural issues</w:t>
            </w:r>
          </w:p>
          <w:p w14:paraId="6DD62561" w14:textId="77777777" w:rsidR="00BF194A" w:rsidRPr="008E7073" w:rsidRDefault="00BF194A">
            <w:pPr>
              <w:pStyle w:val="PlanXXSpecial-Appendix4figuredots"/>
              <w:keepNext/>
              <w:keepLines/>
              <w:ind w:left="357" w:hanging="357"/>
              <w:rPr>
                <w:rFonts w:ascii="Arial" w:hAnsi="Arial" w:cs="Arial"/>
                <w:sz w:val="18"/>
                <w:szCs w:val="18"/>
              </w:rPr>
            </w:pPr>
            <w:r w:rsidRPr="008E7073">
              <w:rPr>
                <w:rFonts w:ascii="Arial" w:hAnsi="Arial" w:cs="Arial"/>
                <w:sz w:val="18"/>
                <w:szCs w:val="18"/>
              </w:rPr>
              <w:t>Enhancing parent-child relationship</w:t>
            </w:r>
          </w:p>
          <w:p w14:paraId="4B64E60F" w14:textId="77777777" w:rsidR="00BF194A" w:rsidRPr="008E7073" w:rsidRDefault="00BF194A">
            <w:pPr>
              <w:pStyle w:val="PlanXXSpecial-Appendix4figuredots"/>
              <w:keepNext/>
              <w:keepLines/>
              <w:ind w:left="357" w:hanging="357"/>
              <w:rPr>
                <w:rFonts w:ascii="Arial" w:hAnsi="Arial" w:cs="Arial"/>
              </w:rPr>
            </w:pPr>
            <w:r w:rsidRPr="008E7073">
              <w:rPr>
                <w:rFonts w:ascii="Arial" w:hAnsi="Arial" w:cs="Arial"/>
                <w:sz w:val="18"/>
                <w:szCs w:val="18"/>
              </w:rPr>
              <w:t>Building parental confidence and supporting the transition to parenthood</w:t>
            </w:r>
          </w:p>
        </w:tc>
      </w:tr>
      <w:tr w:rsidR="00BF194A" w:rsidRPr="008E7073" w14:paraId="34197079" w14:textId="77777777">
        <w:trPr>
          <w:trHeight w:val="1262"/>
        </w:trPr>
        <w:tc>
          <w:tcPr>
            <w:tcW w:w="582" w:type="pct"/>
            <w:tcBorders>
              <w:top w:val="single" w:sz="4" w:space="0" w:color="auto"/>
              <w:left w:val="nil"/>
              <w:bottom w:val="single" w:sz="4" w:space="0" w:color="auto"/>
              <w:right w:val="nil"/>
            </w:tcBorders>
            <w:tcMar>
              <w:top w:w="72" w:type="dxa"/>
              <w:left w:w="144" w:type="dxa"/>
              <w:bottom w:w="72" w:type="dxa"/>
              <w:right w:w="144" w:type="dxa"/>
            </w:tcMar>
            <w:vAlign w:val="center"/>
          </w:tcPr>
          <w:p w14:paraId="7983FA34" w14:textId="77777777" w:rsidR="00BF194A" w:rsidRPr="008E7073" w:rsidRDefault="00BF194A">
            <w:pPr>
              <w:keepNext/>
              <w:keepLines/>
              <w:rPr>
                <w:rFonts w:cs="Arial"/>
                <w:lang w:eastAsia="en-AU"/>
              </w:rPr>
            </w:pPr>
            <w:r w:rsidRPr="008E7073">
              <w:rPr>
                <w:rFonts w:cs="Arial"/>
                <w:noProof/>
                <w:color w:val="365F91" w:themeColor="accent1" w:themeShade="BF"/>
                <w:lang w:eastAsia="en-AU"/>
              </w:rPr>
              <w:drawing>
                <wp:inline distT="0" distB="0" distL="0" distR="0" wp14:anchorId="428BCDD4" wp14:editId="7E00E845">
                  <wp:extent cx="475488" cy="475488"/>
                  <wp:effectExtent l="0" t="0" r="0" b="1270"/>
                  <wp:docPr id="746449928"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449928" name="Graphic 2">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480114" cy="480114"/>
                          </a:xfrm>
                          <a:prstGeom prst="rect">
                            <a:avLst/>
                          </a:prstGeom>
                        </pic:spPr>
                      </pic:pic>
                    </a:graphicData>
                  </a:graphic>
                </wp:inline>
              </w:drawing>
            </w:r>
          </w:p>
        </w:tc>
        <w:tc>
          <w:tcPr>
            <w:tcW w:w="944" w:type="pct"/>
            <w:tcBorders>
              <w:top w:val="single" w:sz="4" w:space="0" w:color="auto"/>
              <w:left w:val="nil"/>
              <w:bottom w:val="single" w:sz="4" w:space="0" w:color="auto"/>
              <w:right w:val="nil"/>
            </w:tcBorders>
            <w:tcMar>
              <w:top w:w="72" w:type="dxa"/>
              <w:left w:w="144" w:type="dxa"/>
              <w:bottom w:w="72" w:type="dxa"/>
              <w:right w:w="144" w:type="dxa"/>
            </w:tcMar>
            <w:vAlign w:val="center"/>
          </w:tcPr>
          <w:p w14:paraId="57229AB2" w14:textId="77777777" w:rsidR="00BF194A" w:rsidRPr="008E7073" w:rsidRDefault="00BF194A">
            <w:pPr>
              <w:keepNext/>
              <w:keepLines/>
              <w:rPr>
                <w:rFonts w:cs="Arial"/>
                <w:b/>
                <w:color w:val="365F91" w:themeColor="accent1" w:themeShade="BF"/>
                <w:lang w:eastAsia="en-AU"/>
              </w:rPr>
            </w:pPr>
            <w:r w:rsidRPr="008E7073">
              <w:rPr>
                <w:rFonts w:cs="Arial"/>
                <w:b/>
                <w:color w:val="365F91" w:themeColor="accent1" w:themeShade="BF"/>
                <w:lang w:eastAsia="en-AU"/>
              </w:rPr>
              <w:t>Primary &amp; Aged Care</w:t>
            </w:r>
          </w:p>
        </w:tc>
        <w:tc>
          <w:tcPr>
            <w:tcW w:w="3474" w:type="pct"/>
            <w:tcBorders>
              <w:top w:val="single" w:sz="4" w:space="0" w:color="auto"/>
              <w:left w:val="nil"/>
              <w:bottom w:val="single" w:sz="4" w:space="0" w:color="auto"/>
              <w:right w:val="nil"/>
            </w:tcBorders>
            <w:tcMar>
              <w:top w:w="72" w:type="dxa"/>
              <w:left w:w="144" w:type="dxa"/>
              <w:bottom w:w="72" w:type="dxa"/>
              <w:right w:w="144" w:type="dxa"/>
            </w:tcMar>
            <w:vAlign w:val="center"/>
          </w:tcPr>
          <w:p w14:paraId="6595779A" w14:textId="77777777" w:rsidR="00BF194A" w:rsidRPr="008E7073" w:rsidRDefault="00BF194A">
            <w:pPr>
              <w:pStyle w:val="Body"/>
              <w:keepNext/>
              <w:keepLines/>
              <w:rPr>
                <w:rFonts w:cs="Arial"/>
                <w:sz w:val="18"/>
                <w:szCs w:val="18"/>
              </w:rPr>
            </w:pPr>
            <w:r w:rsidRPr="008E7073">
              <w:rPr>
                <w:rFonts w:cs="Arial"/>
                <w:b/>
                <w:sz w:val="18"/>
                <w:szCs w:val="18"/>
              </w:rPr>
              <w:t>Public Sector Residential Aged Care places:</w:t>
            </w:r>
            <w:r w:rsidRPr="008E7073">
              <w:rPr>
                <w:rFonts w:cs="Arial"/>
                <w:sz w:val="18"/>
                <w:szCs w:val="18"/>
              </w:rPr>
              <w:t xml:space="preserve"> Not applicable</w:t>
            </w:r>
          </w:p>
          <w:p w14:paraId="321A4017" w14:textId="77777777" w:rsidR="00BF194A" w:rsidRPr="008E7073" w:rsidRDefault="00BF194A">
            <w:pPr>
              <w:pStyle w:val="Body"/>
              <w:keepNext/>
              <w:keepLines/>
              <w:rPr>
                <w:rFonts w:cs="Arial"/>
                <w:sz w:val="18"/>
                <w:szCs w:val="18"/>
              </w:rPr>
            </w:pPr>
            <w:r w:rsidRPr="008E7073">
              <w:rPr>
                <w:rFonts w:cs="Arial"/>
                <w:b/>
                <w:bCs/>
                <w:sz w:val="18"/>
                <w:szCs w:val="18"/>
              </w:rPr>
              <w:t>Primary health services:</w:t>
            </w:r>
            <w:r w:rsidRPr="008E7073">
              <w:rPr>
                <w:rFonts w:cs="Arial"/>
                <w:sz w:val="18"/>
                <w:szCs w:val="18"/>
              </w:rPr>
              <w:t xml:space="preserve"> Not applicable</w:t>
            </w:r>
          </w:p>
        </w:tc>
      </w:tr>
      <w:tr w:rsidR="00BF194A" w:rsidRPr="008E7073" w14:paraId="097920F0" w14:textId="77777777">
        <w:trPr>
          <w:trHeight w:val="1262"/>
        </w:trPr>
        <w:tc>
          <w:tcPr>
            <w:tcW w:w="582" w:type="pct"/>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4EFC9BB0" w14:textId="77777777" w:rsidR="00BF194A" w:rsidRPr="008E7073" w:rsidRDefault="00BF194A">
            <w:pPr>
              <w:keepNext/>
              <w:keepLines/>
              <w:rPr>
                <w:rFonts w:cs="Arial"/>
                <w:lang w:eastAsia="en-AU"/>
              </w:rPr>
            </w:pPr>
            <w:r w:rsidRPr="008E7073">
              <w:rPr>
                <w:rFonts w:cs="Arial"/>
                <w:noProof/>
                <w:lang w:eastAsia="en-AU"/>
              </w:rPr>
              <w:drawing>
                <wp:inline distT="0" distB="0" distL="0" distR="0" wp14:anchorId="01E8AA43" wp14:editId="03DBAD5C">
                  <wp:extent cx="504749" cy="504749"/>
                  <wp:effectExtent l="0" t="0" r="0" b="0"/>
                  <wp:docPr id="588809136"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09136" name="Graphic 1">
                            <a:extLst>
                              <a:ext uri="{C183D7F6-B498-43B3-948B-1728B52AA6E4}">
                                <adec:decorative xmlns:adec="http://schemas.microsoft.com/office/drawing/2017/decorative" val="1"/>
                              </a:ext>
                            </a:extLst>
                          </pic:cNvPr>
                          <pic:cNvPicPr/>
                        </pic:nvPicPr>
                        <pic:blipFill>
                          <a:blip r:embed="rId21">
                            <a:extLst>
                              <a:ext uri="{96DAC541-7B7A-43D3-8B79-37D633B846F1}">
                                <asvg:svgBlip xmlns:asvg="http://schemas.microsoft.com/office/drawing/2016/SVG/main" r:embed="rId22"/>
                              </a:ext>
                            </a:extLst>
                          </a:blip>
                          <a:stretch>
                            <a:fillRect/>
                          </a:stretch>
                        </pic:blipFill>
                        <pic:spPr>
                          <a:xfrm>
                            <a:off x="0" y="0"/>
                            <a:ext cx="508034" cy="508034"/>
                          </a:xfrm>
                          <a:prstGeom prst="rect">
                            <a:avLst/>
                          </a:prstGeom>
                        </pic:spPr>
                      </pic:pic>
                    </a:graphicData>
                  </a:graphic>
                </wp:inline>
              </w:drawing>
            </w:r>
          </w:p>
        </w:tc>
        <w:tc>
          <w:tcPr>
            <w:tcW w:w="944" w:type="pct"/>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4BED7E96" w14:textId="77777777" w:rsidR="00BF194A" w:rsidRPr="008E7073" w:rsidRDefault="00BF194A">
            <w:pPr>
              <w:keepNext/>
              <w:keepLines/>
              <w:rPr>
                <w:rFonts w:cs="Arial"/>
                <w:b/>
                <w:color w:val="365F91" w:themeColor="accent1" w:themeShade="BF"/>
                <w:lang w:eastAsia="en-AU"/>
              </w:rPr>
            </w:pPr>
            <w:r w:rsidRPr="008E7073">
              <w:rPr>
                <w:rFonts w:cs="Arial"/>
                <w:b/>
                <w:color w:val="365F91" w:themeColor="accent1" w:themeShade="BF"/>
                <w:lang w:eastAsia="en-AU"/>
              </w:rPr>
              <w:t>Acute Care*</w:t>
            </w:r>
          </w:p>
        </w:tc>
        <w:tc>
          <w:tcPr>
            <w:tcW w:w="3474" w:type="pct"/>
            <w:tcBorders>
              <w:top w:val="single" w:sz="4" w:space="0" w:color="auto"/>
              <w:left w:val="nil"/>
              <w:bottom w:val="single" w:sz="4" w:space="0" w:color="auto"/>
              <w:right w:val="nil"/>
            </w:tcBorders>
            <w:tcMar>
              <w:top w:w="72" w:type="dxa"/>
              <w:left w:w="144" w:type="dxa"/>
              <w:bottom w:w="72" w:type="dxa"/>
              <w:right w:w="144" w:type="dxa"/>
            </w:tcMar>
            <w:vAlign w:val="center"/>
          </w:tcPr>
          <w:p w14:paraId="711E1D8D"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sz w:val="18"/>
                <w:szCs w:val="20"/>
              </w:rPr>
              <w:t>Median</w:t>
            </w:r>
            <w:r w:rsidRPr="008E7073">
              <w:rPr>
                <w:rFonts w:ascii="Arial" w:hAnsi="Arial" w:cs="Arial"/>
                <w:b/>
                <w:sz w:val="18"/>
                <w:szCs w:val="20"/>
                <w:vertAlign w:val="superscript"/>
              </w:rPr>
              <w:t>ⱡ</w:t>
            </w:r>
            <w:r w:rsidRPr="008E7073">
              <w:rPr>
                <w:rFonts w:ascii="Arial" w:hAnsi="Arial" w:cs="Arial"/>
                <w:b/>
                <w:sz w:val="18"/>
                <w:szCs w:val="20"/>
              </w:rPr>
              <w:t xml:space="preserve"> acute separations*:</w:t>
            </w:r>
            <w:r w:rsidRPr="008E7073">
              <w:rPr>
                <w:rFonts w:ascii="Arial" w:hAnsi="Arial" w:cs="Arial"/>
                <w:sz w:val="18"/>
                <w:szCs w:val="20"/>
              </w:rPr>
              <w:t xml:space="preserve"> 2,200</w:t>
            </w:r>
          </w:p>
          <w:p w14:paraId="2B609AFE"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sz w:val="18"/>
                <w:szCs w:val="20"/>
              </w:rPr>
              <w:t>Median</w:t>
            </w:r>
            <w:r w:rsidRPr="008E7073">
              <w:rPr>
                <w:rFonts w:ascii="Arial" w:hAnsi="Arial" w:cs="Arial"/>
                <w:b/>
                <w:sz w:val="18"/>
                <w:szCs w:val="20"/>
                <w:vertAlign w:val="superscript"/>
              </w:rPr>
              <w:t>ⱡ</w:t>
            </w:r>
            <w:r w:rsidRPr="008E7073">
              <w:rPr>
                <w:rFonts w:ascii="Arial" w:hAnsi="Arial" w:cs="Arial"/>
                <w:b/>
                <w:sz w:val="18"/>
                <w:szCs w:val="20"/>
              </w:rPr>
              <w:t xml:space="preserve"> urgent &amp; emergency care presentations: </w:t>
            </w:r>
            <w:r w:rsidRPr="008E7073">
              <w:rPr>
                <w:rFonts w:ascii="Arial" w:hAnsi="Arial" w:cs="Arial"/>
                <w:sz w:val="18"/>
                <w:szCs w:val="20"/>
              </w:rPr>
              <w:t>Not applicable</w:t>
            </w:r>
          </w:p>
          <w:p w14:paraId="3426C3FD" w14:textId="77777777" w:rsidR="00BF194A" w:rsidRPr="008E7073" w:rsidRDefault="00BF194A">
            <w:pPr>
              <w:pStyle w:val="PlanXXspecial-appendix4table"/>
              <w:keepNext/>
              <w:keepLines/>
              <w:rPr>
                <w:rFonts w:ascii="Arial" w:hAnsi="Arial" w:cs="Arial"/>
                <w:sz w:val="18"/>
                <w:szCs w:val="20"/>
              </w:rPr>
            </w:pPr>
            <w:r w:rsidRPr="008E7073">
              <w:rPr>
                <w:rFonts w:ascii="Arial" w:hAnsi="Arial" w:cs="Arial"/>
                <w:b/>
                <w:sz w:val="18"/>
                <w:szCs w:val="20"/>
              </w:rPr>
              <w:t xml:space="preserve">Median Diagnostic Related Groups (&gt;5 seps): </w:t>
            </w:r>
            <w:r w:rsidRPr="008E7073">
              <w:rPr>
                <w:rFonts w:ascii="Arial" w:hAnsi="Arial" w:cs="Arial"/>
                <w:bCs/>
                <w:sz w:val="18"/>
                <w:szCs w:val="20"/>
              </w:rPr>
              <w:t>11</w:t>
            </w:r>
          </w:p>
          <w:p w14:paraId="4E397FD9" w14:textId="77777777" w:rsidR="00BF194A" w:rsidRPr="008E7073" w:rsidRDefault="00BF194A">
            <w:pPr>
              <w:pStyle w:val="PlanXXspecial-appendix4table"/>
              <w:keepNext/>
              <w:keepLines/>
              <w:rPr>
                <w:rFonts w:ascii="Arial" w:hAnsi="Arial" w:cs="Arial"/>
                <w:b/>
                <w:sz w:val="18"/>
                <w:szCs w:val="20"/>
              </w:rPr>
            </w:pPr>
            <w:r w:rsidRPr="008E7073">
              <w:rPr>
                <w:rFonts w:ascii="Arial" w:hAnsi="Arial" w:cs="Arial"/>
                <w:b/>
                <w:sz w:val="18"/>
                <w:szCs w:val="20"/>
              </w:rPr>
              <w:t>Median Clinical Capability Levels:</w:t>
            </w:r>
          </w:p>
          <w:p w14:paraId="0EEA97DA"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sz w:val="18"/>
                <w:szCs w:val="20"/>
              </w:rPr>
              <w:t>Adult Perioperative</w:t>
            </w:r>
            <w:r w:rsidRPr="008E7073">
              <w:rPr>
                <w:rFonts w:ascii="Arial" w:hAnsi="Arial" w:cs="Arial"/>
                <w:sz w:val="18"/>
                <w:szCs w:val="20"/>
              </w:rPr>
              <w:t xml:space="preserve"> – Typically not assessed</w:t>
            </w:r>
          </w:p>
          <w:p w14:paraId="58D04EE0"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sz w:val="18"/>
                <w:szCs w:val="20"/>
              </w:rPr>
              <w:t>Paediatric Perioperative</w:t>
            </w:r>
            <w:r w:rsidRPr="008E7073">
              <w:rPr>
                <w:rFonts w:ascii="Arial" w:hAnsi="Arial" w:cs="Arial"/>
                <w:sz w:val="18"/>
                <w:szCs w:val="20"/>
              </w:rPr>
              <w:t xml:space="preserve"> – Typically not assessed</w:t>
            </w:r>
          </w:p>
          <w:p w14:paraId="4A6EC88F"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Maternity</w:t>
            </w:r>
            <w:r w:rsidRPr="008E7073">
              <w:rPr>
                <w:rFonts w:ascii="Arial" w:hAnsi="Arial" w:cs="Arial"/>
                <w:sz w:val="18"/>
                <w:szCs w:val="20"/>
              </w:rPr>
              <w:t xml:space="preserve"> – Typically not assessed</w:t>
            </w:r>
          </w:p>
          <w:p w14:paraId="1710DFFB" w14:textId="77777777" w:rsidR="00BF194A" w:rsidRPr="008E7073" w:rsidRDefault="00BF194A">
            <w:pPr>
              <w:pStyle w:val="PlanXXspecial-appendix4table"/>
              <w:keepNext/>
              <w:keepLines/>
              <w:ind w:left="720"/>
              <w:rPr>
                <w:rFonts w:ascii="Arial" w:hAnsi="Arial" w:cs="Arial"/>
                <w:sz w:val="18"/>
                <w:szCs w:val="20"/>
              </w:rPr>
            </w:pPr>
            <w:r w:rsidRPr="008E7073">
              <w:rPr>
                <w:rFonts w:ascii="Arial" w:hAnsi="Arial" w:cs="Arial"/>
                <w:b/>
                <w:bCs/>
                <w:sz w:val="18"/>
                <w:szCs w:val="20"/>
              </w:rPr>
              <w:t>Newborn</w:t>
            </w:r>
            <w:r w:rsidRPr="008E7073">
              <w:rPr>
                <w:rFonts w:ascii="Arial" w:hAnsi="Arial" w:cs="Arial"/>
                <w:sz w:val="18"/>
                <w:szCs w:val="20"/>
              </w:rPr>
              <w:t xml:space="preserve"> – Typically not assessed</w:t>
            </w:r>
          </w:p>
          <w:p w14:paraId="7D6D6557" w14:textId="77777777" w:rsidR="00BF194A" w:rsidRPr="008E7073" w:rsidRDefault="00BF194A">
            <w:pPr>
              <w:pStyle w:val="PlanXXspecial-appendix4table"/>
              <w:keepNext/>
              <w:keepLines/>
              <w:rPr>
                <w:rFonts w:ascii="Arial" w:hAnsi="Arial" w:cs="Arial"/>
                <w:b/>
                <w:sz w:val="18"/>
                <w:szCs w:val="20"/>
              </w:rPr>
            </w:pPr>
            <w:r w:rsidRPr="008E7073">
              <w:rPr>
                <w:rFonts w:ascii="Arial" w:hAnsi="Arial" w:cs="Arial"/>
                <w:b/>
                <w:sz w:val="18"/>
                <w:szCs w:val="20"/>
              </w:rPr>
              <w:t xml:space="preserve">Median ICU hours delivered per annum: </w:t>
            </w:r>
            <w:r w:rsidRPr="008E7073">
              <w:rPr>
                <w:rFonts w:ascii="Arial" w:hAnsi="Arial" w:cs="Arial"/>
                <w:sz w:val="18"/>
                <w:szCs w:val="20"/>
              </w:rPr>
              <w:t>Not applicable</w:t>
            </w:r>
          </w:p>
          <w:p w14:paraId="68D5AD8B" w14:textId="77777777" w:rsidR="00BF194A" w:rsidRPr="008E7073" w:rsidRDefault="00BF194A">
            <w:pPr>
              <w:pStyle w:val="PlanXXspecial-appendix4table"/>
              <w:keepNext/>
              <w:keepLines/>
              <w:rPr>
                <w:rFonts w:ascii="Arial" w:hAnsi="Arial" w:cs="Arial"/>
                <w:b/>
                <w:bCs/>
                <w:sz w:val="18"/>
                <w:szCs w:val="18"/>
              </w:rPr>
            </w:pPr>
            <w:r w:rsidRPr="008E7073">
              <w:rPr>
                <w:rFonts w:ascii="Arial" w:hAnsi="Arial" w:cs="Arial"/>
                <w:b/>
                <w:sz w:val="18"/>
                <w:szCs w:val="20"/>
              </w:rPr>
              <w:t xml:space="preserve">Median proportion of elective seps with NWAU&gt;4.0: </w:t>
            </w:r>
            <w:r w:rsidRPr="008E7073">
              <w:rPr>
                <w:rFonts w:ascii="Arial" w:hAnsi="Arial" w:cs="Arial"/>
                <w:sz w:val="18"/>
                <w:szCs w:val="20"/>
              </w:rPr>
              <w:t>Not applicable</w:t>
            </w:r>
          </w:p>
          <w:p w14:paraId="686F9FE9"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sz w:val="18"/>
                <w:szCs w:val="18"/>
              </w:rPr>
              <w:t>Health service site beds:</w:t>
            </w:r>
            <w:r w:rsidRPr="008E7073">
              <w:rPr>
                <w:rFonts w:ascii="Arial" w:hAnsi="Arial" w:cs="Arial"/>
                <w:sz w:val="18"/>
                <w:szCs w:val="18"/>
              </w:rPr>
              <w:t xml:space="preserve"> varies</w:t>
            </w:r>
          </w:p>
          <w:p w14:paraId="1D56957F"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sz w:val="18"/>
                <w:szCs w:val="18"/>
              </w:rPr>
              <w:t>Average length of stay for overnight care:</w:t>
            </w:r>
            <w:r w:rsidRPr="008E7073">
              <w:rPr>
                <w:rFonts w:ascii="Arial" w:hAnsi="Arial" w:cs="Arial"/>
                <w:sz w:val="18"/>
                <w:szCs w:val="18"/>
              </w:rPr>
              <w:t xml:space="preserve"> 5 days</w:t>
            </w:r>
          </w:p>
          <w:p w14:paraId="1DB1F98A"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sz w:val="18"/>
                <w:szCs w:val="18"/>
              </w:rPr>
              <w:t>Catchment self-sufficiency for acute care:</w:t>
            </w:r>
            <w:r w:rsidRPr="008E7073">
              <w:rPr>
                <w:rFonts w:ascii="Arial" w:hAnsi="Arial" w:cs="Arial"/>
                <w:sz w:val="18"/>
                <w:szCs w:val="18"/>
              </w:rPr>
              <w:t xml:space="preserve"> Not applicable</w:t>
            </w:r>
          </w:p>
          <w:p w14:paraId="4FBED2C9"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sz w:val="18"/>
                <w:szCs w:val="18"/>
              </w:rPr>
              <w:t>Proportion of acute bed days delivered in the home:</w:t>
            </w:r>
            <w:r w:rsidRPr="008E7073">
              <w:rPr>
                <w:rFonts w:ascii="Arial" w:hAnsi="Arial" w:cs="Arial"/>
                <w:sz w:val="18"/>
                <w:szCs w:val="18"/>
              </w:rPr>
              <w:t xml:space="preserve"> Not applicable </w:t>
            </w:r>
          </w:p>
          <w:p w14:paraId="66A956F0"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sz w:val="18"/>
                <w:szCs w:val="18"/>
              </w:rPr>
              <w:t>Medical practitioners/specialists:</w:t>
            </w:r>
            <w:r w:rsidRPr="008E7073">
              <w:rPr>
                <w:rFonts w:ascii="Arial" w:hAnsi="Arial" w:cs="Arial"/>
                <w:sz w:val="18"/>
                <w:szCs w:val="18"/>
              </w:rPr>
              <w:t xml:space="preserve"> Directly employed</w:t>
            </w:r>
          </w:p>
        </w:tc>
      </w:tr>
      <w:tr w:rsidR="00BF194A" w:rsidRPr="008E7073" w14:paraId="35F052CE" w14:textId="77777777">
        <w:trPr>
          <w:trHeight w:val="1489"/>
        </w:trPr>
        <w:tc>
          <w:tcPr>
            <w:tcW w:w="582" w:type="pct"/>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06F1524F" w14:textId="77777777" w:rsidR="00BF194A" w:rsidRPr="008E7073" w:rsidRDefault="00BF194A">
            <w:pPr>
              <w:keepNext/>
              <w:keepLines/>
              <w:rPr>
                <w:rFonts w:cs="Arial"/>
                <w:lang w:eastAsia="en-AU"/>
              </w:rPr>
            </w:pPr>
            <w:r w:rsidRPr="008E7073">
              <w:rPr>
                <w:rFonts w:cs="Arial"/>
                <w:noProof/>
                <w:lang w:eastAsia="en-AU"/>
              </w:rPr>
              <w:drawing>
                <wp:inline distT="0" distB="0" distL="0" distR="0" wp14:anchorId="6D8CA805" wp14:editId="1D965381">
                  <wp:extent cx="477079" cy="477079"/>
                  <wp:effectExtent l="0" t="0" r="0" b="0"/>
                  <wp:docPr id="928197533" name="Graphic 9281975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197533" name="Graphic 928197533">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86216" cy="486216"/>
                          </a:xfrm>
                          <a:prstGeom prst="rect">
                            <a:avLst/>
                          </a:prstGeom>
                        </pic:spPr>
                      </pic:pic>
                    </a:graphicData>
                  </a:graphic>
                </wp:inline>
              </w:drawing>
            </w:r>
          </w:p>
        </w:tc>
        <w:tc>
          <w:tcPr>
            <w:tcW w:w="944" w:type="pct"/>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72EF603C" w14:textId="77777777" w:rsidR="00BF194A" w:rsidRPr="008E7073" w:rsidRDefault="00BF194A">
            <w:pPr>
              <w:keepNext/>
              <w:keepLines/>
              <w:rPr>
                <w:rFonts w:cs="Arial"/>
                <w:b/>
                <w:color w:val="365F91" w:themeColor="accent1" w:themeShade="BF"/>
                <w:lang w:eastAsia="en-AU"/>
              </w:rPr>
            </w:pPr>
            <w:r w:rsidRPr="008E7073">
              <w:rPr>
                <w:rFonts w:cs="Arial"/>
                <w:b/>
                <w:color w:val="365F91" w:themeColor="accent1" w:themeShade="BF"/>
                <w:lang w:eastAsia="en-AU"/>
              </w:rPr>
              <w:t>Catchment Community</w:t>
            </w:r>
          </w:p>
        </w:tc>
        <w:tc>
          <w:tcPr>
            <w:tcW w:w="3474" w:type="pct"/>
            <w:tcBorders>
              <w:top w:val="single" w:sz="4" w:space="0" w:color="auto"/>
              <w:left w:val="nil"/>
              <w:bottom w:val="single" w:sz="4" w:space="0" w:color="auto"/>
              <w:right w:val="nil"/>
            </w:tcBorders>
            <w:tcMar>
              <w:top w:w="72" w:type="dxa"/>
              <w:left w:w="144" w:type="dxa"/>
              <w:bottom w:w="72" w:type="dxa"/>
              <w:right w:w="144" w:type="dxa"/>
            </w:tcMar>
            <w:vAlign w:val="center"/>
          </w:tcPr>
          <w:p w14:paraId="644BDF32" w14:textId="77777777" w:rsidR="00BF194A" w:rsidRPr="008E7073" w:rsidRDefault="00BF194A">
            <w:pPr>
              <w:pStyle w:val="PlanXXspecial-appendix4table"/>
              <w:keepNext/>
              <w:keepLines/>
              <w:rPr>
                <w:rFonts w:ascii="Arial" w:hAnsi="Arial" w:cs="Arial"/>
                <w:b/>
                <w:sz w:val="18"/>
                <w:szCs w:val="18"/>
              </w:rPr>
            </w:pPr>
            <w:r w:rsidRPr="008E7073">
              <w:rPr>
                <w:rFonts w:ascii="Arial" w:hAnsi="Arial" w:cs="Arial"/>
                <w:b/>
                <w:sz w:val="18"/>
                <w:szCs w:val="18"/>
              </w:rPr>
              <w:t xml:space="preserve">Population Size: </w:t>
            </w:r>
            <w:r w:rsidRPr="008E7073">
              <w:rPr>
                <w:rFonts w:ascii="Arial" w:hAnsi="Arial" w:cs="Arial"/>
                <w:bCs/>
                <w:sz w:val="18"/>
                <w:szCs w:val="18"/>
              </w:rPr>
              <w:t>varies</w:t>
            </w:r>
          </w:p>
          <w:p w14:paraId="4DBE75AD" w14:textId="77777777" w:rsidR="00BF194A" w:rsidRPr="008E7073" w:rsidRDefault="00BF194A">
            <w:pPr>
              <w:pStyle w:val="PlanXXspecial-appendix4table"/>
              <w:keepNext/>
              <w:keepLines/>
              <w:rPr>
                <w:rFonts w:ascii="Arial" w:hAnsi="Arial" w:cs="Arial"/>
                <w:b/>
                <w:sz w:val="18"/>
                <w:szCs w:val="18"/>
              </w:rPr>
            </w:pPr>
            <w:r w:rsidRPr="008E7073">
              <w:rPr>
                <w:rFonts w:ascii="Arial" w:hAnsi="Arial" w:cs="Arial"/>
                <w:b/>
                <w:sz w:val="18"/>
                <w:szCs w:val="18"/>
              </w:rPr>
              <w:t xml:space="preserve">Age distribution: </w:t>
            </w:r>
            <w:r w:rsidRPr="008E7073">
              <w:rPr>
                <w:rFonts w:ascii="Arial" w:hAnsi="Arial" w:cs="Arial"/>
                <w:bCs/>
                <w:sz w:val="18"/>
                <w:szCs w:val="18"/>
              </w:rPr>
              <w:t>0-4 years</w:t>
            </w:r>
          </w:p>
          <w:p w14:paraId="1EB558FF" w14:textId="77777777" w:rsidR="00BF194A" w:rsidRPr="008E7073" w:rsidRDefault="00BF194A">
            <w:pPr>
              <w:pStyle w:val="PlanXXspecial-appendix4table"/>
              <w:keepNext/>
              <w:keepLines/>
              <w:rPr>
                <w:rFonts w:ascii="Arial" w:hAnsi="Arial" w:cs="Arial"/>
                <w:b/>
                <w:sz w:val="18"/>
                <w:szCs w:val="18"/>
              </w:rPr>
            </w:pPr>
            <w:r w:rsidRPr="008E7073">
              <w:rPr>
                <w:rFonts w:ascii="Arial" w:hAnsi="Arial" w:cs="Arial"/>
                <w:b/>
                <w:sz w:val="18"/>
                <w:szCs w:val="18"/>
              </w:rPr>
              <w:t xml:space="preserve">Location: </w:t>
            </w:r>
            <w:r w:rsidRPr="008E7073">
              <w:rPr>
                <w:rFonts w:ascii="Arial" w:hAnsi="Arial" w:cs="Arial"/>
                <w:sz w:val="18"/>
                <w:szCs w:val="18"/>
              </w:rPr>
              <w:t>Metropolitan Melbourne and Regional Victoria</w:t>
            </w:r>
          </w:p>
          <w:p w14:paraId="2E23FEBD" w14:textId="77777777" w:rsidR="00BF194A" w:rsidRPr="008E7073" w:rsidRDefault="00BF194A">
            <w:pPr>
              <w:pStyle w:val="PlanXXspecial-appendix4table"/>
              <w:keepNext/>
              <w:keepLines/>
              <w:rPr>
                <w:rFonts w:ascii="Arial" w:hAnsi="Arial" w:cs="Arial"/>
                <w:sz w:val="18"/>
                <w:szCs w:val="18"/>
              </w:rPr>
            </w:pPr>
            <w:r w:rsidRPr="008E7073">
              <w:rPr>
                <w:rFonts w:ascii="Arial" w:hAnsi="Arial" w:cs="Arial"/>
                <w:b/>
                <w:sz w:val="18"/>
                <w:szCs w:val="18"/>
              </w:rPr>
              <w:t xml:space="preserve">Avg. travel distance: </w:t>
            </w:r>
            <w:r w:rsidRPr="008E7073">
              <w:rPr>
                <w:rFonts w:ascii="Arial" w:hAnsi="Arial" w:cs="Arial"/>
                <w:sz w:val="18"/>
                <w:szCs w:val="18"/>
              </w:rPr>
              <w:t>Not applicable</w:t>
            </w:r>
          </w:p>
        </w:tc>
      </w:tr>
    </w:tbl>
    <w:p w14:paraId="5FA580E0" w14:textId="77777777" w:rsidR="00BF194A" w:rsidRPr="008E7073" w:rsidRDefault="00BF194A" w:rsidP="00BF194A">
      <w:pPr>
        <w:pStyle w:val="Body"/>
        <w:keepNext/>
        <w:keepLines/>
        <w:rPr>
          <w:rFonts w:cs="Arial"/>
          <w:i/>
          <w:iCs/>
          <w:sz w:val="16"/>
          <w:szCs w:val="16"/>
        </w:rPr>
      </w:pPr>
      <w:r w:rsidRPr="008E7073">
        <w:rPr>
          <w:rFonts w:eastAsia="Times New Roman" w:cs="Arial"/>
          <w:i/>
          <w:iCs/>
          <w:sz w:val="16"/>
          <w:szCs w:val="16"/>
        </w:rPr>
        <w:t xml:space="preserve">* Excludes sub-acute and mental health admitted activity; </w:t>
      </w:r>
      <w:r w:rsidRPr="008E7073">
        <w:rPr>
          <w:rFonts w:cs="Arial"/>
          <w:i/>
          <w:iCs/>
          <w:sz w:val="16"/>
          <w:szCs w:val="16"/>
          <w:vertAlign w:val="superscript"/>
        </w:rPr>
        <w:t>ⱡ</w:t>
      </w:r>
      <w:r w:rsidRPr="008E7073">
        <w:rPr>
          <w:rFonts w:cs="Arial"/>
          <w:i/>
          <w:iCs/>
          <w:sz w:val="16"/>
          <w:szCs w:val="16"/>
        </w:rPr>
        <w:t>Median values are rounded to nearest 100</w:t>
      </w:r>
    </w:p>
    <w:p w14:paraId="6B4DFB9F" w14:textId="77777777" w:rsidR="00BF194A" w:rsidRPr="008E7073" w:rsidRDefault="00BF194A" w:rsidP="00BF194A">
      <w:pPr>
        <w:spacing w:after="0" w:line="240" w:lineRule="auto"/>
        <w:rPr>
          <w:rFonts w:cs="Arial"/>
          <w:b/>
          <w:color w:val="53565A"/>
          <w:sz w:val="32"/>
          <w:szCs w:val="28"/>
        </w:rPr>
      </w:pPr>
      <w:r w:rsidRPr="008E7073">
        <w:rPr>
          <w:rFonts w:cs="Arial"/>
        </w:rPr>
        <w:br w:type="page"/>
      </w:r>
    </w:p>
    <w:p w14:paraId="5301FBFA" w14:textId="05FE68CF" w:rsidR="00BF194A" w:rsidRPr="008E7073" w:rsidRDefault="00BF194A" w:rsidP="00BF194A">
      <w:pPr>
        <w:pStyle w:val="Heading2"/>
        <w:rPr>
          <w:rFonts w:cs="Arial"/>
        </w:rPr>
      </w:pPr>
      <w:bookmarkStart w:id="47" w:name="_Toc204251906"/>
      <w:r w:rsidRPr="008E7073">
        <w:rPr>
          <w:rFonts w:cs="Arial"/>
        </w:rPr>
        <w:lastRenderedPageBreak/>
        <w:t>Appendix 5: Sector Consultation and Feedback</w:t>
      </w:r>
      <w:bookmarkEnd w:id="47"/>
    </w:p>
    <w:p w14:paraId="16C9238F" w14:textId="6914A427" w:rsidR="00BF194A" w:rsidRPr="00F73A58" w:rsidRDefault="00BF194A" w:rsidP="00F73A58">
      <w:pPr>
        <w:pStyle w:val="Body"/>
        <w:rPr>
          <w:rFonts w:cs="Arial"/>
        </w:rPr>
      </w:pPr>
      <w:r w:rsidRPr="00F73A58">
        <w:rPr>
          <w:rFonts w:cs="Arial"/>
        </w:rPr>
        <w:t>The Victorian Role Delineation Framework has been developed in collaboration with the health sector. As part of development, health services were invited to review and provide feedback on the draft Framework. Feedback was received from a broad range of stakeholders across the system, demonstrating overall support for the principles, purpose and core components of the Framework. Stakeholders recognised its value as a foundation for system-wide planning and service improvement.</w:t>
      </w:r>
    </w:p>
    <w:p w14:paraId="0C8A54AA" w14:textId="3D65E709" w:rsidR="00D55AFA" w:rsidRPr="00F73A58" w:rsidRDefault="00BF194A" w:rsidP="00F73A58">
      <w:pPr>
        <w:pStyle w:val="Body"/>
        <w:rPr>
          <w:rFonts w:cs="Arial"/>
          <w:szCs w:val="21"/>
        </w:rPr>
      </w:pPr>
      <w:r w:rsidRPr="00F73A58">
        <w:rPr>
          <w:rFonts w:cs="Arial"/>
          <w:szCs w:val="21"/>
        </w:rPr>
        <w:t>All feedback received during the consultation process has been carefully considered in finalising the Role Delineation Framework, planning for its implementation and guiding ongoing reviews and future updates. The collaborative input of health services has been critical in ensuring the Framework is relevant, practical and responsive to the needs to the Victorian health system.</w:t>
      </w:r>
    </w:p>
    <w:p w14:paraId="2022A66D" w14:textId="77777777" w:rsidR="00BF194A" w:rsidRPr="008E7073" w:rsidRDefault="00BF194A" w:rsidP="00BF194A">
      <w:pPr>
        <w:pStyle w:val="Body"/>
        <w:rPr>
          <w:rFonts w:cs="Arial"/>
          <w:szCs w:val="21"/>
        </w:rPr>
      </w:pPr>
    </w:p>
    <w:p w14:paraId="68B14F6D" w14:textId="77777777" w:rsidR="00BF194A" w:rsidRPr="008E7073" w:rsidRDefault="00BF194A" w:rsidP="00BF194A">
      <w:pPr>
        <w:pStyle w:val="Body"/>
        <w:rPr>
          <w:rFonts w:cs="Arial"/>
          <w:szCs w:val="21"/>
        </w:rPr>
      </w:pPr>
    </w:p>
    <w:p w14:paraId="1558230C" w14:textId="77777777" w:rsidR="00BF194A" w:rsidRPr="008E7073" w:rsidRDefault="00BF194A" w:rsidP="00BF194A">
      <w:pPr>
        <w:pStyle w:val="Body"/>
        <w:rPr>
          <w:rFonts w:cs="Arial"/>
          <w:szCs w:val="21"/>
        </w:rPr>
      </w:pPr>
    </w:p>
    <w:p w14:paraId="0539F2CD" w14:textId="77777777" w:rsidR="00BF194A" w:rsidRPr="008E7073" w:rsidRDefault="00BF194A" w:rsidP="00BF194A">
      <w:pPr>
        <w:pStyle w:val="Body"/>
        <w:rPr>
          <w:rFonts w:cs="Arial"/>
          <w:szCs w:val="21"/>
        </w:rPr>
      </w:pPr>
    </w:p>
    <w:p w14:paraId="226259D8" w14:textId="77777777" w:rsidR="00BF194A" w:rsidRPr="008E7073" w:rsidRDefault="00BF194A" w:rsidP="00BF194A">
      <w:pPr>
        <w:pStyle w:val="Body"/>
        <w:rPr>
          <w:rFonts w:cs="Arial"/>
          <w:szCs w:val="21"/>
        </w:rPr>
      </w:pPr>
    </w:p>
    <w:p w14:paraId="4C2B34F1" w14:textId="77777777" w:rsidR="00BF194A" w:rsidRPr="008E7073" w:rsidRDefault="00BF194A" w:rsidP="00BF194A">
      <w:pPr>
        <w:pStyle w:val="Body"/>
        <w:rPr>
          <w:rFonts w:cs="Arial"/>
          <w:szCs w:val="21"/>
        </w:rPr>
      </w:pPr>
    </w:p>
    <w:p w14:paraId="26B7A38B" w14:textId="77777777" w:rsidR="00BF194A" w:rsidRPr="008E7073" w:rsidRDefault="00BF194A" w:rsidP="00BF194A">
      <w:pPr>
        <w:pStyle w:val="Body"/>
        <w:rPr>
          <w:rFonts w:cs="Arial"/>
          <w:szCs w:val="21"/>
        </w:rPr>
      </w:pPr>
    </w:p>
    <w:p w14:paraId="31BC7F9B" w14:textId="77777777" w:rsidR="00BF194A" w:rsidRPr="008E7073" w:rsidRDefault="00BF194A" w:rsidP="00BF194A">
      <w:pPr>
        <w:pStyle w:val="Body"/>
        <w:rPr>
          <w:rFonts w:cs="Arial"/>
          <w:szCs w:val="21"/>
        </w:rPr>
      </w:pPr>
    </w:p>
    <w:p w14:paraId="11E64382" w14:textId="77777777" w:rsidR="00BF194A" w:rsidRPr="008E7073" w:rsidRDefault="00BF194A" w:rsidP="00BF194A">
      <w:pPr>
        <w:pStyle w:val="Body"/>
        <w:rPr>
          <w:rFonts w:cs="Arial"/>
          <w:szCs w:val="21"/>
        </w:rPr>
      </w:pPr>
    </w:p>
    <w:p w14:paraId="1DBB3980" w14:textId="77777777" w:rsidR="00BF194A" w:rsidRPr="008E7073" w:rsidRDefault="00BF194A" w:rsidP="00BF194A">
      <w:pPr>
        <w:pStyle w:val="Body"/>
        <w:rPr>
          <w:rFonts w:cs="Arial"/>
          <w:szCs w:val="21"/>
        </w:rPr>
      </w:pPr>
    </w:p>
    <w:p w14:paraId="12EE873D" w14:textId="77777777" w:rsidR="00BF194A" w:rsidRPr="008E7073" w:rsidRDefault="00BF194A" w:rsidP="00BF194A">
      <w:pPr>
        <w:pStyle w:val="Body"/>
        <w:rPr>
          <w:rFonts w:cs="Arial"/>
          <w:szCs w:val="21"/>
        </w:rPr>
      </w:pPr>
    </w:p>
    <w:p w14:paraId="70AE10FA" w14:textId="77777777" w:rsidR="00BF194A" w:rsidRPr="008E7073" w:rsidRDefault="00BF194A" w:rsidP="00BF194A">
      <w:pPr>
        <w:pStyle w:val="Body"/>
        <w:rPr>
          <w:rFonts w:cs="Arial"/>
          <w:szCs w:val="21"/>
        </w:rPr>
      </w:pPr>
    </w:p>
    <w:p w14:paraId="142C0713" w14:textId="77777777" w:rsidR="00BF194A" w:rsidRPr="008E7073" w:rsidRDefault="00BF194A" w:rsidP="00BF194A">
      <w:pPr>
        <w:pStyle w:val="Body"/>
        <w:rPr>
          <w:rFonts w:cs="Arial"/>
          <w:szCs w:val="21"/>
        </w:rPr>
      </w:pPr>
    </w:p>
    <w:p w14:paraId="0910E72E" w14:textId="77777777" w:rsidR="00BF194A" w:rsidRPr="008E7073" w:rsidRDefault="00BF194A" w:rsidP="00BF194A">
      <w:pPr>
        <w:pStyle w:val="Body"/>
        <w:rPr>
          <w:rFonts w:cs="Arial"/>
          <w:szCs w:val="21"/>
        </w:rPr>
      </w:pPr>
    </w:p>
    <w:p w14:paraId="6C060380" w14:textId="77777777" w:rsidR="00BF194A" w:rsidRPr="008E7073" w:rsidRDefault="00BF194A" w:rsidP="00BF194A">
      <w:pPr>
        <w:pStyle w:val="Body"/>
        <w:rPr>
          <w:rFonts w:cs="Arial"/>
          <w:szCs w:val="21"/>
        </w:rPr>
      </w:pPr>
    </w:p>
    <w:p w14:paraId="419CE03A" w14:textId="77777777" w:rsidR="00BF194A" w:rsidRPr="008E7073" w:rsidRDefault="00BF194A" w:rsidP="00BF194A">
      <w:pPr>
        <w:pStyle w:val="Body"/>
        <w:rPr>
          <w:rFonts w:cs="Arial"/>
          <w:szCs w:val="21"/>
        </w:rPr>
      </w:pPr>
    </w:p>
    <w:p w14:paraId="4FC51EA7" w14:textId="77777777" w:rsidR="00BF194A" w:rsidRPr="008E7073" w:rsidRDefault="00BF194A" w:rsidP="00BF194A">
      <w:pPr>
        <w:pStyle w:val="Body"/>
        <w:rPr>
          <w:rFonts w:cs="Arial"/>
          <w:szCs w:val="21"/>
        </w:rPr>
      </w:pPr>
    </w:p>
    <w:p w14:paraId="68493965" w14:textId="77777777" w:rsidR="00BF194A" w:rsidRPr="008E7073" w:rsidRDefault="00BF194A" w:rsidP="00BF194A">
      <w:pPr>
        <w:pStyle w:val="Body"/>
        <w:rPr>
          <w:rFonts w:cs="Arial"/>
          <w:szCs w:val="21"/>
        </w:rPr>
      </w:pPr>
    </w:p>
    <w:p w14:paraId="1C244B5F" w14:textId="77777777" w:rsidR="00BF194A" w:rsidRPr="008E7073" w:rsidRDefault="00BF194A" w:rsidP="00BF194A">
      <w:pPr>
        <w:pStyle w:val="Body"/>
        <w:rPr>
          <w:rFonts w:cs="Arial"/>
          <w:szCs w:val="21"/>
        </w:rPr>
      </w:pPr>
    </w:p>
    <w:p w14:paraId="72E1C3F3" w14:textId="77777777" w:rsidR="00BF194A" w:rsidRPr="008E7073" w:rsidRDefault="00BF194A" w:rsidP="00BF194A">
      <w:pPr>
        <w:pStyle w:val="Body"/>
        <w:rPr>
          <w:rFonts w:cs="Arial"/>
          <w:szCs w:val="21"/>
        </w:rPr>
      </w:pPr>
    </w:p>
    <w:p w14:paraId="2E483C02" w14:textId="77777777" w:rsidR="00BF194A" w:rsidRPr="008E7073" w:rsidRDefault="00BF194A" w:rsidP="00BF194A">
      <w:pPr>
        <w:pStyle w:val="Body"/>
        <w:rPr>
          <w:rFonts w:cs="Arial"/>
          <w:szCs w:val="21"/>
        </w:rPr>
      </w:pPr>
    </w:p>
    <w:p w14:paraId="7ABEBAA3" w14:textId="77777777" w:rsidR="00BF194A" w:rsidRPr="008E7073" w:rsidRDefault="00BF194A" w:rsidP="00BF194A">
      <w:pPr>
        <w:pStyle w:val="Body"/>
        <w:rPr>
          <w:rFonts w:cs="Arial"/>
          <w:szCs w:val="21"/>
        </w:rPr>
      </w:pPr>
    </w:p>
    <w:p w14:paraId="070B0C06" w14:textId="77777777" w:rsidR="00BF194A" w:rsidRPr="008E7073" w:rsidRDefault="00BF194A" w:rsidP="00BF194A">
      <w:pPr>
        <w:pStyle w:val="Body"/>
        <w:rPr>
          <w:rFonts w:cs="Arial"/>
          <w:szCs w:val="21"/>
        </w:rPr>
      </w:pPr>
    </w:p>
    <w:p w14:paraId="2B928B1D" w14:textId="77777777" w:rsidR="00BF194A" w:rsidRPr="008E7073" w:rsidRDefault="00BF194A" w:rsidP="00BF194A">
      <w:pPr>
        <w:pStyle w:val="Body"/>
        <w:rPr>
          <w:rFonts w:cs="Arial"/>
          <w:szCs w:val="21"/>
        </w:rPr>
      </w:pPr>
    </w:p>
    <w:p w14:paraId="4CC2CEF9" w14:textId="77777777" w:rsidR="00BF194A" w:rsidRPr="008E7073" w:rsidRDefault="00BF194A" w:rsidP="00BF194A">
      <w:pPr>
        <w:pStyle w:val="Body"/>
        <w:rPr>
          <w:rFonts w:cs="Arial"/>
          <w:szCs w:val="21"/>
        </w:rPr>
      </w:pPr>
    </w:p>
    <w:p w14:paraId="7C5AFA1A" w14:textId="78D3DABC" w:rsidR="00BF194A" w:rsidRPr="008E7073" w:rsidRDefault="00BF194A" w:rsidP="00BF194A">
      <w:pPr>
        <w:pStyle w:val="Heading2"/>
        <w:rPr>
          <w:rFonts w:cs="Arial"/>
        </w:rPr>
      </w:pPr>
      <w:bookmarkStart w:id="48" w:name="_Toc204251907"/>
      <w:r w:rsidRPr="008E7073">
        <w:rPr>
          <w:rFonts w:cs="Arial"/>
        </w:rPr>
        <w:lastRenderedPageBreak/>
        <w:t>Appendix 6: References</w:t>
      </w:r>
      <w:bookmarkEnd w:id="48"/>
    </w:p>
    <w:p w14:paraId="55883A83" w14:textId="77777777" w:rsidR="00BF194A" w:rsidRPr="008E7073" w:rsidRDefault="00BF194A" w:rsidP="00BF194A">
      <w:pPr>
        <w:pStyle w:val="Body"/>
        <w:rPr>
          <w:rFonts w:cs="Arial"/>
        </w:rPr>
      </w:pPr>
      <w:r w:rsidRPr="008E7073">
        <w:rPr>
          <w:rFonts w:cs="Arial"/>
        </w:rPr>
        <w:t xml:space="preserve">Australian Institute of Health and Welfare 2015. Australian health service site peer groups. Health services series no. 66. Cat. no. HSW 170. Canberra: AIHW. ISBN 978-1-74249-861-4 (PDF). </w:t>
      </w:r>
      <w:hyperlink r:id="rId27">
        <w:r w:rsidRPr="008E7073">
          <w:rPr>
            <w:rStyle w:val="Hyperlink"/>
            <w:rFonts w:cs="Arial"/>
            <w:u w:val="none"/>
          </w:rPr>
          <w:t>https://www.aihw.gov.au/reports/health service sites/Australian-health service site-peer-groups/summary</w:t>
        </w:r>
      </w:hyperlink>
    </w:p>
    <w:p w14:paraId="6639A5EE" w14:textId="77777777" w:rsidR="00BF194A" w:rsidRPr="008E7073" w:rsidRDefault="00BF194A" w:rsidP="00BF194A">
      <w:pPr>
        <w:pStyle w:val="Body"/>
        <w:rPr>
          <w:rFonts w:cs="Arial"/>
        </w:rPr>
      </w:pPr>
      <w:r w:rsidRPr="008E7073">
        <w:rPr>
          <w:rFonts w:cs="Arial"/>
        </w:rPr>
        <w:t>NSW Government. NSW Health. Guide to the Role Delineation of Clinical Services. January 2024. ISBN: 978-1-76023-711-0</w:t>
      </w:r>
    </w:p>
    <w:p w14:paraId="4C9F7C58" w14:textId="77777777" w:rsidR="00BF194A" w:rsidRPr="008E7073" w:rsidRDefault="00BF194A" w:rsidP="00BF194A">
      <w:pPr>
        <w:pStyle w:val="Body"/>
        <w:rPr>
          <w:rFonts w:cs="Arial"/>
        </w:rPr>
      </w:pPr>
      <w:hyperlink r:id="rId28">
        <w:r w:rsidRPr="008E7073">
          <w:rPr>
            <w:rStyle w:val="Hyperlink"/>
            <w:rFonts w:cs="Arial"/>
            <w:u w:val="none"/>
          </w:rPr>
          <w:t>https://www.health.nsw.gov.au/services/Pages/role-delineation-of-clinical-services.aspx</w:t>
        </w:r>
      </w:hyperlink>
    </w:p>
    <w:p w14:paraId="1D72107E" w14:textId="77777777" w:rsidR="00BF194A" w:rsidRPr="008E7073" w:rsidRDefault="00BF194A" w:rsidP="00BF194A">
      <w:pPr>
        <w:pStyle w:val="Body"/>
        <w:rPr>
          <w:rFonts w:cs="Arial"/>
        </w:rPr>
      </w:pPr>
      <w:r w:rsidRPr="008E7073">
        <w:rPr>
          <w:rFonts w:cs="Arial"/>
        </w:rPr>
        <w:t xml:space="preserve">Victorian Government Department of Health. Victorian Government, 1 Treasury Place, Melbourne. © State of Victoria, Australia, Department of Health. </w:t>
      </w:r>
    </w:p>
    <w:p w14:paraId="3BEF610E" w14:textId="77777777" w:rsidR="00BF194A" w:rsidRPr="008E7073" w:rsidRDefault="00BF194A" w:rsidP="00BF194A">
      <w:pPr>
        <w:pStyle w:val="Body"/>
        <w:rPr>
          <w:rFonts w:cs="Arial"/>
        </w:rPr>
      </w:pPr>
      <w:r w:rsidRPr="008E7073">
        <w:rPr>
          <w:rFonts w:cs="Arial"/>
        </w:rPr>
        <w:t>Capability frameworks for Victorian maternity and newborns services. November 2022. ISBN 978-1-76131-067-6 (pdf/online/MS word)</w:t>
      </w:r>
    </w:p>
    <w:p w14:paraId="696B2129" w14:textId="77777777" w:rsidR="00BF194A" w:rsidRPr="008E7073" w:rsidRDefault="00BF194A" w:rsidP="00BF194A">
      <w:pPr>
        <w:pStyle w:val="Body"/>
        <w:rPr>
          <w:rFonts w:cs="Arial"/>
        </w:rPr>
      </w:pPr>
      <w:hyperlink r:id="rId29">
        <w:r w:rsidRPr="008E7073">
          <w:rPr>
            <w:rStyle w:val="Hyperlink"/>
            <w:rFonts w:cs="Arial"/>
            <w:u w:val="none"/>
          </w:rPr>
          <w:t>https://www.health.vic.gov.au/patient-care/capability-frameworks-for-maternity-and-newborn-care-in-victoria</w:t>
        </w:r>
      </w:hyperlink>
    </w:p>
    <w:p w14:paraId="4DE4223F" w14:textId="77777777" w:rsidR="00BF194A" w:rsidRPr="008E7073" w:rsidRDefault="00BF194A" w:rsidP="00BF194A">
      <w:pPr>
        <w:pStyle w:val="Body"/>
        <w:rPr>
          <w:rFonts w:cs="Arial"/>
        </w:rPr>
      </w:pPr>
      <w:r w:rsidRPr="008E7073">
        <w:rPr>
          <w:rFonts w:cs="Arial"/>
        </w:rPr>
        <w:t>Health Services Plan, Report of the Expert Advisory Committee, April 2024, Mr Bob Cameron, Dr Alex Cockram, Professor Christine Kilpatrick, Ms Therese Tierney, Mr Lance Wallace.</w:t>
      </w:r>
    </w:p>
    <w:p w14:paraId="4402AA7F" w14:textId="77777777" w:rsidR="00BF194A" w:rsidRPr="008E7073" w:rsidRDefault="00BF194A" w:rsidP="00BF194A">
      <w:pPr>
        <w:pStyle w:val="Body"/>
        <w:rPr>
          <w:rFonts w:cs="Arial"/>
        </w:rPr>
      </w:pPr>
      <w:hyperlink r:id="rId30">
        <w:r w:rsidRPr="008E7073">
          <w:rPr>
            <w:rStyle w:val="Hyperlink"/>
            <w:rFonts w:cs="Arial"/>
            <w:u w:val="none"/>
          </w:rPr>
          <w:t>https://www.health.vic.gov.au/research-and-reports/health-services-plan</w:t>
        </w:r>
      </w:hyperlink>
    </w:p>
    <w:p w14:paraId="35539B49" w14:textId="77777777" w:rsidR="00BF194A" w:rsidRPr="008E7073" w:rsidRDefault="00BF194A" w:rsidP="00BF194A">
      <w:pPr>
        <w:pStyle w:val="Body"/>
        <w:rPr>
          <w:rFonts w:cs="Arial"/>
        </w:rPr>
      </w:pPr>
      <w:r w:rsidRPr="008E7073">
        <w:rPr>
          <w:rFonts w:cs="Arial"/>
        </w:rPr>
        <w:t>Palliative care service capability framework. October 2016.</w:t>
      </w:r>
    </w:p>
    <w:p w14:paraId="63790E7E" w14:textId="77777777" w:rsidR="00BF194A" w:rsidRPr="008E7073" w:rsidRDefault="00BF194A" w:rsidP="00BF194A">
      <w:pPr>
        <w:pStyle w:val="Body"/>
        <w:rPr>
          <w:rFonts w:cs="Arial"/>
        </w:rPr>
      </w:pPr>
      <w:hyperlink r:id="rId31">
        <w:r w:rsidRPr="008E7073">
          <w:rPr>
            <w:rStyle w:val="Hyperlink"/>
            <w:rFonts w:cs="Arial"/>
            <w:u w:val="none"/>
          </w:rPr>
          <w:t>https://www.health.vic.gov.au/publications/palliative-care-service-capability-framework</w:t>
        </w:r>
      </w:hyperlink>
    </w:p>
    <w:p w14:paraId="362DE2D9" w14:textId="77777777" w:rsidR="00BF194A" w:rsidRPr="008E7073" w:rsidRDefault="00BF194A" w:rsidP="00BF194A">
      <w:pPr>
        <w:pStyle w:val="Body"/>
        <w:rPr>
          <w:rFonts w:cs="Arial"/>
        </w:rPr>
      </w:pPr>
      <w:r w:rsidRPr="008E7073">
        <w:rPr>
          <w:rFonts w:cs="Arial"/>
        </w:rPr>
        <w:t xml:space="preserve">Perioperative service capability framework. February 2024. (2310633) ISBN/ISSN 978-1-76131-426-1 (online/PDF/Word) or (print). </w:t>
      </w:r>
    </w:p>
    <w:p w14:paraId="196467F7" w14:textId="77777777" w:rsidR="00BF194A" w:rsidRPr="008E7073" w:rsidRDefault="00BF194A" w:rsidP="00BF194A">
      <w:pPr>
        <w:pStyle w:val="Body"/>
        <w:rPr>
          <w:rFonts w:cs="Arial"/>
        </w:rPr>
      </w:pPr>
      <w:hyperlink r:id="rId32">
        <w:r w:rsidRPr="008E7073">
          <w:rPr>
            <w:rStyle w:val="Hyperlink"/>
            <w:rFonts w:cs="Arial"/>
            <w:u w:val="none"/>
          </w:rPr>
          <w:t>https://www.health.vic.gov.au/health-system-design-planning/perioperative-service-capability-framework-for-victoria</w:t>
        </w:r>
      </w:hyperlink>
    </w:p>
    <w:p w14:paraId="3BF52CFF" w14:textId="77777777" w:rsidR="00BF194A" w:rsidRPr="008E7073" w:rsidRDefault="00BF194A" w:rsidP="00BF194A">
      <w:pPr>
        <w:pStyle w:val="Body"/>
        <w:rPr>
          <w:rFonts w:cs="Arial"/>
        </w:rPr>
      </w:pPr>
      <w:r w:rsidRPr="008E7073">
        <w:rPr>
          <w:rFonts w:cs="Arial"/>
        </w:rPr>
        <w:t>Victorian Government Department of Transport and Planning, November 2023, Victoria in Future 2023.</w:t>
      </w:r>
    </w:p>
    <w:p w14:paraId="47CC0A4D" w14:textId="77777777" w:rsidR="00BF194A" w:rsidRPr="008E7073" w:rsidRDefault="00BF194A" w:rsidP="00BF194A">
      <w:pPr>
        <w:pStyle w:val="Body"/>
        <w:rPr>
          <w:rFonts w:cs="Arial"/>
        </w:rPr>
      </w:pPr>
      <w:hyperlink r:id="rId33">
        <w:r w:rsidRPr="008E7073">
          <w:rPr>
            <w:rStyle w:val="Hyperlink"/>
            <w:rFonts w:cs="Arial"/>
            <w:u w:val="none"/>
          </w:rPr>
          <w:t>https://www.planning.vic.gov.au/__data/assets/pdf_file/0022/703453/DTP0552-Victori-in-Future-2023-report.PDF</w:t>
        </w:r>
      </w:hyperlink>
    </w:p>
    <w:p w14:paraId="79B419BD" w14:textId="77777777" w:rsidR="00BF194A" w:rsidRPr="008E7073" w:rsidRDefault="00BF194A" w:rsidP="00BF194A">
      <w:pPr>
        <w:pStyle w:val="Body"/>
        <w:keepNext/>
        <w:keepLines/>
        <w:rPr>
          <w:rFonts w:eastAsia="Times New Roman" w:cs="Arial"/>
          <w:i/>
          <w:sz w:val="18"/>
          <w:szCs w:val="18"/>
        </w:rPr>
      </w:pPr>
    </w:p>
    <w:bookmarkEnd w:id="7"/>
    <w:p w14:paraId="1922579F" w14:textId="77777777" w:rsidR="00BF194A" w:rsidRPr="008E7073" w:rsidRDefault="00BF194A" w:rsidP="00BF194A">
      <w:pPr>
        <w:pStyle w:val="Body"/>
        <w:rPr>
          <w:rFonts w:cs="Arial"/>
        </w:rPr>
      </w:pPr>
    </w:p>
    <w:sectPr w:rsidR="00BF194A" w:rsidRPr="008E7073" w:rsidSect="00454A7D">
      <w:headerReference w:type="even" r:id="rId34"/>
      <w:headerReference w:type="default" r:id="rId35"/>
      <w:footerReference w:type="even" r:id="rId36"/>
      <w:footerReference w:type="default" r:id="rId37"/>
      <w:footerReference w:type="first" r:id="rId38"/>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9BE92" w14:textId="77777777" w:rsidR="003D0758" w:rsidRDefault="003D0758">
      <w:r>
        <w:separator/>
      </w:r>
    </w:p>
    <w:p w14:paraId="10F0CEE5" w14:textId="77777777" w:rsidR="003D0758" w:rsidRDefault="003D0758"/>
  </w:endnote>
  <w:endnote w:type="continuationSeparator" w:id="0">
    <w:p w14:paraId="3B907417" w14:textId="77777777" w:rsidR="003D0758" w:rsidRDefault="003D0758">
      <w:r>
        <w:continuationSeparator/>
      </w:r>
    </w:p>
    <w:p w14:paraId="2FC25DEA" w14:textId="77777777" w:rsidR="003D0758" w:rsidRDefault="003D0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D4CA" w14:textId="6686AC38" w:rsidR="00EB4BC7" w:rsidRDefault="00E042F0">
    <w:pPr>
      <w:pStyle w:val="Footer"/>
    </w:pPr>
    <w:r>
      <w:rPr>
        <w:noProof/>
      </w:rPr>
      <mc:AlternateContent>
        <mc:Choice Requires="wps">
          <w:drawing>
            <wp:anchor distT="0" distB="0" distL="0" distR="0" simplePos="0" relativeHeight="251659264" behindDoc="0" locked="0" layoutInCell="1" allowOverlap="1" wp14:anchorId="5789DDB3" wp14:editId="3227BEF9">
              <wp:simplePos x="635" y="635"/>
              <wp:positionH relativeFrom="page">
                <wp:align>center</wp:align>
              </wp:positionH>
              <wp:positionV relativeFrom="page">
                <wp:align>bottom</wp:align>
              </wp:positionV>
              <wp:extent cx="656590" cy="369570"/>
              <wp:effectExtent l="0" t="0" r="10160" b="0"/>
              <wp:wrapNone/>
              <wp:docPr id="9963838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1DD7EF3" w14:textId="695C16A1" w:rsidR="00E042F0" w:rsidRPr="00E042F0" w:rsidRDefault="00E042F0" w:rsidP="00E042F0">
                          <w:pPr>
                            <w:spacing w:after="0"/>
                            <w:rPr>
                              <w:rFonts w:ascii="Arial Black" w:eastAsia="Arial Black" w:hAnsi="Arial Black" w:cs="Arial Black"/>
                              <w:noProof/>
                              <w:color w:val="000000"/>
                              <w:sz w:val="20"/>
                            </w:rPr>
                          </w:pPr>
                          <w:r w:rsidRPr="00E042F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89DDB3"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41DD7EF3" w14:textId="695C16A1" w:rsidR="00E042F0" w:rsidRPr="00E042F0" w:rsidRDefault="00E042F0" w:rsidP="00E042F0">
                    <w:pPr>
                      <w:spacing w:after="0"/>
                      <w:rPr>
                        <w:rFonts w:ascii="Arial Black" w:eastAsia="Arial Black" w:hAnsi="Arial Black" w:cs="Arial Black"/>
                        <w:noProof/>
                        <w:color w:val="000000"/>
                        <w:sz w:val="20"/>
                      </w:rPr>
                    </w:pPr>
                    <w:r w:rsidRPr="00E042F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21DD" w14:textId="647E5987" w:rsidR="00431A70" w:rsidRDefault="00E042F0">
    <w:pPr>
      <w:pStyle w:val="Footer"/>
    </w:pPr>
    <w:r>
      <w:rPr>
        <w:noProof/>
      </w:rPr>
      <mc:AlternateContent>
        <mc:Choice Requires="wps">
          <w:drawing>
            <wp:anchor distT="0" distB="0" distL="0" distR="0" simplePos="0" relativeHeight="251660288" behindDoc="0" locked="0" layoutInCell="1" allowOverlap="1" wp14:anchorId="5E3D78B7" wp14:editId="28441E51">
              <wp:simplePos x="635" y="635"/>
              <wp:positionH relativeFrom="page">
                <wp:align>center</wp:align>
              </wp:positionH>
              <wp:positionV relativeFrom="page">
                <wp:align>bottom</wp:align>
              </wp:positionV>
              <wp:extent cx="656590" cy="369570"/>
              <wp:effectExtent l="0" t="0" r="10160" b="0"/>
              <wp:wrapNone/>
              <wp:docPr id="17765314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F4C6FAB" w14:textId="1264E53D" w:rsidR="00E042F0" w:rsidRPr="00E042F0" w:rsidRDefault="00E042F0" w:rsidP="00E042F0">
                          <w:pPr>
                            <w:spacing w:after="0"/>
                            <w:rPr>
                              <w:rFonts w:ascii="Arial Black" w:eastAsia="Arial Black" w:hAnsi="Arial Black" w:cs="Arial Black"/>
                              <w:noProof/>
                              <w:color w:val="000000"/>
                              <w:sz w:val="20"/>
                            </w:rPr>
                          </w:pPr>
                          <w:r w:rsidRPr="00E042F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3D78B7"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5F4C6FAB" w14:textId="1264E53D" w:rsidR="00E042F0" w:rsidRPr="00E042F0" w:rsidRDefault="00E042F0" w:rsidP="00E042F0">
                    <w:pPr>
                      <w:spacing w:after="0"/>
                      <w:rPr>
                        <w:rFonts w:ascii="Arial Black" w:eastAsia="Arial Black" w:hAnsi="Arial Black" w:cs="Arial Black"/>
                        <w:noProof/>
                        <w:color w:val="000000"/>
                        <w:sz w:val="20"/>
                      </w:rPr>
                    </w:pPr>
                    <w:r w:rsidRPr="00E042F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2741" w14:textId="2C252074" w:rsidR="00EB4BC7" w:rsidRDefault="00E042F0">
    <w:pPr>
      <w:pStyle w:val="Footer"/>
    </w:pPr>
    <w:r>
      <w:rPr>
        <w:noProof/>
      </w:rPr>
      <mc:AlternateContent>
        <mc:Choice Requires="wps">
          <w:drawing>
            <wp:anchor distT="0" distB="0" distL="0" distR="0" simplePos="0" relativeHeight="251658240" behindDoc="0" locked="0" layoutInCell="1" allowOverlap="1" wp14:anchorId="275ADF6E" wp14:editId="1CA0841B">
              <wp:simplePos x="635" y="635"/>
              <wp:positionH relativeFrom="page">
                <wp:align>center</wp:align>
              </wp:positionH>
              <wp:positionV relativeFrom="page">
                <wp:align>bottom</wp:align>
              </wp:positionV>
              <wp:extent cx="656590" cy="369570"/>
              <wp:effectExtent l="0" t="0" r="10160" b="0"/>
              <wp:wrapNone/>
              <wp:docPr id="111892420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87F9AEC" w14:textId="426708D4" w:rsidR="00E042F0" w:rsidRPr="00E042F0" w:rsidRDefault="00E042F0" w:rsidP="00E042F0">
                          <w:pPr>
                            <w:spacing w:after="0"/>
                            <w:rPr>
                              <w:rFonts w:ascii="Arial Black" w:eastAsia="Arial Black" w:hAnsi="Arial Black" w:cs="Arial Black"/>
                              <w:noProof/>
                              <w:color w:val="000000"/>
                              <w:sz w:val="20"/>
                            </w:rPr>
                          </w:pPr>
                          <w:r w:rsidRPr="00E042F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5ADF6E"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287F9AEC" w14:textId="426708D4" w:rsidR="00E042F0" w:rsidRPr="00E042F0" w:rsidRDefault="00E042F0" w:rsidP="00E042F0">
                    <w:pPr>
                      <w:spacing w:after="0"/>
                      <w:rPr>
                        <w:rFonts w:ascii="Arial Black" w:eastAsia="Arial Black" w:hAnsi="Arial Black" w:cs="Arial Black"/>
                        <w:noProof/>
                        <w:color w:val="000000"/>
                        <w:sz w:val="20"/>
                      </w:rPr>
                    </w:pPr>
                    <w:r w:rsidRPr="00E042F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020D" w14:textId="168EC990" w:rsidR="00D63636" w:rsidRDefault="00E042F0">
    <w:pPr>
      <w:pStyle w:val="Footer"/>
    </w:pPr>
    <w:r>
      <w:rPr>
        <w:noProof/>
      </w:rPr>
      <mc:AlternateContent>
        <mc:Choice Requires="wps">
          <w:drawing>
            <wp:anchor distT="0" distB="0" distL="0" distR="0" simplePos="0" relativeHeight="251662336" behindDoc="0" locked="0" layoutInCell="1" allowOverlap="1" wp14:anchorId="7ED76416" wp14:editId="2C19D816">
              <wp:simplePos x="635" y="635"/>
              <wp:positionH relativeFrom="page">
                <wp:align>center</wp:align>
              </wp:positionH>
              <wp:positionV relativeFrom="page">
                <wp:align>bottom</wp:align>
              </wp:positionV>
              <wp:extent cx="656590" cy="369570"/>
              <wp:effectExtent l="0" t="0" r="10160" b="0"/>
              <wp:wrapNone/>
              <wp:docPr id="20101915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4D19D8D" w14:textId="4895DA7A" w:rsidR="00E042F0" w:rsidRPr="00E042F0" w:rsidRDefault="00E042F0" w:rsidP="00E042F0">
                          <w:pPr>
                            <w:spacing w:after="0"/>
                            <w:rPr>
                              <w:rFonts w:ascii="Arial Black" w:eastAsia="Arial Black" w:hAnsi="Arial Black" w:cs="Arial Black"/>
                              <w:noProof/>
                              <w:color w:val="000000"/>
                              <w:sz w:val="20"/>
                            </w:rPr>
                          </w:pPr>
                          <w:r w:rsidRPr="00E042F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D76416" id="_x0000_t202" coordsize="21600,21600" o:spt="202" path="m,l,21600r21600,l21600,xe">
              <v:stroke joinstyle="miter"/>
              <v:path gradientshapeok="t" o:connecttype="rect"/>
            </v:shapetype>
            <v:shape id="Text Box 5" o:spid="_x0000_s1029" type="#_x0000_t202" alt="OFFICIAL" style="position:absolute;left:0;text-align:left;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14D19D8D" w14:textId="4895DA7A" w:rsidR="00E042F0" w:rsidRPr="00E042F0" w:rsidRDefault="00E042F0" w:rsidP="00E042F0">
                    <w:pPr>
                      <w:spacing w:after="0"/>
                      <w:rPr>
                        <w:rFonts w:ascii="Arial Black" w:eastAsia="Arial Black" w:hAnsi="Arial Black" w:cs="Arial Black"/>
                        <w:noProof/>
                        <w:color w:val="000000"/>
                        <w:sz w:val="20"/>
                      </w:rPr>
                    </w:pPr>
                    <w:r w:rsidRPr="00E042F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4E38" w14:textId="2FFAA0B1" w:rsidR="00431A70" w:rsidRDefault="00E042F0">
    <w:pPr>
      <w:pStyle w:val="Footer"/>
    </w:pPr>
    <w:r>
      <w:rPr>
        <w:noProof/>
      </w:rPr>
      <mc:AlternateContent>
        <mc:Choice Requires="wps">
          <w:drawing>
            <wp:anchor distT="0" distB="0" distL="0" distR="0" simplePos="0" relativeHeight="251663360" behindDoc="0" locked="0" layoutInCell="1" allowOverlap="1" wp14:anchorId="3CF384A3" wp14:editId="0D2932DB">
              <wp:simplePos x="827590" y="9815332"/>
              <wp:positionH relativeFrom="page">
                <wp:align>center</wp:align>
              </wp:positionH>
              <wp:positionV relativeFrom="page">
                <wp:align>bottom</wp:align>
              </wp:positionV>
              <wp:extent cx="656590" cy="369570"/>
              <wp:effectExtent l="0" t="0" r="10160" b="0"/>
              <wp:wrapNone/>
              <wp:docPr id="90641707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DFB8E95" w14:textId="5699A878" w:rsidR="00E042F0" w:rsidRPr="00E042F0" w:rsidRDefault="00E042F0" w:rsidP="00E042F0">
                          <w:pPr>
                            <w:spacing w:after="0"/>
                            <w:rPr>
                              <w:rFonts w:ascii="Arial Black" w:eastAsia="Arial Black" w:hAnsi="Arial Black" w:cs="Arial Black"/>
                              <w:noProof/>
                              <w:color w:val="000000"/>
                              <w:sz w:val="20"/>
                            </w:rPr>
                          </w:pPr>
                          <w:r w:rsidRPr="00E042F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F384A3" id="_x0000_t202" coordsize="21600,21600" o:spt="202" path="m,l,21600r21600,l21600,xe">
              <v:stroke joinstyle="miter"/>
              <v:path gradientshapeok="t" o:connecttype="rect"/>
            </v:shapetype>
            <v:shape id="Text Box 6" o:spid="_x0000_s1030" type="#_x0000_t202" alt="OFFICIAL" style="position:absolute;left:0;text-align:left;margin-left:0;margin-top:0;width:51.7pt;height:29.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1DFB8E95" w14:textId="5699A878" w:rsidR="00E042F0" w:rsidRPr="00E042F0" w:rsidRDefault="00E042F0" w:rsidP="00E042F0">
                    <w:pPr>
                      <w:spacing w:after="0"/>
                      <w:rPr>
                        <w:rFonts w:ascii="Arial Black" w:eastAsia="Arial Black" w:hAnsi="Arial Black" w:cs="Arial Black"/>
                        <w:noProof/>
                        <w:color w:val="000000"/>
                        <w:sz w:val="20"/>
                      </w:rPr>
                    </w:pPr>
                    <w:r w:rsidRPr="00E042F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11A1" w14:textId="3F9583E0" w:rsidR="00E042F0" w:rsidRDefault="00E042F0">
    <w:pPr>
      <w:pStyle w:val="Footer"/>
    </w:pPr>
    <w:r>
      <w:rPr>
        <w:noProof/>
      </w:rPr>
      <mc:AlternateContent>
        <mc:Choice Requires="wps">
          <w:drawing>
            <wp:anchor distT="0" distB="0" distL="0" distR="0" simplePos="0" relativeHeight="251661312" behindDoc="0" locked="0" layoutInCell="1" allowOverlap="1" wp14:anchorId="65F0FF71" wp14:editId="5FF583F1">
              <wp:simplePos x="635" y="635"/>
              <wp:positionH relativeFrom="page">
                <wp:align>center</wp:align>
              </wp:positionH>
              <wp:positionV relativeFrom="page">
                <wp:align>bottom</wp:align>
              </wp:positionV>
              <wp:extent cx="656590" cy="369570"/>
              <wp:effectExtent l="0" t="0" r="10160" b="0"/>
              <wp:wrapNone/>
              <wp:docPr id="8084988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88D971B" w14:textId="0AEAA72D" w:rsidR="00E042F0" w:rsidRPr="00E042F0" w:rsidRDefault="00E042F0" w:rsidP="00E042F0">
                          <w:pPr>
                            <w:spacing w:after="0"/>
                            <w:rPr>
                              <w:rFonts w:ascii="Arial Black" w:eastAsia="Arial Black" w:hAnsi="Arial Black" w:cs="Arial Black"/>
                              <w:noProof/>
                              <w:color w:val="000000"/>
                              <w:sz w:val="20"/>
                            </w:rPr>
                          </w:pPr>
                          <w:r w:rsidRPr="00E042F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F0FF71" id="_x0000_t202" coordsize="21600,21600" o:spt="202" path="m,l,21600r21600,l21600,xe">
              <v:stroke joinstyle="miter"/>
              <v:path gradientshapeok="t" o:connecttype="rect"/>
            </v:shapetype>
            <v:shape id="Text Box 4" o:spid="_x0000_s1031" type="#_x0000_t202" alt="OFFICIAL" style="position:absolute;left:0;text-align:left;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188D971B" w14:textId="0AEAA72D" w:rsidR="00E042F0" w:rsidRPr="00E042F0" w:rsidRDefault="00E042F0" w:rsidP="00E042F0">
                    <w:pPr>
                      <w:spacing w:after="0"/>
                      <w:rPr>
                        <w:rFonts w:ascii="Arial Black" w:eastAsia="Arial Black" w:hAnsi="Arial Black" w:cs="Arial Black"/>
                        <w:noProof/>
                        <w:color w:val="000000"/>
                        <w:sz w:val="20"/>
                      </w:rPr>
                    </w:pPr>
                    <w:r w:rsidRPr="00E042F0">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831E8" w14:textId="77777777" w:rsidR="003D0758" w:rsidRDefault="003D0758" w:rsidP="00207717">
      <w:pPr>
        <w:spacing w:before="120"/>
      </w:pPr>
      <w:r>
        <w:separator/>
      </w:r>
    </w:p>
  </w:footnote>
  <w:footnote w:type="continuationSeparator" w:id="0">
    <w:p w14:paraId="45B4EC3C" w14:textId="77777777" w:rsidR="003D0758" w:rsidRDefault="003D0758">
      <w:r>
        <w:continuationSeparator/>
      </w:r>
    </w:p>
    <w:p w14:paraId="48D79117" w14:textId="77777777" w:rsidR="003D0758" w:rsidRDefault="003D0758"/>
  </w:footnote>
  <w:footnote w:id="1">
    <w:p w14:paraId="726817D5" w14:textId="77777777" w:rsidR="00332150" w:rsidRPr="002806B4" w:rsidRDefault="00332150" w:rsidP="00332150">
      <w:pPr>
        <w:pStyle w:val="Footnote"/>
        <w:rPr>
          <w:rFonts w:ascii="Arial" w:hAnsi="Arial" w:cs="Arial"/>
        </w:rPr>
      </w:pPr>
      <w:r w:rsidRPr="002806B4">
        <w:rPr>
          <w:rStyle w:val="FootnoteReference"/>
          <w:rFonts w:ascii="Arial" w:hAnsi="Arial" w:cs="Arial"/>
        </w:rPr>
        <w:footnoteRef/>
      </w:r>
      <w:r w:rsidRPr="002806B4">
        <w:rPr>
          <w:rFonts w:ascii="Arial" w:hAnsi="Arial" w:cs="Arial"/>
        </w:rPr>
        <w:t xml:space="preserve"> Health Services Plan, Report of the Expert Advisory Committee, April 2024, Mr Bob Cameron, Dr Alex Cockram, Professor Christine Kilpatrick, Ms Therese Tierney, Mr Lance Wallace. </w:t>
      </w:r>
      <w:hyperlink r:id="rId1" w:history="1">
        <w:r w:rsidRPr="002806B4">
          <w:rPr>
            <w:rStyle w:val="Hyperlink"/>
            <w:rFonts w:ascii="Arial" w:hAnsi="Arial" w:cs="Arial"/>
          </w:rPr>
          <w:t>https://www.health.vic.gov.au/research-and-reports/health-services-plan</w:t>
        </w:r>
      </w:hyperlink>
    </w:p>
    <w:p w14:paraId="1E6729E3" w14:textId="77777777" w:rsidR="00332150" w:rsidRDefault="00332150" w:rsidP="00332150">
      <w:pPr>
        <w:pStyle w:val="FootnoteText"/>
      </w:pPr>
    </w:p>
  </w:footnote>
  <w:footnote w:id="2">
    <w:p w14:paraId="4E3843C9" w14:textId="77777777" w:rsidR="00535DB6" w:rsidRPr="000D417C" w:rsidRDefault="00535DB6" w:rsidP="00535DB6">
      <w:pPr>
        <w:pStyle w:val="Footnote"/>
        <w:rPr>
          <w:rFonts w:ascii="Arial" w:hAnsi="Arial" w:cs="Arial"/>
        </w:rPr>
      </w:pPr>
      <w:r>
        <w:rPr>
          <w:rStyle w:val="FootnoteReference"/>
        </w:rPr>
        <w:footnoteRef/>
      </w:r>
      <w:r>
        <w:t xml:space="preserve"> </w:t>
      </w:r>
      <w:hyperlink r:id="rId2" w:history="1">
        <w:r w:rsidRPr="000D417C">
          <w:rPr>
            <w:rStyle w:val="Hyperlink"/>
            <w:rFonts w:ascii="Arial" w:hAnsi="Arial" w:cs="Arial"/>
          </w:rPr>
          <w:t>The NSQHS Standards</w:t>
        </w:r>
      </w:hyperlink>
      <w:r w:rsidRPr="000D417C">
        <w:rPr>
          <w:rFonts w:ascii="Arial" w:hAnsi="Arial" w:cs="Arial"/>
        </w:rPr>
        <w:t xml:space="preserve"> &lt;https://www.safetyandquality.gov.au/standards/nsqhs-standards&gt;.</w:t>
      </w:r>
    </w:p>
  </w:footnote>
  <w:footnote w:id="3">
    <w:p w14:paraId="5F8D546D" w14:textId="77777777" w:rsidR="00535DB6" w:rsidRPr="000D417C" w:rsidRDefault="00535DB6" w:rsidP="00535DB6">
      <w:pPr>
        <w:pStyle w:val="Footnote"/>
        <w:rPr>
          <w:rFonts w:ascii="Arial" w:hAnsi="Arial" w:cs="Arial"/>
        </w:rPr>
      </w:pPr>
      <w:r w:rsidRPr="000D417C">
        <w:rPr>
          <w:rStyle w:val="FootnoteReference"/>
          <w:rFonts w:ascii="Arial" w:hAnsi="Arial" w:cs="Arial"/>
        </w:rPr>
        <w:footnoteRef/>
      </w:r>
      <w:r w:rsidRPr="000D417C">
        <w:rPr>
          <w:rFonts w:ascii="Arial" w:hAnsi="Arial" w:cs="Arial"/>
        </w:rPr>
        <w:t xml:space="preserve"> https://www.health.vic.gov.au/funding-performance-accountability/performance-monitoring-framework</w:t>
      </w:r>
    </w:p>
  </w:footnote>
  <w:footnote w:id="4">
    <w:p w14:paraId="4BECD4B4" w14:textId="77777777" w:rsidR="00535DB6" w:rsidRPr="000D417C" w:rsidRDefault="00535DB6" w:rsidP="00535DB6">
      <w:pPr>
        <w:pStyle w:val="Footnote"/>
        <w:rPr>
          <w:rFonts w:ascii="Arial" w:hAnsi="Arial" w:cs="Arial"/>
        </w:rPr>
      </w:pPr>
      <w:r w:rsidRPr="000D417C">
        <w:rPr>
          <w:rStyle w:val="FootnoteReference"/>
          <w:rFonts w:ascii="Arial" w:hAnsi="Arial" w:cs="Arial"/>
        </w:rPr>
        <w:footnoteRef/>
      </w:r>
      <w:r w:rsidRPr="000D417C">
        <w:rPr>
          <w:rFonts w:ascii="Arial" w:hAnsi="Arial" w:cs="Arial"/>
        </w:rPr>
        <w:t xml:space="preserve"> https://www.health.vic.gov.au/policy-and-funding-guidelines-for-health-services</w:t>
      </w:r>
    </w:p>
  </w:footnote>
  <w:footnote w:id="5">
    <w:p w14:paraId="57A8E7F0" w14:textId="77777777" w:rsidR="00535DB6" w:rsidRDefault="00535DB6" w:rsidP="00535DB6">
      <w:pPr>
        <w:pStyle w:val="Footnote"/>
      </w:pPr>
      <w:r w:rsidRPr="000D417C">
        <w:rPr>
          <w:rStyle w:val="FootnoteReference"/>
          <w:rFonts w:ascii="Arial" w:hAnsi="Arial" w:cs="Arial"/>
        </w:rPr>
        <w:footnoteRef/>
      </w:r>
      <w:r w:rsidRPr="000D417C">
        <w:rPr>
          <w:rFonts w:ascii="Arial" w:hAnsi="Arial" w:cs="Arial"/>
        </w:rPr>
        <w:t xml:space="preserve"> https://www.safercare.vic.gov.au/best-practice-improvement/clinical-governance</w:t>
      </w:r>
    </w:p>
  </w:footnote>
  <w:footnote w:id="6">
    <w:p w14:paraId="03DB83F1" w14:textId="77777777" w:rsidR="004B520F" w:rsidRPr="00352533" w:rsidRDefault="004B520F" w:rsidP="004B520F">
      <w:pPr>
        <w:pStyle w:val="Footnote"/>
        <w:rPr>
          <w:rFonts w:ascii="Arial" w:hAnsi="Arial" w:cs="Arial"/>
        </w:rPr>
      </w:pPr>
      <w:r w:rsidRPr="00352533">
        <w:rPr>
          <w:rStyle w:val="FootnoteReference"/>
          <w:rFonts w:ascii="Arial" w:hAnsi="Arial" w:cs="Arial"/>
        </w:rPr>
        <w:footnoteRef/>
      </w:r>
      <w:r w:rsidRPr="00352533">
        <w:rPr>
          <w:rFonts w:ascii="Arial" w:hAnsi="Arial" w:cs="Arial"/>
        </w:rPr>
        <w:t xml:space="preserve"> https://www.health.vic.gov.au/health-system-design-planning/service-capability-frameworks-for-victoria</w:t>
      </w:r>
    </w:p>
  </w:footnote>
  <w:footnote w:id="7">
    <w:p w14:paraId="0ECAF3B1" w14:textId="77777777" w:rsidR="004B520F" w:rsidRDefault="004B520F" w:rsidP="004B520F">
      <w:pPr>
        <w:pStyle w:val="FootnoteText"/>
      </w:pPr>
      <w:r w:rsidRPr="6BBF8AFB">
        <w:rPr>
          <w:rStyle w:val="FootnoteReference"/>
        </w:rPr>
        <w:footnoteRef/>
      </w:r>
      <w:r>
        <w:t xml:space="preserve"> Programs and services that are governed under intergovernmental arrangements with the Commonwealth, such as the Highly Specialised Therapies Program, organ transplantation and genetic services, involve broader policy, funding and governance issues, and so lie outside the scope of the Committee.</w:t>
      </w:r>
    </w:p>
  </w:footnote>
  <w:footnote w:id="8">
    <w:p w14:paraId="60681D1D" w14:textId="77777777" w:rsidR="00F149A1" w:rsidRDefault="00F149A1" w:rsidP="00F149A1">
      <w:pPr>
        <w:pStyle w:val="FootnoteText"/>
      </w:pPr>
      <w:r w:rsidRPr="2F0ECC1D">
        <w:rPr>
          <w:rStyle w:val="FootnoteReference"/>
        </w:rPr>
        <w:footnoteRef/>
      </w:r>
      <w:r>
        <w:t xml:space="preserve"> Per National Weighted Activity Units as prescribed by the Independent Health and Aged Care Pricing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00B2"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EA43" w14:textId="6A53318D" w:rsidR="00562811" w:rsidRPr="0051568D" w:rsidRDefault="00332150" w:rsidP="0017674D">
    <w:pPr>
      <w:pStyle w:val="Header"/>
    </w:pPr>
    <w:r>
      <w:t>Victorian Role Delineation Framework</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0AAE1EBA"/>
    <w:numStyleLink w:val="ZZNumbersloweralpha"/>
  </w:abstractNum>
  <w:abstractNum w:abstractNumId="1" w15:restartNumberingAfterBreak="0">
    <w:nsid w:val="0B8D43DB"/>
    <w:multiLevelType w:val="multilevel"/>
    <w:tmpl w:val="B33A2DBC"/>
    <w:numStyleLink w:val="ZZNumbersdigit"/>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7A416A"/>
    <w:multiLevelType w:val="hybridMultilevel"/>
    <w:tmpl w:val="E60AA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3B1054"/>
    <w:multiLevelType w:val="hybridMultilevel"/>
    <w:tmpl w:val="63368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3A218B"/>
    <w:multiLevelType w:val="hybridMultilevel"/>
    <w:tmpl w:val="2C8EC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796E1A"/>
    <w:multiLevelType w:val="multilevel"/>
    <w:tmpl w:val="394A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CE2AC1"/>
    <w:multiLevelType w:val="hybridMultilevel"/>
    <w:tmpl w:val="E2649D40"/>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8" w15:restartNumberingAfterBreak="0">
    <w:nsid w:val="1E7D516C"/>
    <w:multiLevelType w:val="hybridMultilevel"/>
    <w:tmpl w:val="D93697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0D426D"/>
    <w:multiLevelType w:val="hybridMultilevel"/>
    <w:tmpl w:val="0552730C"/>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0" w15:restartNumberingAfterBreak="0">
    <w:nsid w:val="2129494C"/>
    <w:multiLevelType w:val="multilevel"/>
    <w:tmpl w:val="4530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BF51BC"/>
    <w:multiLevelType w:val="hybridMultilevel"/>
    <w:tmpl w:val="D2466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AC25AE"/>
    <w:multiLevelType w:val="hybridMultilevel"/>
    <w:tmpl w:val="977A8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DB3B90"/>
    <w:multiLevelType w:val="hybridMultilevel"/>
    <w:tmpl w:val="61FA3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9B01E4"/>
    <w:multiLevelType w:val="multilevel"/>
    <w:tmpl w:val="1CF8BC3C"/>
    <w:lvl w:ilvl="0">
      <w:start w:val="1"/>
      <w:numFmt w:val="bullet"/>
      <w:pStyle w:val="Plan-Dots"/>
      <w:lvlText w:val=""/>
      <w:lvlJc w:val="left"/>
      <w:pPr>
        <w:ind w:left="720" w:hanging="360"/>
      </w:pPr>
      <w:rPr>
        <w:rFonts w:ascii="Symbol" w:hAnsi="Symbol" w:hint="default"/>
      </w:rPr>
    </w:lvl>
    <w:lvl w:ilvl="1">
      <w:start w:val="1"/>
      <w:numFmt w:val="bullet"/>
      <w:pStyle w:val="Plan-dotslevel2"/>
      <w:lvlText w:val="o"/>
      <w:lvlJc w:val="left"/>
      <w:pPr>
        <w:ind w:left="1077" w:hanging="357"/>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77391C"/>
    <w:multiLevelType w:val="hybridMultilevel"/>
    <w:tmpl w:val="A3F6A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CA236B"/>
    <w:multiLevelType w:val="hybridMultilevel"/>
    <w:tmpl w:val="EDFA23CA"/>
    <w:lvl w:ilvl="0" w:tplc="F8FEEC24">
      <w:start w:val="1"/>
      <w:numFmt w:val="bullet"/>
      <w:pStyle w:val="PlanXXSpecial-Appendix4figuredo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D05B0C"/>
    <w:multiLevelType w:val="multilevel"/>
    <w:tmpl w:val="23EE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D20557"/>
    <w:multiLevelType w:val="hybridMultilevel"/>
    <w:tmpl w:val="2CE25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2227C8"/>
    <w:multiLevelType w:val="hybridMultilevel"/>
    <w:tmpl w:val="4F0E1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0A0673"/>
    <w:multiLevelType w:val="hybridMultilevel"/>
    <w:tmpl w:val="1B5E3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0622669"/>
    <w:multiLevelType w:val="hybridMultilevel"/>
    <w:tmpl w:val="A40CC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8A2E25"/>
    <w:multiLevelType w:val="hybridMultilevel"/>
    <w:tmpl w:val="EF4CF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992040"/>
    <w:multiLevelType w:val="multilevel"/>
    <w:tmpl w:val="F4A0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B9B132"/>
    <w:multiLevelType w:val="hybridMultilevel"/>
    <w:tmpl w:val="FFFFFFFF"/>
    <w:lvl w:ilvl="0" w:tplc="73D08AC6">
      <w:start w:val="1"/>
      <w:numFmt w:val="bullet"/>
      <w:lvlText w:val=""/>
      <w:lvlJc w:val="left"/>
      <w:pPr>
        <w:ind w:left="720" w:hanging="360"/>
      </w:pPr>
      <w:rPr>
        <w:rFonts w:ascii="Symbol" w:hAnsi="Symbol" w:hint="default"/>
      </w:rPr>
    </w:lvl>
    <w:lvl w:ilvl="1" w:tplc="36A82B50">
      <w:start w:val="1"/>
      <w:numFmt w:val="bullet"/>
      <w:lvlText w:val="o"/>
      <w:lvlJc w:val="left"/>
      <w:pPr>
        <w:ind w:left="1440" w:hanging="360"/>
      </w:pPr>
      <w:rPr>
        <w:rFonts w:ascii="Courier New" w:hAnsi="Courier New" w:hint="default"/>
      </w:rPr>
    </w:lvl>
    <w:lvl w:ilvl="2" w:tplc="F5C87F60">
      <w:start w:val="1"/>
      <w:numFmt w:val="bullet"/>
      <w:lvlText w:val=""/>
      <w:lvlJc w:val="left"/>
      <w:pPr>
        <w:ind w:left="2160" w:hanging="360"/>
      </w:pPr>
      <w:rPr>
        <w:rFonts w:ascii="Wingdings" w:hAnsi="Wingdings" w:hint="default"/>
      </w:rPr>
    </w:lvl>
    <w:lvl w:ilvl="3" w:tplc="0964BAD4">
      <w:start w:val="1"/>
      <w:numFmt w:val="bullet"/>
      <w:lvlText w:val=""/>
      <w:lvlJc w:val="left"/>
      <w:pPr>
        <w:ind w:left="2880" w:hanging="360"/>
      </w:pPr>
      <w:rPr>
        <w:rFonts w:ascii="Symbol" w:hAnsi="Symbol" w:hint="default"/>
      </w:rPr>
    </w:lvl>
    <w:lvl w:ilvl="4" w:tplc="103AE742">
      <w:start w:val="1"/>
      <w:numFmt w:val="bullet"/>
      <w:lvlText w:val="o"/>
      <w:lvlJc w:val="left"/>
      <w:pPr>
        <w:ind w:left="3600" w:hanging="360"/>
      </w:pPr>
      <w:rPr>
        <w:rFonts w:ascii="Courier New" w:hAnsi="Courier New" w:hint="default"/>
      </w:rPr>
    </w:lvl>
    <w:lvl w:ilvl="5" w:tplc="5B960F6C">
      <w:start w:val="1"/>
      <w:numFmt w:val="bullet"/>
      <w:lvlText w:val=""/>
      <w:lvlJc w:val="left"/>
      <w:pPr>
        <w:ind w:left="4320" w:hanging="360"/>
      </w:pPr>
      <w:rPr>
        <w:rFonts w:ascii="Wingdings" w:hAnsi="Wingdings" w:hint="default"/>
      </w:rPr>
    </w:lvl>
    <w:lvl w:ilvl="6" w:tplc="1B2CBAF0">
      <w:start w:val="1"/>
      <w:numFmt w:val="bullet"/>
      <w:lvlText w:val=""/>
      <w:lvlJc w:val="left"/>
      <w:pPr>
        <w:ind w:left="5040" w:hanging="360"/>
      </w:pPr>
      <w:rPr>
        <w:rFonts w:ascii="Symbol" w:hAnsi="Symbol" w:hint="default"/>
      </w:rPr>
    </w:lvl>
    <w:lvl w:ilvl="7" w:tplc="1988EA3C">
      <w:start w:val="1"/>
      <w:numFmt w:val="bullet"/>
      <w:lvlText w:val="o"/>
      <w:lvlJc w:val="left"/>
      <w:pPr>
        <w:ind w:left="5760" w:hanging="360"/>
      </w:pPr>
      <w:rPr>
        <w:rFonts w:ascii="Courier New" w:hAnsi="Courier New" w:hint="default"/>
      </w:rPr>
    </w:lvl>
    <w:lvl w:ilvl="8" w:tplc="8C62EE10">
      <w:start w:val="1"/>
      <w:numFmt w:val="bullet"/>
      <w:lvlText w:val=""/>
      <w:lvlJc w:val="left"/>
      <w:pPr>
        <w:ind w:left="6480" w:hanging="360"/>
      </w:pPr>
      <w:rPr>
        <w:rFonts w:ascii="Wingdings" w:hAnsi="Wingdings" w:hint="default"/>
      </w:rPr>
    </w:lvl>
  </w:abstractNum>
  <w:abstractNum w:abstractNumId="27" w15:restartNumberingAfterBreak="0">
    <w:nsid w:val="448F76C3"/>
    <w:multiLevelType w:val="hybridMultilevel"/>
    <w:tmpl w:val="CABE8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9A7CA7"/>
    <w:multiLevelType w:val="hybridMultilevel"/>
    <w:tmpl w:val="5D089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860649"/>
    <w:multiLevelType w:val="multilevel"/>
    <w:tmpl w:val="973A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4533A49"/>
    <w:multiLevelType w:val="multilevel"/>
    <w:tmpl w:val="8ECC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584C23DE"/>
    <w:multiLevelType w:val="hybridMultilevel"/>
    <w:tmpl w:val="67C0C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97C20A3"/>
    <w:multiLevelType w:val="hybridMultilevel"/>
    <w:tmpl w:val="A11A0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A42DED"/>
    <w:multiLevelType w:val="multilevel"/>
    <w:tmpl w:val="1024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BA3909"/>
    <w:multiLevelType w:val="multilevel"/>
    <w:tmpl w:val="AC10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6DF34842"/>
    <w:multiLevelType w:val="hybridMultilevel"/>
    <w:tmpl w:val="1618D6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1674718"/>
    <w:multiLevelType w:val="hybridMultilevel"/>
    <w:tmpl w:val="63D43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C215C0"/>
    <w:multiLevelType w:val="hybridMultilevel"/>
    <w:tmpl w:val="57C207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7916053F"/>
    <w:multiLevelType w:val="hybridMultilevel"/>
    <w:tmpl w:val="FBC8B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6C0242"/>
    <w:multiLevelType w:val="hybridMultilevel"/>
    <w:tmpl w:val="87C06E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E22C6F"/>
    <w:multiLevelType w:val="hybridMultilevel"/>
    <w:tmpl w:val="FFFFFFFF"/>
    <w:lvl w:ilvl="0" w:tplc="14E2A69C">
      <w:start w:val="1"/>
      <w:numFmt w:val="bullet"/>
      <w:lvlText w:val=""/>
      <w:lvlJc w:val="left"/>
      <w:pPr>
        <w:ind w:left="720" w:hanging="360"/>
      </w:pPr>
      <w:rPr>
        <w:rFonts w:ascii="Symbol" w:hAnsi="Symbol" w:hint="default"/>
      </w:rPr>
    </w:lvl>
    <w:lvl w:ilvl="1" w:tplc="1CA2D0A0">
      <w:start w:val="1"/>
      <w:numFmt w:val="bullet"/>
      <w:lvlText w:val="o"/>
      <w:lvlJc w:val="left"/>
      <w:pPr>
        <w:ind w:left="1440" w:hanging="360"/>
      </w:pPr>
      <w:rPr>
        <w:rFonts w:ascii="Courier New" w:hAnsi="Courier New" w:hint="default"/>
      </w:rPr>
    </w:lvl>
    <w:lvl w:ilvl="2" w:tplc="44DAE3F0">
      <w:start w:val="1"/>
      <w:numFmt w:val="bullet"/>
      <w:lvlText w:val=""/>
      <w:lvlJc w:val="left"/>
      <w:pPr>
        <w:ind w:left="2160" w:hanging="360"/>
      </w:pPr>
      <w:rPr>
        <w:rFonts w:ascii="Wingdings" w:hAnsi="Wingdings" w:hint="default"/>
      </w:rPr>
    </w:lvl>
    <w:lvl w:ilvl="3" w:tplc="EEDE7C16">
      <w:start w:val="1"/>
      <w:numFmt w:val="bullet"/>
      <w:lvlText w:val=""/>
      <w:lvlJc w:val="left"/>
      <w:pPr>
        <w:ind w:left="2880" w:hanging="360"/>
      </w:pPr>
      <w:rPr>
        <w:rFonts w:ascii="Symbol" w:hAnsi="Symbol" w:hint="default"/>
      </w:rPr>
    </w:lvl>
    <w:lvl w:ilvl="4" w:tplc="B49C50B6">
      <w:start w:val="1"/>
      <w:numFmt w:val="bullet"/>
      <w:lvlText w:val="o"/>
      <w:lvlJc w:val="left"/>
      <w:pPr>
        <w:ind w:left="3600" w:hanging="360"/>
      </w:pPr>
      <w:rPr>
        <w:rFonts w:ascii="Courier New" w:hAnsi="Courier New" w:hint="default"/>
      </w:rPr>
    </w:lvl>
    <w:lvl w:ilvl="5" w:tplc="B450019A">
      <w:start w:val="1"/>
      <w:numFmt w:val="bullet"/>
      <w:lvlText w:val=""/>
      <w:lvlJc w:val="left"/>
      <w:pPr>
        <w:ind w:left="4320" w:hanging="360"/>
      </w:pPr>
      <w:rPr>
        <w:rFonts w:ascii="Wingdings" w:hAnsi="Wingdings" w:hint="default"/>
      </w:rPr>
    </w:lvl>
    <w:lvl w:ilvl="6" w:tplc="B35C401C">
      <w:start w:val="1"/>
      <w:numFmt w:val="bullet"/>
      <w:lvlText w:val=""/>
      <w:lvlJc w:val="left"/>
      <w:pPr>
        <w:ind w:left="5040" w:hanging="360"/>
      </w:pPr>
      <w:rPr>
        <w:rFonts w:ascii="Symbol" w:hAnsi="Symbol" w:hint="default"/>
      </w:rPr>
    </w:lvl>
    <w:lvl w:ilvl="7" w:tplc="DA0A4F6C">
      <w:start w:val="1"/>
      <w:numFmt w:val="bullet"/>
      <w:lvlText w:val="o"/>
      <w:lvlJc w:val="left"/>
      <w:pPr>
        <w:ind w:left="5760" w:hanging="360"/>
      </w:pPr>
      <w:rPr>
        <w:rFonts w:ascii="Courier New" w:hAnsi="Courier New" w:hint="default"/>
      </w:rPr>
    </w:lvl>
    <w:lvl w:ilvl="8" w:tplc="56DE090A">
      <w:start w:val="1"/>
      <w:numFmt w:val="bullet"/>
      <w:lvlText w:val=""/>
      <w:lvlJc w:val="left"/>
      <w:pPr>
        <w:ind w:left="6480" w:hanging="360"/>
      </w:pPr>
      <w:rPr>
        <w:rFonts w:ascii="Wingdings" w:hAnsi="Wingdings" w:hint="default"/>
      </w:rPr>
    </w:lvl>
  </w:abstractNum>
  <w:abstractNum w:abstractNumId="44" w15:restartNumberingAfterBreak="0">
    <w:nsid w:val="7F3141E7"/>
    <w:multiLevelType w:val="hybridMultilevel"/>
    <w:tmpl w:val="12EEB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3509207">
    <w:abstractNumId w:val="21"/>
  </w:num>
  <w:num w:numId="2" w16cid:durableId="1117409578">
    <w:abstractNumId w:val="32"/>
  </w:num>
  <w:num w:numId="3" w16cid:durableId="330261924">
    <w:abstractNumId w:val="30"/>
  </w:num>
  <w:num w:numId="4" w16cid:durableId="22050680">
    <w:abstractNumId w:val="37"/>
  </w:num>
  <w:num w:numId="5" w16cid:durableId="1060128623">
    <w:abstractNumId w:val="22"/>
  </w:num>
  <w:num w:numId="6" w16cid:durableId="1866670251">
    <w:abstractNumId w:val="2"/>
  </w:num>
  <w:num w:numId="7" w16cid:durableId="1181317884">
    <w:abstractNumId w:val="39"/>
  </w:num>
  <w:num w:numId="8" w16cid:durableId="113717032">
    <w:abstractNumId w:val="23"/>
  </w:num>
  <w:num w:numId="9" w16cid:durableId="1614172521">
    <w:abstractNumId w:val="42"/>
  </w:num>
  <w:num w:numId="10" w16cid:durableId="562763105">
    <w:abstractNumId w:val="33"/>
  </w:num>
  <w:num w:numId="11" w16cid:durableId="1775441254">
    <w:abstractNumId w:val="18"/>
  </w:num>
  <w:num w:numId="12" w16cid:durableId="1544556861">
    <w:abstractNumId w:val="25"/>
  </w:num>
  <w:num w:numId="13" w16cid:durableId="1857697273">
    <w:abstractNumId w:val="6"/>
  </w:num>
  <w:num w:numId="14" w16cid:durableId="1653636959">
    <w:abstractNumId w:val="17"/>
  </w:num>
  <w:num w:numId="15" w16cid:durableId="1257322981">
    <w:abstractNumId w:val="35"/>
  </w:num>
  <w:num w:numId="16" w16cid:durableId="1655524867">
    <w:abstractNumId w:val="36"/>
  </w:num>
  <w:num w:numId="17" w16cid:durableId="1946115786">
    <w:abstractNumId w:val="31"/>
  </w:num>
  <w:num w:numId="18" w16cid:durableId="28263439">
    <w:abstractNumId w:val="29"/>
  </w:num>
  <w:num w:numId="19" w16cid:durableId="391580398">
    <w:abstractNumId w:val="10"/>
  </w:num>
  <w:num w:numId="20" w16cid:durableId="1945308431">
    <w:abstractNumId w:val="14"/>
  </w:num>
  <w:num w:numId="21" w16cid:durableId="1555970211">
    <w:abstractNumId w:val="40"/>
  </w:num>
  <w:num w:numId="22" w16cid:durableId="1495146536">
    <w:abstractNumId w:val="27"/>
  </w:num>
  <w:num w:numId="23" w16cid:durableId="994916636">
    <w:abstractNumId w:val="32"/>
    <w:lvlOverride w:ilvl="0">
      <w:lvl w:ilvl="0">
        <w:start w:val="1"/>
        <w:numFmt w:val="bullet"/>
        <w:pStyle w:val="Bullet1"/>
        <w:lvlText w:val="•"/>
        <w:lvlJc w:val="left"/>
        <w:pPr>
          <w:ind w:left="284" w:hanging="284"/>
        </w:pPr>
        <w:rPr>
          <w:color w:val="auto"/>
        </w:rPr>
      </w:lvl>
    </w:lvlOverride>
    <w:lvlOverride w:ilvl="1">
      <w:lvl w:ilvl="1">
        <w:start w:val="1"/>
        <w:numFmt w:val="bullet"/>
        <w:pStyle w:val="Bullet2"/>
        <w:lvlText w:val="o"/>
        <w:lvlJc w:val="left"/>
        <w:pPr>
          <w:ind w:left="1440" w:hanging="360"/>
        </w:pPr>
        <w:rPr>
          <w:rFonts w:ascii="Courier New" w:hAnsi="Courier New" w:cs="Courier New" w:hint="default"/>
        </w:rPr>
      </w:lvl>
    </w:lvlOverride>
    <w:lvlOverride w:ilvl="2">
      <w:lvl w:ilvl="2" w:tentative="1">
        <w:start w:val="1"/>
        <w:numFmt w:val="bullet"/>
        <w:lvlText w:val=""/>
        <w:lvlJc w:val="left"/>
        <w:pPr>
          <w:ind w:left="2160" w:hanging="360"/>
        </w:pPr>
        <w:rPr>
          <w:rFonts w:ascii="Wingdings" w:hAnsi="Wingdings" w:hint="default"/>
        </w:rPr>
      </w:lvl>
    </w:lvlOverride>
    <w:lvlOverride w:ilvl="3">
      <w:lvl w:ilvl="3" w:tentative="1">
        <w:start w:val="1"/>
        <w:numFmt w:val="bullet"/>
        <w:lvlText w:val=""/>
        <w:lvlJc w:val="left"/>
        <w:pPr>
          <w:ind w:left="2880" w:hanging="360"/>
        </w:pPr>
        <w:rPr>
          <w:rFonts w:ascii="Symbol" w:hAnsi="Symbol" w:hint="default"/>
        </w:rPr>
      </w:lvl>
    </w:lvlOverride>
    <w:lvlOverride w:ilvl="4">
      <w:lvl w:ilvl="4" w:tentative="1">
        <w:start w:val="1"/>
        <w:numFmt w:val="bullet"/>
        <w:lvlText w:val="o"/>
        <w:lvlJc w:val="left"/>
        <w:pPr>
          <w:ind w:left="3600" w:hanging="360"/>
        </w:pPr>
        <w:rPr>
          <w:rFonts w:ascii="Courier New" w:hAnsi="Courier New" w:cs="Courier New" w:hint="default"/>
        </w:rPr>
      </w:lvl>
    </w:lvlOverride>
    <w:lvlOverride w:ilvl="5">
      <w:lvl w:ilvl="5" w:tentative="1">
        <w:start w:val="1"/>
        <w:numFmt w:val="bullet"/>
        <w:lvlText w:val=""/>
        <w:lvlJc w:val="left"/>
        <w:pPr>
          <w:ind w:left="4320" w:hanging="360"/>
        </w:pPr>
        <w:rPr>
          <w:rFonts w:ascii="Wingdings" w:hAnsi="Wingdings" w:hint="default"/>
        </w:rPr>
      </w:lvl>
    </w:lvlOverride>
    <w:lvlOverride w:ilvl="6">
      <w:lvl w:ilvl="6" w:tentative="1">
        <w:start w:val="1"/>
        <w:numFmt w:val="bullet"/>
        <w:lvlText w:val=""/>
        <w:lvlJc w:val="left"/>
        <w:pPr>
          <w:ind w:left="5040" w:hanging="360"/>
        </w:pPr>
        <w:rPr>
          <w:rFonts w:ascii="Symbol" w:hAnsi="Symbol" w:hint="default"/>
        </w:rPr>
      </w:lvl>
    </w:lvlOverride>
    <w:lvlOverride w:ilvl="7">
      <w:lvl w:ilvl="7" w:tentative="1">
        <w:start w:val="1"/>
        <w:numFmt w:val="bullet"/>
        <w:lvlText w:val="o"/>
        <w:lvlJc w:val="left"/>
        <w:pPr>
          <w:ind w:left="5760" w:hanging="360"/>
        </w:pPr>
        <w:rPr>
          <w:rFonts w:ascii="Courier New" w:hAnsi="Courier New" w:cs="Courier New" w:hint="default"/>
        </w:rPr>
      </w:lvl>
    </w:lvlOverride>
    <w:lvlOverride w:ilvl="8">
      <w:lvl w:ilvl="8" w:tentative="1">
        <w:start w:val="1"/>
        <w:numFmt w:val="bullet"/>
        <w:lvlText w:val=""/>
        <w:lvlJc w:val="left"/>
        <w:pPr>
          <w:ind w:left="6480" w:hanging="360"/>
        </w:pPr>
        <w:rPr>
          <w:rFonts w:ascii="Wingdings" w:hAnsi="Wingdings" w:hint="default"/>
        </w:rPr>
      </w:lvl>
    </w:lvlOverride>
  </w:num>
  <w:num w:numId="24" w16cid:durableId="47606988">
    <w:abstractNumId w:val="13"/>
  </w:num>
  <w:num w:numId="25" w16cid:durableId="1851916732">
    <w:abstractNumId w:val="12"/>
  </w:num>
  <w:num w:numId="26" w16cid:durableId="1301689065">
    <w:abstractNumId w:val="24"/>
  </w:num>
  <w:num w:numId="27" w16cid:durableId="899101315">
    <w:abstractNumId w:val="41"/>
  </w:num>
  <w:num w:numId="28" w16cid:durableId="1909682754">
    <w:abstractNumId w:val="5"/>
  </w:num>
  <w:num w:numId="29" w16cid:durableId="1256862808">
    <w:abstractNumId w:val="28"/>
  </w:num>
  <w:num w:numId="30" w16cid:durableId="1968197431">
    <w:abstractNumId w:val="20"/>
  </w:num>
  <w:num w:numId="31" w16cid:durableId="2004964365">
    <w:abstractNumId w:val="15"/>
  </w:num>
  <w:num w:numId="32" w16cid:durableId="1431583935">
    <w:abstractNumId w:val="19"/>
  </w:num>
  <w:num w:numId="33" w16cid:durableId="1938900129">
    <w:abstractNumId w:val="4"/>
  </w:num>
  <w:num w:numId="34" w16cid:durableId="1523468062">
    <w:abstractNumId w:val="3"/>
  </w:num>
  <w:num w:numId="35" w16cid:durableId="389380005">
    <w:abstractNumId w:val="34"/>
  </w:num>
  <w:num w:numId="36" w16cid:durableId="399787272">
    <w:abstractNumId w:val="44"/>
  </w:num>
  <w:num w:numId="37" w16cid:durableId="832333898">
    <w:abstractNumId w:val="11"/>
  </w:num>
  <w:num w:numId="38" w16cid:durableId="1232235957">
    <w:abstractNumId w:val="38"/>
  </w:num>
  <w:num w:numId="39" w16cid:durableId="1147434419">
    <w:abstractNumId w:val="8"/>
  </w:num>
  <w:num w:numId="40" w16cid:durableId="1161001177">
    <w:abstractNumId w:val="43"/>
  </w:num>
  <w:num w:numId="41" w16cid:durableId="1654480121">
    <w:abstractNumId w:val="26"/>
  </w:num>
  <w:num w:numId="42" w16cid:durableId="1655795473">
    <w:abstractNumId w:val="16"/>
  </w:num>
  <w:num w:numId="43" w16cid:durableId="7326593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10086265">
    <w:abstractNumId w:val="0"/>
  </w:num>
  <w:num w:numId="45" w16cid:durableId="56899120">
    <w:abstractNumId w:val="7"/>
  </w:num>
  <w:num w:numId="46" w16cid:durableId="144590042">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enforcement="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B0"/>
    <w:rsid w:val="0000008D"/>
    <w:rsid w:val="00000719"/>
    <w:rsid w:val="00002D68"/>
    <w:rsid w:val="000033F7"/>
    <w:rsid w:val="00003403"/>
    <w:rsid w:val="00003BA3"/>
    <w:rsid w:val="00005347"/>
    <w:rsid w:val="000072B6"/>
    <w:rsid w:val="0001021B"/>
    <w:rsid w:val="00011D89"/>
    <w:rsid w:val="00012C84"/>
    <w:rsid w:val="000154FD"/>
    <w:rsid w:val="00022271"/>
    <w:rsid w:val="000227A7"/>
    <w:rsid w:val="00022AC6"/>
    <w:rsid w:val="000235E8"/>
    <w:rsid w:val="00024485"/>
    <w:rsid w:val="00024D89"/>
    <w:rsid w:val="000250B6"/>
    <w:rsid w:val="00026540"/>
    <w:rsid w:val="00030CDD"/>
    <w:rsid w:val="00031A36"/>
    <w:rsid w:val="00033D81"/>
    <w:rsid w:val="00033DC9"/>
    <w:rsid w:val="0003469D"/>
    <w:rsid w:val="00037366"/>
    <w:rsid w:val="00040519"/>
    <w:rsid w:val="00041BF0"/>
    <w:rsid w:val="00042C8A"/>
    <w:rsid w:val="00042CC5"/>
    <w:rsid w:val="000430D6"/>
    <w:rsid w:val="0004536B"/>
    <w:rsid w:val="000465FD"/>
    <w:rsid w:val="00046B68"/>
    <w:rsid w:val="000527DD"/>
    <w:rsid w:val="00053E0F"/>
    <w:rsid w:val="00056EC4"/>
    <w:rsid w:val="000578B2"/>
    <w:rsid w:val="00060959"/>
    <w:rsid w:val="00060C8F"/>
    <w:rsid w:val="0006298A"/>
    <w:rsid w:val="000643B4"/>
    <w:rsid w:val="000663CD"/>
    <w:rsid w:val="00072D1D"/>
    <w:rsid w:val="000733FE"/>
    <w:rsid w:val="00074219"/>
    <w:rsid w:val="00074ED5"/>
    <w:rsid w:val="000755AF"/>
    <w:rsid w:val="0008204A"/>
    <w:rsid w:val="0008376A"/>
    <w:rsid w:val="0008508E"/>
    <w:rsid w:val="00085CE0"/>
    <w:rsid w:val="00087951"/>
    <w:rsid w:val="0009113B"/>
    <w:rsid w:val="00091576"/>
    <w:rsid w:val="00093155"/>
    <w:rsid w:val="00093402"/>
    <w:rsid w:val="0009483A"/>
    <w:rsid w:val="00094DA3"/>
    <w:rsid w:val="00096CD1"/>
    <w:rsid w:val="000A012C"/>
    <w:rsid w:val="000A0EB9"/>
    <w:rsid w:val="000A1313"/>
    <w:rsid w:val="000A1591"/>
    <w:rsid w:val="000A186C"/>
    <w:rsid w:val="000A1EA4"/>
    <w:rsid w:val="000A2476"/>
    <w:rsid w:val="000A256F"/>
    <w:rsid w:val="000A641A"/>
    <w:rsid w:val="000B3749"/>
    <w:rsid w:val="000B3EDB"/>
    <w:rsid w:val="000B4566"/>
    <w:rsid w:val="000B543D"/>
    <w:rsid w:val="000B55F9"/>
    <w:rsid w:val="000B5BF7"/>
    <w:rsid w:val="000B6BC8"/>
    <w:rsid w:val="000C0303"/>
    <w:rsid w:val="000C0964"/>
    <w:rsid w:val="000C3E03"/>
    <w:rsid w:val="000C42EA"/>
    <w:rsid w:val="000C4546"/>
    <w:rsid w:val="000C6081"/>
    <w:rsid w:val="000C6225"/>
    <w:rsid w:val="000D1242"/>
    <w:rsid w:val="000D1593"/>
    <w:rsid w:val="000D285A"/>
    <w:rsid w:val="000D2ABA"/>
    <w:rsid w:val="000D417C"/>
    <w:rsid w:val="000D6635"/>
    <w:rsid w:val="000D6960"/>
    <w:rsid w:val="000D6A69"/>
    <w:rsid w:val="000E03B6"/>
    <w:rsid w:val="000E0970"/>
    <w:rsid w:val="000E1207"/>
    <w:rsid w:val="000E27EF"/>
    <w:rsid w:val="000E2E6B"/>
    <w:rsid w:val="000E3CC7"/>
    <w:rsid w:val="000E41CA"/>
    <w:rsid w:val="000E6BD4"/>
    <w:rsid w:val="000E6D6D"/>
    <w:rsid w:val="000F1F1E"/>
    <w:rsid w:val="000F21E9"/>
    <w:rsid w:val="000F2259"/>
    <w:rsid w:val="000F2DDA"/>
    <w:rsid w:val="000F2EA0"/>
    <w:rsid w:val="000F4FE5"/>
    <w:rsid w:val="000F5213"/>
    <w:rsid w:val="000F5EFA"/>
    <w:rsid w:val="001008C6"/>
    <w:rsid w:val="00101001"/>
    <w:rsid w:val="00102BAB"/>
    <w:rsid w:val="00103276"/>
    <w:rsid w:val="0010392D"/>
    <w:rsid w:val="0010447F"/>
    <w:rsid w:val="00104FE3"/>
    <w:rsid w:val="0010694A"/>
    <w:rsid w:val="0010714F"/>
    <w:rsid w:val="001120C5"/>
    <w:rsid w:val="001168B5"/>
    <w:rsid w:val="00120732"/>
    <w:rsid w:val="00120BD3"/>
    <w:rsid w:val="001218DE"/>
    <w:rsid w:val="00121D9E"/>
    <w:rsid w:val="00122FEA"/>
    <w:rsid w:val="001232BD"/>
    <w:rsid w:val="001236DC"/>
    <w:rsid w:val="00124293"/>
    <w:rsid w:val="00124ED5"/>
    <w:rsid w:val="001276FA"/>
    <w:rsid w:val="00132A43"/>
    <w:rsid w:val="00144121"/>
    <w:rsid w:val="001447B3"/>
    <w:rsid w:val="00144ED7"/>
    <w:rsid w:val="00145E20"/>
    <w:rsid w:val="001501BE"/>
    <w:rsid w:val="00152073"/>
    <w:rsid w:val="00152329"/>
    <w:rsid w:val="0015386D"/>
    <w:rsid w:val="0015434C"/>
    <w:rsid w:val="00156598"/>
    <w:rsid w:val="00161939"/>
    <w:rsid w:val="00161AA0"/>
    <w:rsid w:val="00161D2E"/>
    <w:rsid w:val="00161F3E"/>
    <w:rsid w:val="00162093"/>
    <w:rsid w:val="00162CA9"/>
    <w:rsid w:val="00165459"/>
    <w:rsid w:val="00165A57"/>
    <w:rsid w:val="001712C2"/>
    <w:rsid w:val="00172BAF"/>
    <w:rsid w:val="00175325"/>
    <w:rsid w:val="0017674D"/>
    <w:rsid w:val="001771DD"/>
    <w:rsid w:val="00177995"/>
    <w:rsid w:val="00177A8C"/>
    <w:rsid w:val="00180439"/>
    <w:rsid w:val="00181024"/>
    <w:rsid w:val="0018244E"/>
    <w:rsid w:val="001844DB"/>
    <w:rsid w:val="00185DB2"/>
    <w:rsid w:val="00185DCC"/>
    <w:rsid w:val="00186B33"/>
    <w:rsid w:val="00186E1F"/>
    <w:rsid w:val="001870ED"/>
    <w:rsid w:val="001920DD"/>
    <w:rsid w:val="00192F5A"/>
    <w:rsid w:val="00192F9D"/>
    <w:rsid w:val="001950CD"/>
    <w:rsid w:val="00196EB8"/>
    <w:rsid w:val="00196EFB"/>
    <w:rsid w:val="001979FF"/>
    <w:rsid w:val="00197B17"/>
    <w:rsid w:val="001A1950"/>
    <w:rsid w:val="001A1C54"/>
    <w:rsid w:val="001A22F5"/>
    <w:rsid w:val="001A2398"/>
    <w:rsid w:val="001A3ACE"/>
    <w:rsid w:val="001A4348"/>
    <w:rsid w:val="001A6272"/>
    <w:rsid w:val="001A6952"/>
    <w:rsid w:val="001B058F"/>
    <w:rsid w:val="001B0E20"/>
    <w:rsid w:val="001B1752"/>
    <w:rsid w:val="001B549E"/>
    <w:rsid w:val="001B6B96"/>
    <w:rsid w:val="001B738B"/>
    <w:rsid w:val="001C09DB"/>
    <w:rsid w:val="001C0C89"/>
    <w:rsid w:val="001C277E"/>
    <w:rsid w:val="001C2A72"/>
    <w:rsid w:val="001C31B7"/>
    <w:rsid w:val="001C6034"/>
    <w:rsid w:val="001D0B75"/>
    <w:rsid w:val="001D0F29"/>
    <w:rsid w:val="001D1971"/>
    <w:rsid w:val="001D39A5"/>
    <w:rsid w:val="001D3C09"/>
    <w:rsid w:val="001D44E8"/>
    <w:rsid w:val="001D60EC"/>
    <w:rsid w:val="001D6F59"/>
    <w:rsid w:val="001E44DF"/>
    <w:rsid w:val="001E5BC1"/>
    <w:rsid w:val="001E68A5"/>
    <w:rsid w:val="001E6BB0"/>
    <w:rsid w:val="001E6CD1"/>
    <w:rsid w:val="001E7282"/>
    <w:rsid w:val="001F177D"/>
    <w:rsid w:val="001F1E4C"/>
    <w:rsid w:val="001F3826"/>
    <w:rsid w:val="001F5AEB"/>
    <w:rsid w:val="001F6E46"/>
    <w:rsid w:val="001F7C91"/>
    <w:rsid w:val="0020237C"/>
    <w:rsid w:val="002033B7"/>
    <w:rsid w:val="002044F9"/>
    <w:rsid w:val="00206463"/>
    <w:rsid w:val="00206F2F"/>
    <w:rsid w:val="00207717"/>
    <w:rsid w:val="00207BBA"/>
    <w:rsid w:val="0021053D"/>
    <w:rsid w:val="00210A92"/>
    <w:rsid w:val="00212B95"/>
    <w:rsid w:val="00212CE0"/>
    <w:rsid w:val="00213CF7"/>
    <w:rsid w:val="00215CC8"/>
    <w:rsid w:val="00216C03"/>
    <w:rsid w:val="00220381"/>
    <w:rsid w:val="00220A1A"/>
    <w:rsid w:val="00220C04"/>
    <w:rsid w:val="00221F1F"/>
    <w:rsid w:val="0022278D"/>
    <w:rsid w:val="00223F57"/>
    <w:rsid w:val="00223FFD"/>
    <w:rsid w:val="00224D49"/>
    <w:rsid w:val="0022701F"/>
    <w:rsid w:val="00227C68"/>
    <w:rsid w:val="00231E5F"/>
    <w:rsid w:val="002333F5"/>
    <w:rsid w:val="00233724"/>
    <w:rsid w:val="002365B4"/>
    <w:rsid w:val="00236846"/>
    <w:rsid w:val="00236C55"/>
    <w:rsid w:val="0024015E"/>
    <w:rsid w:val="002405A7"/>
    <w:rsid w:val="00242988"/>
    <w:rsid w:val="002432E1"/>
    <w:rsid w:val="002442AA"/>
    <w:rsid w:val="0024525E"/>
    <w:rsid w:val="00246207"/>
    <w:rsid w:val="00246C5E"/>
    <w:rsid w:val="002472C5"/>
    <w:rsid w:val="00250960"/>
    <w:rsid w:val="00251343"/>
    <w:rsid w:val="00251A3C"/>
    <w:rsid w:val="002536A4"/>
    <w:rsid w:val="00254F58"/>
    <w:rsid w:val="00255D07"/>
    <w:rsid w:val="00260A7D"/>
    <w:rsid w:val="002620BC"/>
    <w:rsid w:val="00262802"/>
    <w:rsid w:val="00263A90"/>
    <w:rsid w:val="0026408B"/>
    <w:rsid w:val="00265B26"/>
    <w:rsid w:val="00267C3E"/>
    <w:rsid w:val="002703DC"/>
    <w:rsid w:val="002705BA"/>
    <w:rsid w:val="002709BB"/>
    <w:rsid w:val="0027131C"/>
    <w:rsid w:val="0027176D"/>
    <w:rsid w:val="002722B0"/>
    <w:rsid w:val="00273BAC"/>
    <w:rsid w:val="00273BB5"/>
    <w:rsid w:val="00274192"/>
    <w:rsid w:val="00274368"/>
    <w:rsid w:val="002763B3"/>
    <w:rsid w:val="002802E3"/>
    <w:rsid w:val="002806B4"/>
    <w:rsid w:val="0028213D"/>
    <w:rsid w:val="00283145"/>
    <w:rsid w:val="002862F1"/>
    <w:rsid w:val="00291373"/>
    <w:rsid w:val="002918E8"/>
    <w:rsid w:val="00291EBB"/>
    <w:rsid w:val="0029597D"/>
    <w:rsid w:val="00295DDD"/>
    <w:rsid w:val="002962C3"/>
    <w:rsid w:val="0029752B"/>
    <w:rsid w:val="002A0151"/>
    <w:rsid w:val="002A0643"/>
    <w:rsid w:val="002A0A9C"/>
    <w:rsid w:val="002A3C46"/>
    <w:rsid w:val="002A45BF"/>
    <w:rsid w:val="002A483C"/>
    <w:rsid w:val="002A4D83"/>
    <w:rsid w:val="002A585E"/>
    <w:rsid w:val="002B0B94"/>
    <w:rsid w:val="002B0C7C"/>
    <w:rsid w:val="002B1729"/>
    <w:rsid w:val="002B36C7"/>
    <w:rsid w:val="002B4DD4"/>
    <w:rsid w:val="002B5277"/>
    <w:rsid w:val="002B5375"/>
    <w:rsid w:val="002B5AC4"/>
    <w:rsid w:val="002B5EB3"/>
    <w:rsid w:val="002B77C1"/>
    <w:rsid w:val="002C0ED7"/>
    <w:rsid w:val="002C2728"/>
    <w:rsid w:val="002C3D4D"/>
    <w:rsid w:val="002C49A0"/>
    <w:rsid w:val="002C5B7C"/>
    <w:rsid w:val="002C64B3"/>
    <w:rsid w:val="002D1E0D"/>
    <w:rsid w:val="002D43F5"/>
    <w:rsid w:val="002D5006"/>
    <w:rsid w:val="002D5C03"/>
    <w:rsid w:val="002D6D83"/>
    <w:rsid w:val="002D78CB"/>
    <w:rsid w:val="002D7C61"/>
    <w:rsid w:val="002E01D0"/>
    <w:rsid w:val="002E161D"/>
    <w:rsid w:val="002E191C"/>
    <w:rsid w:val="002E28A2"/>
    <w:rsid w:val="002E3100"/>
    <w:rsid w:val="002E6B16"/>
    <w:rsid w:val="002E6C95"/>
    <w:rsid w:val="002E7C36"/>
    <w:rsid w:val="002F0751"/>
    <w:rsid w:val="002F150E"/>
    <w:rsid w:val="002F32B1"/>
    <w:rsid w:val="002F3573"/>
    <w:rsid w:val="002F3D32"/>
    <w:rsid w:val="002F508E"/>
    <w:rsid w:val="002F5F31"/>
    <w:rsid w:val="002F5F46"/>
    <w:rsid w:val="00302216"/>
    <w:rsid w:val="00302B04"/>
    <w:rsid w:val="00303E53"/>
    <w:rsid w:val="00305CC1"/>
    <w:rsid w:val="00305F9A"/>
    <w:rsid w:val="00306E5F"/>
    <w:rsid w:val="00307E14"/>
    <w:rsid w:val="00310293"/>
    <w:rsid w:val="00314054"/>
    <w:rsid w:val="003167AA"/>
    <w:rsid w:val="00316F27"/>
    <w:rsid w:val="00317A15"/>
    <w:rsid w:val="003214F1"/>
    <w:rsid w:val="00322E4B"/>
    <w:rsid w:val="00327870"/>
    <w:rsid w:val="00327DB0"/>
    <w:rsid w:val="00332150"/>
    <w:rsid w:val="0033259D"/>
    <w:rsid w:val="003333D2"/>
    <w:rsid w:val="00334686"/>
    <w:rsid w:val="00337141"/>
    <w:rsid w:val="00337339"/>
    <w:rsid w:val="00340345"/>
    <w:rsid w:val="003406C6"/>
    <w:rsid w:val="003407DF"/>
    <w:rsid w:val="003416DC"/>
    <w:rsid w:val="003418CC"/>
    <w:rsid w:val="003434EE"/>
    <w:rsid w:val="003459BD"/>
    <w:rsid w:val="003502E5"/>
    <w:rsid w:val="00350329"/>
    <w:rsid w:val="00350D38"/>
    <w:rsid w:val="00350EF9"/>
    <w:rsid w:val="003517FA"/>
    <w:rsid w:val="00351B36"/>
    <w:rsid w:val="00352533"/>
    <w:rsid w:val="00357B4E"/>
    <w:rsid w:val="00357EAD"/>
    <w:rsid w:val="00366C35"/>
    <w:rsid w:val="003716FD"/>
    <w:rsid w:val="00371806"/>
    <w:rsid w:val="0037204B"/>
    <w:rsid w:val="0037346A"/>
    <w:rsid w:val="003744CF"/>
    <w:rsid w:val="00374717"/>
    <w:rsid w:val="0037519C"/>
    <w:rsid w:val="0037676C"/>
    <w:rsid w:val="00380451"/>
    <w:rsid w:val="00381043"/>
    <w:rsid w:val="003829E5"/>
    <w:rsid w:val="00385453"/>
    <w:rsid w:val="00386109"/>
    <w:rsid w:val="00386944"/>
    <w:rsid w:val="00392E96"/>
    <w:rsid w:val="00394F92"/>
    <w:rsid w:val="003956CC"/>
    <w:rsid w:val="00395C9A"/>
    <w:rsid w:val="0039612B"/>
    <w:rsid w:val="003A0853"/>
    <w:rsid w:val="003A1CAB"/>
    <w:rsid w:val="003A22B8"/>
    <w:rsid w:val="003A2850"/>
    <w:rsid w:val="003A57EC"/>
    <w:rsid w:val="003A6B67"/>
    <w:rsid w:val="003B0F82"/>
    <w:rsid w:val="003B13B6"/>
    <w:rsid w:val="003B14C3"/>
    <w:rsid w:val="003B15E6"/>
    <w:rsid w:val="003B22EF"/>
    <w:rsid w:val="003B2348"/>
    <w:rsid w:val="003B2A2D"/>
    <w:rsid w:val="003B408A"/>
    <w:rsid w:val="003B60D9"/>
    <w:rsid w:val="003B65BD"/>
    <w:rsid w:val="003C001E"/>
    <w:rsid w:val="003C08A2"/>
    <w:rsid w:val="003C2045"/>
    <w:rsid w:val="003C22DE"/>
    <w:rsid w:val="003C2A35"/>
    <w:rsid w:val="003C439D"/>
    <w:rsid w:val="003C43A1"/>
    <w:rsid w:val="003C4FC0"/>
    <w:rsid w:val="003C55F4"/>
    <w:rsid w:val="003C75F6"/>
    <w:rsid w:val="003C786D"/>
    <w:rsid w:val="003C7897"/>
    <w:rsid w:val="003C7A3F"/>
    <w:rsid w:val="003D0758"/>
    <w:rsid w:val="003D2766"/>
    <w:rsid w:val="003D2A74"/>
    <w:rsid w:val="003D3D88"/>
    <w:rsid w:val="003D3E8F"/>
    <w:rsid w:val="003D54FC"/>
    <w:rsid w:val="003D6475"/>
    <w:rsid w:val="003D6B10"/>
    <w:rsid w:val="003D6EE6"/>
    <w:rsid w:val="003D6FA1"/>
    <w:rsid w:val="003E2998"/>
    <w:rsid w:val="003E375C"/>
    <w:rsid w:val="003E4086"/>
    <w:rsid w:val="003E639E"/>
    <w:rsid w:val="003E6A36"/>
    <w:rsid w:val="003E71E5"/>
    <w:rsid w:val="003F0445"/>
    <w:rsid w:val="003F0CF0"/>
    <w:rsid w:val="003F14B1"/>
    <w:rsid w:val="003F2B20"/>
    <w:rsid w:val="003F3289"/>
    <w:rsid w:val="003F3C62"/>
    <w:rsid w:val="003F5CAB"/>
    <w:rsid w:val="003F5CB9"/>
    <w:rsid w:val="004013C7"/>
    <w:rsid w:val="0040145B"/>
    <w:rsid w:val="00401FCF"/>
    <w:rsid w:val="00402BA5"/>
    <w:rsid w:val="00406285"/>
    <w:rsid w:val="00407994"/>
    <w:rsid w:val="00410E0B"/>
    <w:rsid w:val="004115A2"/>
    <w:rsid w:val="00412D9A"/>
    <w:rsid w:val="004148F9"/>
    <w:rsid w:val="0041709C"/>
    <w:rsid w:val="0042084E"/>
    <w:rsid w:val="00420C34"/>
    <w:rsid w:val="00421084"/>
    <w:rsid w:val="00421EEF"/>
    <w:rsid w:val="004248BD"/>
    <w:rsid w:val="00424D65"/>
    <w:rsid w:val="004260A5"/>
    <w:rsid w:val="00427946"/>
    <w:rsid w:val="00427C12"/>
    <w:rsid w:val="00430393"/>
    <w:rsid w:val="00431806"/>
    <w:rsid w:val="00431A70"/>
    <w:rsid w:val="00431F42"/>
    <w:rsid w:val="00435979"/>
    <w:rsid w:val="00435B91"/>
    <w:rsid w:val="00436837"/>
    <w:rsid w:val="00442C6C"/>
    <w:rsid w:val="00443CBE"/>
    <w:rsid w:val="00443E8A"/>
    <w:rsid w:val="004441BC"/>
    <w:rsid w:val="00446554"/>
    <w:rsid w:val="004468B4"/>
    <w:rsid w:val="00446D86"/>
    <w:rsid w:val="00447EC7"/>
    <w:rsid w:val="00450CB1"/>
    <w:rsid w:val="0045230A"/>
    <w:rsid w:val="0045242F"/>
    <w:rsid w:val="00454A7D"/>
    <w:rsid w:val="00454AD0"/>
    <w:rsid w:val="00454C2E"/>
    <w:rsid w:val="00457337"/>
    <w:rsid w:val="00457DEA"/>
    <w:rsid w:val="00462E3D"/>
    <w:rsid w:val="00463476"/>
    <w:rsid w:val="00464E09"/>
    <w:rsid w:val="00466E79"/>
    <w:rsid w:val="0047070E"/>
    <w:rsid w:val="00470D7D"/>
    <w:rsid w:val="00471E75"/>
    <w:rsid w:val="0047372D"/>
    <w:rsid w:val="00473BA3"/>
    <w:rsid w:val="004743DD"/>
    <w:rsid w:val="00474CEA"/>
    <w:rsid w:val="00475360"/>
    <w:rsid w:val="004833C9"/>
    <w:rsid w:val="00483968"/>
    <w:rsid w:val="004841BE"/>
    <w:rsid w:val="00484E8E"/>
    <w:rsid w:val="00484F86"/>
    <w:rsid w:val="004868A0"/>
    <w:rsid w:val="004901B8"/>
    <w:rsid w:val="00490746"/>
    <w:rsid w:val="00490852"/>
    <w:rsid w:val="004919E8"/>
    <w:rsid w:val="00491C9C"/>
    <w:rsid w:val="00492664"/>
    <w:rsid w:val="00492F30"/>
    <w:rsid w:val="00494183"/>
    <w:rsid w:val="004946F4"/>
    <w:rsid w:val="0049487E"/>
    <w:rsid w:val="00494BB6"/>
    <w:rsid w:val="00497F25"/>
    <w:rsid w:val="004A0FD0"/>
    <w:rsid w:val="004A160D"/>
    <w:rsid w:val="004A3E81"/>
    <w:rsid w:val="004A4195"/>
    <w:rsid w:val="004A528D"/>
    <w:rsid w:val="004A5C62"/>
    <w:rsid w:val="004A5CE5"/>
    <w:rsid w:val="004A6660"/>
    <w:rsid w:val="004A6997"/>
    <w:rsid w:val="004A707D"/>
    <w:rsid w:val="004B0974"/>
    <w:rsid w:val="004B1A0F"/>
    <w:rsid w:val="004B265D"/>
    <w:rsid w:val="004B4185"/>
    <w:rsid w:val="004B520F"/>
    <w:rsid w:val="004B537E"/>
    <w:rsid w:val="004B693B"/>
    <w:rsid w:val="004C5541"/>
    <w:rsid w:val="004C6EEE"/>
    <w:rsid w:val="004C702B"/>
    <w:rsid w:val="004C770E"/>
    <w:rsid w:val="004C7D47"/>
    <w:rsid w:val="004D0033"/>
    <w:rsid w:val="004D016B"/>
    <w:rsid w:val="004D1B22"/>
    <w:rsid w:val="004D23CC"/>
    <w:rsid w:val="004D36F2"/>
    <w:rsid w:val="004D3EDA"/>
    <w:rsid w:val="004D62E8"/>
    <w:rsid w:val="004E1106"/>
    <w:rsid w:val="004E138F"/>
    <w:rsid w:val="004E29AE"/>
    <w:rsid w:val="004E4649"/>
    <w:rsid w:val="004E48B8"/>
    <w:rsid w:val="004E5C2B"/>
    <w:rsid w:val="004F00DD"/>
    <w:rsid w:val="004F19DF"/>
    <w:rsid w:val="004F2133"/>
    <w:rsid w:val="004F4A7D"/>
    <w:rsid w:val="004F5398"/>
    <w:rsid w:val="004F55F1"/>
    <w:rsid w:val="004F68C2"/>
    <w:rsid w:val="004F6936"/>
    <w:rsid w:val="004F7824"/>
    <w:rsid w:val="00501F92"/>
    <w:rsid w:val="0050255B"/>
    <w:rsid w:val="00503BAB"/>
    <w:rsid w:val="00503DC6"/>
    <w:rsid w:val="0050436B"/>
    <w:rsid w:val="00506F5D"/>
    <w:rsid w:val="00510C37"/>
    <w:rsid w:val="0051154E"/>
    <w:rsid w:val="00511A19"/>
    <w:rsid w:val="005126D0"/>
    <w:rsid w:val="00514667"/>
    <w:rsid w:val="00514C59"/>
    <w:rsid w:val="0051568D"/>
    <w:rsid w:val="005176E2"/>
    <w:rsid w:val="005217B2"/>
    <w:rsid w:val="0052231F"/>
    <w:rsid w:val="005236DF"/>
    <w:rsid w:val="005251E3"/>
    <w:rsid w:val="00525416"/>
    <w:rsid w:val="00526AC7"/>
    <w:rsid w:val="00526C15"/>
    <w:rsid w:val="005304F4"/>
    <w:rsid w:val="005306C1"/>
    <w:rsid w:val="00532196"/>
    <w:rsid w:val="00534901"/>
    <w:rsid w:val="00534ADF"/>
    <w:rsid w:val="00535DB6"/>
    <w:rsid w:val="00535DBB"/>
    <w:rsid w:val="00536499"/>
    <w:rsid w:val="00537504"/>
    <w:rsid w:val="00537528"/>
    <w:rsid w:val="005412E8"/>
    <w:rsid w:val="00542A03"/>
    <w:rsid w:val="00542A9C"/>
    <w:rsid w:val="00542F0F"/>
    <w:rsid w:val="00543903"/>
    <w:rsid w:val="00543BCC"/>
    <w:rsid w:val="00543F11"/>
    <w:rsid w:val="00544135"/>
    <w:rsid w:val="005449F0"/>
    <w:rsid w:val="00546305"/>
    <w:rsid w:val="00547A95"/>
    <w:rsid w:val="00547C6E"/>
    <w:rsid w:val="005507D3"/>
    <w:rsid w:val="0055119B"/>
    <w:rsid w:val="00553366"/>
    <w:rsid w:val="00560557"/>
    <w:rsid w:val="00561202"/>
    <w:rsid w:val="00562507"/>
    <w:rsid w:val="00562811"/>
    <w:rsid w:val="0056494B"/>
    <w:rsid w:val="00572031"/>
    <w:rsid w:val="00572282"/>
    <w:rsid w:val="00573CE3"/>
    <w:rsid w:val="00574120"/>
    <w:rsid w:val="00576E84"/>
    <w:rsid w:val="00580394"/>
    <w:rsid w:val="005809CD"/>
    <w:rsid w:val="005824EA"/>
    <w:rsid w:val="00582B8C"/>
    <w:rsid w:val="00585AE6"/>
    <w:rsid w:val="00586383"/>
    <w:rsid w:val="0058757E"/>
    <w:rsid w:val="00596A4B"/>
    <w:rsid w:val="00596ABF"/>
    <w:rsid w:val="00597507"/>
    <w:rsid w:val="005A23D8"/>
    <w:rsid w:val="005A479D"/>
    <w:rsid w:val="005A5F50"/>
    <w:rsid w:val="005B1C6D"/>
    <w:rsid w:val="005B21B6"/>
    <w:rsid w:val="005B3622"/>
    <w:rsid w:val="005B3A08"/>
    <w:rsid w:val="005B5346"/>
    <w:rsid w:val="005B62CD"/>
    <w:rsid w:val="005B6579"/>
    <w:rsid w:val="005B6A7B"/>
    <w:rsid w:val="005B7A63"/>
    <w:rsid w:val="005C0955"/>
    <w:rsid w:val="005C49DA"/>
    <w:rsid w:val="005C4AA5"/>
    <w:rsid w:val="005C50F3"/>
    <w:rsid w:val="005C54B5"/>
    <w:rsid w:val="005C5865"/>
    <w:rsid w:val="005C5D80"/>
    <w:rsid w:val="005C5D91"/>
    <w:rsid w:val="005C60AD"/>
    <w:rsid w:val="005D07B8"/>
    <w:rsid w:val="005D2637"/>
    <w:rsid w:val="005D6597"/>
    <w:rsid w:val="005D7E12"/>
    <w:rsid w:val="005E14E7"/>
    <w:rsid w:val="005E26A3"/>
    <w:rsid w:val="005E2BF0"/>
    <w:rsid w:val="005E2ECB"/>
    <w:rsid w:val="005E447E"/>
    <w:rsid w:val="005E4FD1"/>
    <w:rsid w:val="005E5334"/>
    <w:rsid w:val="005F0775"/>
    <w:rsid w:val="005F0CF5"/>
    <w:rsid w:val="005F21EB"/>
    <w:rsid w:val="005F34FA"/>
    <w:rsid w:val="005F424B"/>
    <w:rsid w:val="005F587C"/>
    <w:rsid w:val="005F64CF"/>
    <w:rsid w:val="00600ADA"/>
    <w:rsid w:val="00601B15"/>
    <w:rsid w:val="0060332E"/>
    <w:rsid w:val="006041AD"/>
    <w:rsid w:val="006057CF"/>
    <w:rsid w:val="00605908"/>
    <w:rsid w:val="00605E75"/>
    <w:rsid w:val="00607850"/>
    <w:rsid w:val="00607EF7"/>
    <w:rsid w:val="00610D7C"/>
    <w:rsid w:val="00613414"/>
    <w:rsid w:val="006155CA"/>
    <w:rsid w:val="0062002F"/>
    <w:rsid w:val="00620154"/>
    <w:rsid w:val="00620AF1"/>
    <w:rsid w:val="00622A44"/>
    <w:rsid w:val="0062408D"/>
    <w:rsid w:val="006240CC"/>
    <w:rsid w:val="00624940"/>
    <w:rsid w:val="00624A4D"/>
    <w:rsid w:val="006254F8"/>
    <w:rsid w:val="00625583"/>
    <w:rsid w:val="006260B0"/>
    <w:rsid w:val="006271CD"/>
    <w:rsid w:val="00627DA7"/>
    <w:rsid w:val="00630DA4"/>
    <w:rsid w:val="00631CD4"/>
    <w:rsid w:val="00631E89"/>
    <w:rsid w:val="00632597"/>
    <w:rsid w:val="00634D13"/>
    <w:rsid w:val="006358B4"/>
    <w:rsid w:val="00635F05"/>
    <w:rsid w:val="00641724"/>
    <w:rsid w:val="006419AA"/>
    <w:rsid w:val="00644B1F"/>
    <w:rsid w:val="00644B7E"/>
    <w:rsid w:val="006454E6"/>
    <w:rsid w:val="00646235"/>
    <w:rsid w:val="00646A68"/>
    <w:rsid w:val="00647890"/>
    <w:rsid w:val="006505BD"/>
    <w:rsid w:val="006508EA"/>
    <w:rsid w:val="0065092E"/>
    <w:rsid w:val="00652E98"/>
    <w:rsid w:val="006557A7"/>
    <w:rsid w:val="00655E2A"/>
    <w:rsid w:val="00655F17"/>
    <w:rsid w:val="00656290"/>
    <w:rsid w:val="006569C3"/>
    <w:rsid w:val="006601C9"/>
    <w:rsid w:val="006608D8"/>
    <w:rsid w:val="006621D7"/>
    <w:rsid w:val="0066302A"/>
    <w:rsid w:val="006658F7"/>
    <w:rsid w:val="00667770"/>
    <w:rsid w:val="00667ACD"/>
    <w:rsid w:val="00670597"/>
    <w:rsid w:val="006706D0"/>
    <w:rsid w:val="00670BDD"/>
    <w:rsid w:val="00677574"/>
    <w:rsid w:val="006801F9"/>
    <w:rsid w:val="006812ED"/>
    <w:rsid w:val="006826E8"/>
    <w:rsid w:val="00683878"/>
    <w:rsid w:val="006840F0"/>
    <w:rsid w:val="00684380"/>
    <w:rsid w:val="0068454C"/>
    <w:rsid w:val="00691B62"/>
    <w:rsid w:val="006933B5"/>
    <w:rsid w:val="00693D14"/>
    <w:rsid w:val="0069494F"/>
    <w:rsid w:val="00694B32"/>
    <w:rsid w:val="00695010"/>
    <w:rsid w:val="00696899"/>
    <w:rsid w:val="00696923"/>
    <w:rsid w:val="00696F27"/>
    <w:rsid w:val="006A18C2"/>
    <w:rsid w:val="006A2FE1"/>
    <w:rsid w:val="006A3383"/>
    <w:rsid w:val="006A4489"/>
    <w:rsid w:val="006A6142"/>
    <w:rsid w:val="006A644F"/>
    <w:rsid w:val="006B077C"/>
    <w:rsid w:val="006B37BE"/>
    <w:rsid w:val="006B6803"/>
    <w:rsid w:val="006C06F1"/>
    <w:rsid w:val="006C6B8C"/>
    <w:rsid w:val="006D0F16"/>
    <w:rsid w:val="006D2A3F"/>
    <w:rsid w:val="006D2FBC"/>
    <w:rsid w:val="006D337D"/>
    <w:rsid w:val="006D6A9B"/>
    <w:rsid w:val="006D6E34"/>
    <w:rsid w:val="006E0E21"/>
    <w:rsid w:val="006E138B"/>
    <w:rsid w:val="006E1867"/>
    <w:rsid w:val="006E29F9"/>
    <w:rsid w:val="006E4344"/>
    <w:rsid w:val="006E45DE"/>
    <w:rsid w:val="006E555D"/>
    <w:rsid w:val="006E5A5E"/>
    <w:rsid w:val="006E6858"/>
    <w:rsid w:val="006E7B42"/>
    <w:rsid w:val="006F0330"/>
    <w:rsid w:val="006F1867"/>
    <w:rsid w:val="006F1C20"/>
    <w:rsid w:val="006F1FDC"/>
    <w:rsid w:val="006F36F8"/>
    <w:rsid w:val="006F3957"/>
    <w:rsid w:val="006F6B8C"/>
    <w:rsid w:val="007013EF"/>
    <w:rsid w:val="00701C07"/>
    <w:rsid w:val="00703E14"/>
    <w:rsid w:val="00704040"/>
    <w:rsid w:val="007055BD"/>
    <w:rsid w:val="00710063"/>
    <w:rsid w:val="00712D55"/>
    <w:rsid w:val="00713D2B"/>
    <w:rsid w:val="007173CA"/>
    <w:rsid w:val="007216AA"/>
    <w:rsid w:val="00721AB5"/>
    <w:rsid w:val="00721CFB"/>
    <w:rsid w:val="00721DEF"/>
    <w:rsid w:val="0072362C"/>
    <w:rsid w:val="00724A43"/>
    <w:rsid w:val="00726A22"/>
    <w:rsid w:val="007273AC"/>
    <w:rsid w:val="007305E3"/>
    <w:rsid w:val="00731AD4"/>
    <w:rsid w:val="0073388D"/>
    <w:rsid w:val="007346E4"/>
    <w:rsid w:val="00735564"/>
    <w:rsid w:val="00740F22"/>
    <w:rsid w:val="00741CE7"/>
    <w:rsid w:val="00741CF0"/>
    <w:rsid w:val="00741F1A"/>
    <w:rsid w:val="007447DA"/>
    <w:rsid w:val="007450F8"/>
    <w:rsid w:val="00745E9A"/>
    <w:rsid w:val="0074696E"/>
    <w:rsid w:val="00747AD8"/>
    <w:rsid w:val="00750135"/>
    <w:rsid w:val="00750EC2"/>
    <w:rsid w:val="00752B28"/>
    <w:rsid w:val="00752F99"/>
    <w:rsid w:val="007536BC"/>
    <w:rsid w:val="007538ED"/>
    <w:rsid w:val="00753E32"/>
    <w:rsid w:val="007541A9"/>
    <w:rsid w:val="00754E36"/>
    <w:rsid w:val="0075728D"/>
    <w:rsid w:val="00760A2D"/>
    <w:rsid w:val="00763139"/>
    <w:rsid w:val="00766284"/>
    <w:rsid w:val="007701B5"/>
    <w:rsid w:val="00770F37"/>
    <w:rsid w:val="007711A0"/>
    <w:rsid w:val="00772C80"/>
    <w:rsid w:val="00772D5E"/>
    <w:rsid w:val="00773921"/>
    <w:rsid w:val="0077463E"/>
    <w:rsid w:val="00776928"/>
    <w:rsid w:val="00776D56"/>
    <w:rsid w:val="00776E0F"/>
    <w:rsid w:val="007774B1"/>
    <w:rsid w:val="00777BE1"/>
    <w:rsid w:val="00781052"/>
    <w:rsid w:val="00781317"/>
    <w:rsid w:val="00782222"/>
    <w:rsid w:val="007833D8"/>
    <w:rsid w:val="00785677"/>
    <w:rsid w:val="00786F16"/>
    <w:rsid w:val="007878E2"/>
    <w:rsid w:val="00790DAD"/>
    <w:rsid w:val="00791BD7"/>
    <w:rsid w:val="007933F7"/>
    <w:rsid w:val="00796E20"/>
    <w:rsid w:val="007973A2"/>
    <w:rsid w:val="00797C32"/>
    <w:rsid w:val="007A11E8"/>
    <w:rsid w:val="007A3B77"/>
    <w:rsid w:val="007B0641"/>
    <w:rsid w:val="007B0914"/>
    <w:rsid w:val="007B1374"/>
    <w:rsid w:val="007B32E5"/>
    <w:rsid w:val="007B3DB9"/>
    <w:rsid w:val="007B4E6E"/>
    <w:rsid w:val="007B589F"/>
    <w:rsid w:val="007B6186"/>
    <w:rsid w:val="007B6250"/>
    <w:rsid w:val="007B73BC"/>
    <w:rsid w:val="007C111E"/>
    <w:rsid w:val="007C1838"/>
    <w:rsid w:val="007C20B9"/>
    <w:rsid w:val="007C439D"/>
    <w:rsid w:val="007C7301"/>
    <w:rsid w:val="007C7859"/>
    <w:rsid w:val="007C7F28"/>
    <w:rsid w:val="007D0B8F"/>
    <w:rsid w:val="007D1466"/>
    <w:rsid w:val="007D1B50"/>
    <w:rsid w:val="007D1B65"/>
    <w:rsid w:val="007D29D6"/>
    <w:rsid w:val="007D2BDE"/>
    <w:rsid w:val="007D2FB6"/>
    <w:rsid w:val="007D49EB"/>
    <w:rsid w:val="007D5BA9"/>
    <w:rsid w:val="007D5E1C"/>
    <w:rsid w:val="007E0DE2"/>
    <w:rsid w:val="007E1949"/>
    <w:rsid w:val="007E2A61"/>
    <w:rsid w:val="007E3667"/>
    <w:rsid w:val="007E3B98"/>
    <w:rsid w:val="007E417A"/>
    <w:rsid w:val="007E548D"/>
    <w:rsid w:val="007E7521"/>
    <w:rsid w:val="007F282D"/>
    <w:rsid w:val="007F31B6"/>
    <w:rsid w:val="007F546C"/>
    <w:rsid w:val="007F625F"/>
    <w:rsid w:val="007F665E"/>
    <w:rsid w:val="00800412"/>
    <w:rsid w:val="00801002"/>
    <w:rsid w:val="00805535"/>
    <w:rsid w:val="0080565C"/>
    <w:rsid w:val="0080587B"/>
    <w:rsid w:val="00806468"/>
    <w:rsid w:val="00811871"/>
    <w:rsid w:val="008119CA"/>
    <w:rsid w:val="00812F4C"/>
    <w:rsid w:val="008130C4"/>
    <w:rsid w:val="00813206"/>
    <w:rsid w:val="0081424E"/>
    <w:rsid w:val="008155F0"/>
    <w:rsid w:val="00815F1A"/>
    <w:rsid w:val="00816735"/>
    <w:rsid w:val="00820141"/>
    <w:rsid w:val="00820E0C"/>
    <w:rsid w:val="00823275"/>
    <w:rsid w:val="0082366F"/>
    <w:rsid w:val="00823918"/>
    <w:rsid w:val="008338A2"/>
    <w:rsid w:val="00835628"/>
    <w:rsid w:val="00836237"/>
    <w:rsid w:val="00841AA9"/>
    <w:rsid w:val="008450E6"/>
    <w:rsid w:val="008474FE"/>
    <w:rsid w:val="00847BF8"/>
    <w:rsid w:val="00853EE4"/>
    <w:rsid w:val="00854951"/>
    <w:rsid w:val="00855535"/>
    <w:rsid w:val="00857C5A"/>
    <w:rsid w:val="0086255E"/>
    <w:rsid w:val="0086283D"/>
    <w:rsid w:val="008633F0"/>
    <w:rsid w:val="00865149"/>
    <w:rsid w:val="0086523C"/>
    <w:rsid w:val="00867297"/>
    <w:rsid w:val="00867704"/>
    <w:rsid w:val="00867D9D"/>
    <w:rsid w:val="00870172"/>
    <w:rsid w:val="00871EC2"/>
    <w:rsid w:val="00872E0A"/>
    <w:rsid w:val="00873594"/>
    <w:rsid w:val="00874C6B"/>
    <w:rsid w:val="00875285"/>
    <w:rsid w:val="008758EC"/>
    <w:rsid w:val="00883590"/>
    <w:rsid w:val="00884663"/>
    <w:rsid w:val="008846EA"/>
    <w:rsid w:val="00884B62"/>
    <w:rsid w:val="0088529C"/>
    <w:rsid w:val="00887869"/>
    <w:rsid w:val="00887903"/>
    <w:rsid w:val="00890CEA"/>
    <w:rsid w:val="0089270A"/>
    <w:rsid w:val="00893AF6"/>
    <w:rsid w:val="00894BC4"/>
    <w:rsid w:val="00896890"/>
    <w:rsid w:val="008977D1"/>
    <w:rsid w:val="008A16BE"/>
    <w:rsid w:val="008A28A8"/>
    <w:rsid w:val="008A516F"/>
    <w:rsid w:val="008A54AC"/>
    <w:rsid w:val="008A5B32"/>
    <w:rsid w:val="008A7CEE"/>
    <w:rsid w:val="008B021E"/>
    <w:rsid w:val="008B18D6"/>
    <w:rsid w:val="008B1BD6"/>
    <w:rsid w:val="008B2029"/>
    <w:rsid w:val="008B2EE4"/>
    <w:rsid w:val="008B3821"/>
    <w:rsid w:val="008B3A33"/>
    <w:rsid w:val="008B4D3D"/>
    <w:rsid w:val="008B53ED"/>
    <w:rsid w:val="008B57C7"/>
    <w:rsid w:val="008B5AEC"/>
    <w:rsid w:val="008C29BB"/>
    <w:rsid w:val="008C2D24"/>
    <w:rsid w:val="008C2F92"/>
    <w:rsid w:val="008C3546"/>
    <w:rsid w:val="008C46BD"/>
    <w:rsid w:val="008C589D"/>
    <w:rsid w:val="008C58A5"/>
    <w:rsid w:val="008C6D51"/>
    <w:rsid w:val="008D052A"/>
    <w:rsid w:val="008D1BEB"/>
    <w:rsid w:val="008D2846"/>
    <w:rsid w:val="008D4236"/>
    <w:rsid w:val="008D462F"/>
    <w:rsid w:val="008D6DCF"/>
    <w:rsid w:val="008D6DF8"/>
    <w:rsid w:val="008D7675"/>
    <w:rsid w:val="008E3CBA"/>
    <w:rsid w:val="008E4376"/>
    <w:rsid w:val="008E4545"/>
    <w:rsid w:val="008E7073"/>
    <w:rsid w:val="008E7A0A"/>
    <w:rsid w:val="008E7B49"/>
    <w:rsid w:val="008F4341"/>
    <w:rsid w:val="008F58B1"/>
    <w:rsid w:val="008F59F6"/>
    <w:rsid w:val="008F72AD"/>
    <w:rsid w:val="008F7D45"/>
    <w:rsid w:val="00900719"/>
    <w:rsid w:val="009017AC"/>
    <w:rsid w:val="00902A9A"/>
    <w:rsid w:val="00904A1C"/>
    <w:rsid w:val="00905030"/>
    <w:rsid w:val="00906490"/>
    <w:rsid w:val="009111B2"/>
    <w:rsid w:val="009151F5"/>
    <w:rsid w:val="009156A3"/>
    <w:rsid w:val="00924AE1"/>
    <w:rsid w:val="00925158"/>
    <w:rsid w:val="00925E2B"/>
    <w:rsid w:val="009262A3"/>
    <w:rsid w:val="009269B1"/>
    <w:rsid w:val="0092724D"/>
    <w:rsid w:val="009272B3"/>
    <w:rsid w:val="00930E81"/>
    <w:rsid w:val="009315BE"/>
    <w:rsid w:val="009326DD"/>
    <w:rsid w:val="0093338F"/>
    <w:rsid w:val="00934BCA"/>
    <w:rsid w:val="00934FEC"/>
    <w:rsid w:val="00935508"/>
    <w:rsid w:val="00937BD9"/>
    <w:rsid w:val="00944DE5"/>
    <w:rsid w:val="00950E2C"/>
    <w:rsid w:val="00951D50"/>
    <w:rsid w:val="009525EB"/>
    <w:rsid w:val="0095470B"/>
    <w:rsid w:val="00954874"/>
    <w:rsid w:val="0095615A"/>
    <w:rsid w:val="00957A36"/>
    <w:rsid w:val="00960B24"/>
    <w:rsid w:val="00961400"/>
    <w:rsid w:val="00962C1B"/>
    <w:rsid w:val="00963176"/>
    <w:rsid w:val="00963646"/>
    <w:rsid w:val="0096632D"/>
    <w:rsid w:val="00967124"/>
    <w:rsid w:val="0097166C"/>
    <w:rsid w:val="009718C7"/>
    <w:rsid w:val="00973C59"/>
    <w:rsid w:val="0097559F"/>
    <w:rsid w:val="00975E80"/>
    <w:rsid w:val="009761EA"/>
    <w:rsid w:val="00976822"/>
    <w:rsid w:val="0097761E"/>
    <w:rsid w:val="00977CFD"/>
    <w:rsid w:val="00982454"/>
    <w:rsid w:val="00982CF0"/>
    <w:rsid w:val="009853E1"/>
    <w:rsid w:val="00986E6B"/>
    <w:rsid w:val="00990032"/>
    <w:rsid w:val="00990B19"/>
    <w:rsid w:val="0099153B"/>
    <w:rsid w:val="00991769"/>
    <w:rsid w:val="0099232C"/>
    <w:rsid w:val="00992E3B"/>
    <w:rsid w:val="00993B13"/>
    <w:rsid w:val="00994386"/>
    <w:rsid w:val="00994B6D"/>
    <w:rsid w:val="009A07AE"/>
    <w:rsid w:val="009A13D8"/>
    <w:rsid w:val="009A23F6"/>
    <w:rsid w:val="009A24FB"/>
    <w:rsid w:val="009A279E"/>
    <w:rsid w:val="009A3015"/>
    <w:rsid w:val="009A3490"/>
    <w:rsid w:val="009B0A6F"/>
    <w:rsid w:val="009B0A94"/>
    <w:rsid w:val="009B0C62"/>
    <w:rsid w:val="009B216B"/>
    <w:rsid w:val="009B2AE8"/>
    <w:rsid w:val="009B5622"/>
    <w:rsid w:val="009B59E9"/>
    <w:rsid w:val="009B60C8"/>
    <w:rsid w:val="009B70AA"/>
    <w:rsid w:val="009C245E"/>
    <w:rsid w:val="009C5C75"/>
    <w:rsid w:val="009C5E77"/>
    <w:rsid w:val="009C6F61"/>
    <w:rsid w:val="009C77F4"/>
    <w:rsid w:val="009C7A7E"/>
    <w:rsid w:val="009D02E8"/>
    <w:rsid w:val="009D4DB4"/>
    <w:rsid w:val="009D51D0"/>
    <w:rsid w:val="009D58FE"/>
    <w:rsid w:val="009D70A4"/>
    <w:rsid w:val="009D7B14"/>
    <w:rsid w:val="009D7E1B"/>
    <w:rsid w:val="009E08D1"/>
    <w:rsid w:val="009E0D96"/>
    <w:rsid w:val="009E1B95"/>
    <w:rsid w:val="009E496F"/>
    <w:rsid w:val="009E4B0D"/>
    <w:rsid w:val="009E4EEF"/>
    <w:rsid w:val="009E5250"/>
    <w:rsid w:val="009E7A69"/>
    <w:rsid w:val="009E7F92"/>
    <w:rsid w:val="009F02A3"/>
    <w:rsid w:val="009F2182"/>
    <w:rsid w:val="009F2F27"/>
    <w:rsid w:val="009F34AA"/>
    <w:rsid w:val="009F49EA"/>
    <w:rsid w:val="009F505B"/>
    <w:rsid w:val="009F6BCB"/>
    <w:rsid w:val="009F7B78"/>
    <w:rsid w:val="00A0057A"/>
    <w:rsid w:val="00A02327"/>
    <w:rsid w:val="00A02413"/>
    <w:rsid w:val="00A02D88"/>
    <w:rsid w:val="00A02FA1"/>
    <w:rsid w:val="00A04CCE"/>
    <w:rsid w:val="00A070AC"/>
    <w:rsid w:val="00A072D4"/>
    <w:rsid w:val="00A07421"/>
    <w:rsid w:val="00A0776B"/>
    <w:rsid w:val="00A07D99"/>
    <w:rsid w:val="00A10FB9"/>
    <w:rsid w:val="00A11421"/>
    <w:rsid w:val="00A11F60"/>
    <w:rsid w:val="00A1389F"/>
    <w:rsid w:val="00A13B7A"/>
    <w:rsid w:val="00A157B1"/>
    <w:rsid w:val="00A166C2"/>
    <w:rsid w:val="00A166FD"/>
    <w:rsid w:val="00A17398"/>
    <w:rsid w:val="00A22229"/>
    <w:rsid w:val="00A24442"/>
    <w:rsid w:val="00A24ADA"/>
    <w:rsid w:val="00A27038"/>
    <w:rsid w:val="00A30D4F"/>
    <w:rsid w:val="00A32577"/>
    <w:rsid w:val="00A330BB"/>
    <w:rsid w:val="00A335C6"/>
    <w:rsid w:val="00A36671"/>
    <w:rsid w:val="00A40DAC"/>
    <w:rsid w:val="00A41FF2"/>
    <w:rsid w:val="00A42573"/>
    <w:rsid w:val="00A446F5"/>
    <w:rsid w:val="00A44882"/>
    <w:rsid w:val="00A45125"/>
    <w:rsid w:val="00A50139"/>
    <w:rsid w:val="00A508A4"/>
    <w:rsid w:val="00A536A5"/>
    <w:rsid w:val="00A54406"/>
    <w:rsid w:val="00A54715"/>
    <w:rsid w:val="00A548D8"/>
    <w:rsid w:val="00A55787"/>
    <w:rsid w:val="00A6061C"/>
    <w:rsid w:val="00A608FC"/>
    <w:rsid w:val="00A62D44"/>
    <w:rsid w:val="00A63F69"/>
    <w:rsid w:val="00A66387"/>
    <w:rsid w:val="00A67263"/>
    <w:rsid w:val="00A7161C"/>
    <w:rsid w:val="00A71CE4"/>
    <w:rsid w:val="00A77AA3"/>
    <w:rsid w:val="00A80B90"/>
    <w:rsid w:val="00A8236D"/>
    <w:rsid w:val="00A83964"/>
    <w:rsid w:val="00A841F8"/>
    <w:rsid w:val="00A854EB"/>
    <w:rsid w:val="00A872E5"/>
    <w:rsid w:val="00A87606"/>
    <w:rsid w:val="00A900E6"/>
    <w:rsid w:val="00A91406"/>
    <w:rsid w:val="00A91AF7"/>
    <w:rsid w:val="00A94798"/>
    <w:rsid w:val="00A95B79"/>
    <w:rsid w:val="00A96066"/>
    <w:rsid w:val="00A96E65"/>
    <w:rsid w:val="00A96ECE"/>
    <w:rsid w:val="00A97C72"/>
    <w:rsid w:val="00AA310B"/>
    <w:rsid w:val="00AA53A0"/>
    <w:rsid w:val="00AA63D4"/>
    <w:rsid w:val="00AB04C3"/>
    <w:rsid w:val="00AB06E8"/>
    <w:rsid w:val="00AB1CD3"/>
    <w:rsid w:val="00AB352F"/>
    <w:rsid w:val="00AB5033"/>
    <w:rsid w:val="00AC274B"/>
    <w:rsid w:val="00AC4764"/>
    <w:rsid w:val="00AC6D36"/>
    <w:rsid w:val="00AC717C"/>
    <w:rsid w:val="00AD0CBA"/>
    <w:rsid w:val="00AD26E2"/>
    <w:rsid w:val="00AD28F5"/>
    <w:rsid w:val="00AD437D"/>
    <w:rsid w:val="00AD4CE0"/>
    <w:rsid w:val="00AD5DED"/>
    <w:rsid w:val="00AD5F21"/>
    <w:rsid w:val="00AD784C"/>
    <w:rsid w:val="00AD784E"/>
    <w:rsid w:val="00AE126A"/>
    <w:rsid w:val="00AE1BAE"/>
    <w:rsid w:val="00AE2124"/>
    <w:rsid w:val="00AE3005"/>
    <w:rsid w:val="00AE3BD5"/>
    <w:rsid w:val="00AE59A0"/>
    <w:rsid w:val="00AE62F9"/>
    <w:rsid w:val="00AF0C57"/>
    <w:rsid w:val="00AF26F3"/>
    <w:rsid w:val="00AF3CFE"/>
    <w:rsid w:val="00AF4DC4"/>
    <w:rsid w:val="00AF5F04"/>
    <w:rsid w:val="00B00672"/>
    <w:rsid w:val="00B00E8A"/>
    <w:rsid w:val="00B01B4D"/>
    <w:rsid w:val="00B04489"/>
    <w:rsid w:val="00B051B3"/>
    <w:rsid w:val="00B05D13"/>
    <w:rsid w:val="00B06571"/>
    <w:rsid w:val="00B068BA"/>
    <w:rsid w:val="00B07217"/>
    <w:rsid w:val="00B13851"/>
    <w:rsid w:val="00B13B1C"/>
    <w:rsid w:val="00B13F9F"/>
    <w:rsid w:val="00B14B5F"/>
    <w:rsid w:val="00B15866"/>
    <w:rsid w:val="00B2147C"/>
    <w:rsid w:val="00B21F90"/>
    <w:rsid w:val="00B22291"/>
    <w:rsid w:val="00B23F9A"/>
    <w:rsid w:val="00B2417B"/>
    <w:rsid w:val="00B24E6F"/>
    <w:rsid w:val="00B26CB5"/>
    <w:rsid w:val="00B2752E"/>
    <w:rsid w:val="00B307CC"/>
    <w:rsid w:val="00B326B7"/>
    <w:rsid w:val="00B3474E"/>
    <w:rsid w:val="00B34A8D"/>
    <w:rsid w:val="00B3588E"/>
    <w:rsid w:val="00B37682"/>
    <w:rsid w:val="00B40A87"/>
    <w:rsid w:val="00B41985"/>
    <w:rsid w:val="00B4198F"/>
    <w:rsid w:val="00B41F3D"/>
    <w:rsid w:val="00B431E8"/>
    <w:rsid w:val="00B43E48"/>
    <w:rsid w:val="00B448F2"/>
    <w:rsid w:val="00B45141"/>
    <w:rsid w:val="00B469E4"/>
    <w:rsid w:val="00B47A62"/>
    <w:rsid w:val="00B519CD"/>
    <w:rsid w:val="00B5273A"/>
    <w:rsid w:val="00B550C2"/>
    <w:rsid w:val="00B56BF7"/>
    <w:rsid w:val="00B57329"/>
    <w:rsid w:val="00B60A87"/>
    <w:rsid w:val="00B60E61"/>
    <w:rsid w:val="00B62B50"/>
    <w:rsid w:val="00B635B7"/>
    <w:rsid w:val="00B63AE8"/>
    <w:rsid w:val="00B65305"/>
    <w:rsid w:val="00B65950"/>
    <w:rsid w:val="00B66D83"/>
    <w:rsid w:val="00B672C0"/>
    <w:rsid w:val="00B676FD"/>
    <w:rsid w:val="00B678B6"/>
    <w:rsid w:val="00B74E91"/>
    <w:rsid w:val="00B75646"/>
    <w:rsid w:val="00B7629E"/>
    <w:rsid w:val="00B80606"/>
    <w:rsid w:val="00B81293"/>
    <w:rsid w:val="00B82A80"/>
    <w:rsid w:val="00B90729"/>
    <w:rsid w:val="00B907DA"/>
    <w:rsid w:val="00B90B09"/>
    <w:rsid w:val="00B94C5E"/>
    <w:rsid w:val="00B950BC"/>
    <w:rsid w:val="00B95C0E"/>
    <w:rsid w:val="00B9714C"/>
    <w:rsid w:val="00BA26F6"/>
    <w:rsid w:val="00BA29AD"/>
    <w:rsid w:val="00BA33CF"/>
    <w:rsid w:val="00BA347A"/>
    <w:rsid w:val="00BA3F8D"/>
    <w:rsid w:val="00BA6F48"/>
    <w:rsid w:val="00BA74D2"/>
    <w:rsid w:val="00BB3852"/>
    <w:rsid w:val="00BB6AEB"/>
    <w:rsid w:val="00BB74AC"/>
    <w:rsid w:val="00BB7A10"/>
    <w:rsid w:val="00BC0AB8"/>
    <w:rsid w:val="00BC60BE"/>
    <w:rsid w:val="00BC7468"/>
    <w:rsid w:val="00BC7D4F"/>
    <w:rsid w:val="00BC7ED7"/>
    <w:rsid w:val="00BD2850"/>
    <w:rsid w:val="00BD5B32"/>
    <w:rsid w:val="00BD607C"/>
    <w:rsid w:val="00BD6B9D"/>
    <w:rsid w:val="00BE1492"/>
    <w:rsid w:val="00BE28D2"/>
    <w:rsid w:val="00BE4A64"/>
    <w:rsid w:val="00BE5173"/>
    <w:rsid w:val="00BE5E43"/>
    <w:rsid w:val="00BE63D4"/>
    <w:rsid w:val="00BE69DB"/>
    <w:rsid w:val="00BF10E0"/>
    <w:rsid w:val="00BF194A"/>
    <w:rsid w:val="00BF2B59"/>
    <w:rsid w:val="00BF332D"/>
    <w:rsid w:val="00BF557D"/>
    <w:rsid w:val="00BF658D"/>
    <w:rsid w:val="00BF7F58"/>
    <w:rsid w:val="00C01381"/>
    <w:rsid w:val="00C01AB1"/>
    <w:rsid w:val="00C026A0"/>
    <w:rsid w:val="00C059C3"/>
    <w:rsid w:val="00C06137"/>
    <w:rsid w:val="00C064D5"/>
    <w:rsid w:val="00C06929"/>
    <w:rsid w:val="00C079B8"/>
    <w:rsid w:val="00C07A58"/>
    <w:rsid w:val="00C10037"/>
    <w:rsid w:val="00C10F2C"/>
    <w:rsid w:val="00C115E1"/>
    <w:rsid w:val="00C123EA"/>
    <w:rsid w:val="00C12A49"/>
    <w:rsid w:val="00C133EE"/>
    <w:rsid w:val="00C149D0"/>
    <w:rsid w:val="00C14A4C"/>
    <w:rsid w:val="00C170D0"/>
    <w:rsid w:val="00C17E57"/>
    <w:rsid w:val="00C26588"/>
    <w:rsid w:val="00C27DE9"/>
    <w:rsid w:val="00C32989"/>
    <w:rsid w:val="00C33388"/>
    <w:rsid w:val="00C33DF0"/>
    <w:rsid w:val="00C35484"/>
    <w:rsid w:val="00C36D7C"/>
    <w:rsid w:val="00C4173A"/>
    <w:rsid w:val="00C424A7"/>
    <w:rsid w:val="00C50DED"/>
    <w:rsid w:val="00C52217"/>
    <w:rsid w:val="00C52E9C"/>
    <w:rsid w:val="00C560F9"/>
    <w:rsid w:val="00C5696E"/>
    <w:rsid w:val="00C56DEB"/>
    <w:rsid w:val="00C602FF"/>
    <w:rsid w:val="00C60411"/>
    <w:rsid w:val="00C61174"/>
    <w:rsid w:val="00C6148F"/>
    <w:rsid w:val="00C62008"/>
    <w:rsid w:val="00C621B1"/>
    <w:rsid w:val="00C62F7A"/>
    <w:rsid w:val="00C63B9C"/>
    <w:rsid w:val="00C65A42"/>
    <w:rsid w:val="00C6682F"/>
    <w:rsid w:val="00C66C03"/>
    <w:rsid w:val="00C67BF4"/>
    <w:rsid w:val="00C71E5F"/>
    <w:rsid w:val="00C7275E"/>
    <w:rsid w:val="00C731AF"/>
    <w:rsid w:val="00C73B3C"/>
    <w:rsid w:val="00C74C5D"/>
    <w:rsid w:val="00C7683E"/>
    <w:rsid w:val="00C76D6E"/>
    <w:rsid w:val="00C77D67"/>
    <w:rsid w:val="00C841BB"/>
    <w:rsid w:val="00C85D91"/>
    <w:rsid w:val="00C85ED3"/>
    <w:rsid w:val="00C85F2E"/>
    <w:rsid w:val="00C863C4"/>
    <w:rsid w:val="00C87FFA"/>
    <w:rsid w:val="00C90205"/>
    <w:rsid w:val="00C90DAB"/>
    <w:rsid w:val="00C920EA"/>
    <w:rsid w:val="00C93BB2"/>
    <w:rsid w:val="00C93C3E"/>
    <w:rsid w:val="00CA12E3"/>
    <w:rsid w:val="00CA1476"/>
    <w:rsid w:val="00CA4AB8"/>
    <w:rsid w:val="00CA6611"/>
    <w:rsid w:val="00CA6AE6"/>
    <w:rsid w:val="00CA782F"/>
    <w:rsid w:val="00CA7FE5"/>
    <w:rsid w:val="00CB1013"/>
    <w:rsid w:val="00CB187B"/>
    <w:rsid w:val="00CB2835"/>
    <w:rsid w:val="00CB3285"/>
    <w:rsid w:val="00CB4500"/>
    <w:rsid w:val="00CC0C72"/>
    <w:rsid w:val="00CC2A61"/>
    <w:rsid w:val="00CC2BFD"/>
    <w:rsid w:val="00CC3BB0"/>
    <w:rsid w:val="00CC6F40"/>
    <w:rsid w:val="00CD05B2"/>
    <w:rsid w:val="00CD0921"/>
    <w:rsid w:val="00CD3476"/>
    <w:rsid w:val="00CD64DF"/>
    <w:rsid w:val="00CE225F"/>
    <w:rsid w:val="00CE4425"/>
    <w:rsid w:val="00CE5A7A"/>
    <w:rsid w:val="00CE6A8F"/>
    <w:rsid w:val="00CF1072"/>
    <w:rsid w:val="00CF2F50"/>
    <w:rsid w:val="00CF3339"/>
    <w:rsid w:val="00CF5A46"/>
    <w:rsid w:val="00CF6198"/>
    <w:rsid w:val="00D008B8"/>
    <w:rsid w:val="00D026FF"/>
    <w:rsid w:val="00D02919"/>
    <w:rsid w:val="00D03501"/>
    <w:rsid w:val="00D04A9D"/>
    <w:rsid w:val="00D04C61"/>
    <w:rsid w:val="00D054BD"/>
    <w:rsid w:val="00D05B8D"/>
    <w:rsid w:val="00D05B9B"/>
    <w:rsid w:val="00D065A2"/>
    <w:rsid w:val="00D079AA"/>
    <w:rsid w:val="00D07F00"/>
    <w:rsid w:val="00D1130F"/>
    <w:rsid w:val="00D14CB6"/>
    <w:rsid w:val="00D17B72"/>
    <w:rsid w:val="00D20F67"/>
    <w:rsid w:val="00D305A3"/>
    <w:rsid w:val="00D3185C"/>
    <w:rsid w:val="00D3205F"/>
    <w:rsid w:val="00D3318E"/>
    <w:rsid w:val="00D33E72"/>
    <w:rsid w:val="00D35BD6"/>
    <w:rsid w:val="00D361B5"/>
    <w:rsid w:val="00D401D3"/>
    <w:rsid w:val="00D4100F"/>
    <w:rsid w:val="00D411A2"/>
    <w:rsid w:val="00D41E1E"/>
    <w:rsid w:val="00D4606D"/>
    <w:rsid w:val="00D463F2"/>
    <w:rsid w:val="00D46D51"/>
    <w:rsid w:val="00D46DA8"/>
    <w:rsid w:val="00D46DD3"/>
    <w:rsid w:val="00D47870"/>
    <w:rsid w:val="00D506D0"/>
    <w:rsid w:val="00D50B9C"/>
    <w:rsid w:val="00D513AF"/>
    <w:rsid w:val="00D52D73"/>
    <w:rsid w:val="00D52E58"/>
    <w:rsid w:val="00D5486F"/>
    <w:rsid w:val="00D55AFA"/>
    <w:rsid w:val="00D56B20"/>
    <w:rsid w:val="00D578B3"/>
    <w:rsid w:val="00D618F4"/>
    <w:rsid w:val="00D620BF"/>
    <w:rsid w:val="00D63636"/>
    <w:rsid w:val="00D6565B"/>
    <w:rsid w:val="00D714CC"/>
    <w:rsid w:val="00D73B54"/>
    <w:rsid w:val="00D742BC"/>
    <w:rsid w:val="00D75EA7"/>
    <w:rsid w:val="00D76ECC"/>
    <w:rsid w:val="00D81ADF"/>
    <w:rsid w:val="00D81F21"/>
    <w:rsid w:val="00D820DA"/>
    <w:rsid w:val="00D864F2"/>
    <w:rsid w:val="00D876E1"/>
    <w:rsid w:val="00D9232D"/>
    <w:rsid w:val="00D92353"/>
    <w:rsid w:val="00D9367B"/>
    <w:rsid w:val="00D943F8"/>
    <w:rsid w:val="00D95470"/>
    <w:rsid w:val="00D96B55"/>
    <w:rsid w:val="00D96C8B"/>
    <w:rsid w:val="00DA2619"/>
    <w:rsid w:val="00DA2B2E"/>
    <w:rsid w:val="00DA4239"/>
    <w:rsid w:val="00DA43CC"/>
    <w:rsid w:val="00DA4667"/>
    <w:rsid w:val="00DA588C"/>
    <w:rsid w:val="00DA65DE"/>
    <w:rsid w:val="00DB0B61"/>
    <w:rsid w:val="00DB1474"/>
    <w:rsid w:val="00DB2962"/>
    <w:rsid w:val="00DB2A31"/>
    <w:rsid w:val="00DB3F47"/>
    <w:rsid w:val="00DB52FB"/>
    <w:rsid w:val="00DB5F28"/>
    <w:rsid w:val="00DB6064"/>
    <w:rsid w:val="00DB6834"/>
    <w:rsid w:val="00DC013B"/>
    <w:rsid w:val="00DC090B"/>
    <w:rsid w:val="00DC1117"/>
    <w:rsid w:val="00DC1679"/>
    <w:rsid w:val="00DC219B"/>
    <w:rsid w:val="00DC2CF1"/>
    <w:rsid w:val="00DC2DC7"/>
    <w:rsid w:val="00DC2E8F"/>
    <w:rsid w:val="00DC2EA0"/>
    <w:rsid w:val="00DC3A7C"/>
    <w:rsid w:val="00DC4FCF"/>
    <w:rsid w:val="00DC50E0"/>
    <w:rsid w:val="00DC6386"/>
    <w:rsid w:val="00DD1130"/>
    <w:rsid w:val="00DD1951"/>
    <w:rsid w:val="00DD487D"/>
    <w:rsid w:val="00DD4E83"/>
    <w:rsid w:val="00DD4F17"/>
    <w:rsid w:val="00DD6628"/>
    <w:rsid w:val="00DD6945"/>
    <w:rsid w:val="00DE1327"/>
    <w:rsid w:val="00DE2D04"/>
    <w:rsid w:val="00DE3250"/>
    <w:rsid w:val="00DE334D"/>
    <w:rsid w:val="00DE49B4"/>
    <w:rsid w:val="00DE5A5C"/>
    <w:rsid w:val="00DE6028"/>
    <w:rsid w:val="00DE6952"/>
    <w:rsid w:val="00DE6C85"/>
    <w:rsid w:val="00DE78A3"/>
    <w:rsid w:val="00DF0A6E"/>
    <w:rsid w:val="00DF1A71"/>
    <w:rsid w:val="00DF2A8C"/>
    <w:rsid w:val="00DF4836"/>
    <w:rsid w:val="00DF50FC"/>
    <w:rsid w:val="00DF68C7"/>
    <w:rsid w:val="00DF731A"/>
    <w:rsid w:val="00DF78FB"/>
    <w:rsid w:val="00E00176"/>
    <w:rsid w:val="00E00D03"/>
    <w:rsid w:val="00E0159C"/>
    <w:rsid w:val="00E02C57"/>
    <w:rsid w:val="00E03C11"/>
    <w:rsid w:val="00E042F0"/>
    <w:rsid w:val="00E04810"/>
    <w:rsid w:val="00E06B75"/>
    <w:rsid w:val="00E07A5A"/>
    <w:rsid w:val="00E1058F"/>
    <w:rsid w:val="00E106D1"/>
    <w:rsid w:val="00E11332"/>
    <w:rsid w:val="00E11352"/>
    <w:rsid w:val="00E117BE"/>
    <w:rsid w:val="00E119E8"/>
    <w:rsid w:val="00E135C4"/>
    <w:rsid w:val="00E13C11"/>
    <w:rsid w:val="00E144C6"/>
    <w:rsid w:val="00E170DC"/>
    <w:rsid w:val="00E17546"/>
    <w:rsid w:val="00E210B5"/>
    <w:rsid w:val="00E25060"/>
    <w:rsid w:val="00E261B3"/>
    <w:rsid w:val="00E26818"/>
    <w:rsid w:val="00E275CC"/>
    <w:rsid w:val="00E27891"/>
    <w:rsid w:val="00E27FFC"/>
    <w:rsid w:val="00E30B15"/>
    <w:rsid w:val="00E33237"/>
    <w:rsid w:val="00E37F9B"/>
    <w:rsid w:val="00E40181"/>
    <w:rsid w:val="00E4051C"/>
    <w:rsid w:val="00E46F51"/>
    <w:rsid w:val="00E479BD"/>
    <w:rsid w:val="00E52522"/>
    <w:rsid w:val="00E54950"/>
    <w:rsid w:val="00E55BE0"/>
    <w:rsid w:val="00E55FB3"/>
    <w:rsid w:val="00E56A01"/>
    <w:rsid w:val="00E573FF"/>
    <w:rsid w:val="00E57512"/>
    <w:rsid w:val="00E5791D"/>
    <w:rsid w:val="00E57B1D"/>
    <w:rsid w:val="00E629A1"/>
    <w:rsid w:val="00E64349"/>
    <w:rsid w:val="00E6530E"/>
    <w:rsid w:val="00E659F2"/>
    <w:rsid w:val="00E66F76"/>
    <w:rsid w:val="00E6794C"/>
    <w:rsid w:val="00E71591"/>
    <w:rsid w:val="00E71CEB"/>
    <w:rsid w:val="00E7474F"/>
    <w:rsid w:val="00E7547B"/>
    <w:rsid w:val="00E77A1D"/>
    <w:rsid w:val="00E80BAD"/>
    <w:rsid w:val="00E80DE3"/>
    <w:rsid w:val="00E81302"/>
    <w:rsid w:val="00E82C55"/>
    <w:rsid w:val="00E85556"/>
    <w:rsid w:val="00E86070"/>
    <w:rsid w:val="00E86203"/>
    <w:rsid w:val="00E87716"/>
    <w:rsid w:val="00E8787E"/>
    <w:rsid w:val="00E9042A"/>
    <w:rsid w:val="00E92AC3"/>
    <w:rsid w:val="00EA0292"/>
    <w:rsid w:val="00EA2BAC"/>
    <w:rsid w:val="00EA2F6A"/>
    <w:rsid w:val="00EA540C"/>
    <w:rsid w:val="00EB00E0"/>
    <w:rsid w:val="00EB05D5"/>
    <w:rsid w:val="00EB230B"/>
    <w:rsid w:val="00EB2DFA"/>
    <w:rsid w:val="00EB3000"/>
    <w:rsid w:val="00EB308C"/>
    <w:rsid w:val="00EB4BC7"/>
    <w:rsid w:val="00EB56B9"/>
    <w:rsid w:val="00EB60B8"/>
    <w:rsid w:val="00EC059F"/>
    <w:rsid w:val="00EC1F24"/>
    <w:rsid w:val="00EC22F6"/>
    <w:rsid w:val="00EC3DB9"/>
    <w:rsid w:val="00EC5A96"/>
    <w:rsid w:val="00EC7004"/>
    <w:rsid w:val="00ED3B87"/>
    <w:rsid w:val="00ED4156"/>
    <w:rsid w:val="00ED469C"/>
    <w:rsid w:val="00ED5B9B"/>
    <w:rsid w:val="00ED6BAD"/>
    <w:rsid w:val="00ED7447"/>
    <w:rsid w:val="00ED7762"/>
    <w:rsid w:val="00EE00D6"/>
    <w:rsid w:val="00EE11E7"/>
    <w:rsid w:val="00EE1488"/>
    <w:rsid w:val="00EE29AD"/>
    <w:rsid w:val="00EE3E24"/>
    <w:rsid w:val="00EE4830"/>
    <w:rsid w:val="00EE4D5D"/>
    <w:rsid w:val="00EE5131"/>
    <w:rsid w:val="00EE767B"/>
    <w:rsid w:val="00EE7BC1"/>
    <w:rsid w:val="00EF05F8"/>
    <w:rsid w:val="00EF109B"/>
    <w:rsid w:val="00EF201C"/>
    <w:rsid w:val="00EF23A0"/>
    <w:rsid w:val="00EF2577"/>
    <w:rsid w:val="00EF2C72"/>
    <w:rsid w:val="00EF36AF"/>
    <w:rsid w:val="00EF4EA9"/>
    <w:rsid w:val="00EF59A3"/>
    <w:rsid w:val="00EF6675"/>
    <w:rsid w:val="00EF745B"/>
    <w:rsid w:val="00F00607"/>
    <w:rsid w:val="00F0063D"/>
    <w:rsid w:val="00F00F9C"/>
    <w:rsid w:val="00F01E5F"/>
    <w:rsid w:val="00F024F3"/>
    <w:rsid w:val="00F02ABA"/>
    <w:rsid w:val="00F03707"/>
    <w:rsid w:val="00F0437A"/>
    <w:rsid w:val="00F04728"/>
    <w:rsid w:val="00F0540F"/>
    <w:rsid w:val="00F05550"/>
    <w:rsid w:val="00F05AA5"/>
    <w:rsid w:val="00F07FEC"/>
    <w:rsid w:val="00F101B8"/>
    <w:rsid w:val="00F10A69"/>
    <w:rsid w:val="00F11037"/>
    <w:rsid w:val="00F119D5"/>
    <w:rsid w:val="00F11C2B"/>
    <w:rsid w:val="00F129C9"/>
    <w:rsid w:val="00F149A1"/>
    <w:rsid w:val="00F15941"/>
    <w:rsid w:val="00F16F1B"/>
    <w:rsid w:val="00F24A7F"/>
    <w:rsid w:val="00F250A9"/>
    <w:rsid w:val="00F267AF"/>
    <w:rsid w:val="00F30FF4"/>
    <w:rsid w:val="00F3122E"/>
    <w:rsid w:val="00F31C48"/>
    <w:rsid w:val="00F32368"/>
    <w:rsid w:val="00F331AD"/>
    <w:rsid w:val="00F35287"/>
    <w:rsid w:val="00F362AD"/>
    <w:rsid w:val="00F40A70"/>
    <w:rsid w:val="00F41B29"/>
    <w:rsid w:val="00F43A37"/>
    <w:rsid w:val="00F4641B"/>
    <w:rsid w:val="00F46EB8"/>
    <w:rsid w:val="00F50CD1"/>
    <w:rsid w:val="00F511E4"/>
    <w:rsid w:val="00F52D09"/>
    <w:rsid w:val="00F52E08"/>
    <w:rsid w:val="00F53A66"/>
    <w:rsid w:val="00F5462D"/>
    <w:rsid w:val="00F55B21"/>
    <w:rsid w:val="00F56EF6"/>
    <w:rsid w:val="00F60082"/>
    <w:rsid w:val="00F60D14"/>
    <w:rsid w:val="00F61A9F"/>
    <w:rsid w:val="00F61B5F"/>
    <w:rsid w:val="00F63FDD"/>
    <w:rsid w:val="00F64696"/>
    <w:rsid w:val="00F65AA9"/>
    <w:rsid w:val="00F670C9"/>
    <w:rsid w:val="00F6768F"/>
    <w:rsid w:val="00F67961"/>
    <w:rsid w:val="00F679AA"/>
    <w:rsid w:val="00F70F4F"/>
    <w:rsid w:val="00F727BD"/>
    <w:rsid w:val="00F72C2C"/>
    <w:rsid w:val="00F73A58"/>
    <w:rsid w:val="00F741F2"/>
    <w:rsid w:val="00F75731"/>
    <w:rsid w:val="00F76CAB"/>
    <w:rsid w:val="00F76F2F"/>
    <w:rsid w:val="00F772C6"/>
    <w:rsid w:val="00F815B5"/>
    <w:rsid w:val="00F85195"/>
    <w:rsid w:val="00F85A36"/>
    <w:rsid w:val="00F868E3"/>
    <w:rsid w:val="00F938BA"/>
    <w:rsid w:val="00F97791"/>
    <w:rsid w:val="00F97919"/>
    <w:rsid w:val="00FA0261"/>
    <w:rsid w:val="00FA2C46"/>
    <w:rsid w:val="00FA3525"/>
    <w:rsid w:val="00FA3F2F"/>
    <w:rsid w:val="00FA4116"/>
    <w:rsid w:val="00FA468E"/>
    <w:rsid w:val="00FA4A29"/>
    <w:rsid w:val="00FA5A53"/>
    <w:rsid w:val="00FB1F6E"/>
    <w:rsid w:val="00FB3E0C"/>
    <w:rsid w:val="00FB4769"/>
    <w:rsid w:val="00FB4CDA"/>
    <w:rsid w:val="00FB6481"/>
    <w:rsid w:val="00FB6D36"/>
    <w:rsid w:val="00FB72FE"/>
    <w:rsid w:val="00FC0141"/>
    <w:rsid w:val="00FC0965"/>
    <w:rsid w:val="00FC0F81"/>
    <w:rsid w:val="00FC1B3E"/>
    <w:rsid w:val="00FC252F"/>
    <w:rsid w:val="00FC395C"/>
    <w:rsid w:val="00FC5E8E"/>
    <w:rsid w:val="00FD3467"/>
    <w:rsid w:val="00FD3766"/>
    <w:rsid w:val="00FD3D05"/>
    <w:rsid w:val="00FD3F24"/>
    <w:rsid w:val="00FD47C4"/>
    <w:rsid w:val="00FD5A93"/>
    <w:rsid w:val="00FE287A"/>
    <w:rsid w:val="00FE2AFD"/>
    <w:rsid w:val="00FE2DCF"/>
    <w:rsid w:val="00FE3FA7"/>
    <w:rsid w:val="00FE4081"/>
    <w:rsid w:val="00FE54B2"/>
    <w:rsid w:val="00FE680E"/>
    <w:rsid w:val="00FF2A4E"/>
    <w:rsid w:val="00FF2FCE"/>
    <w:rsid w:val="00FF4705"/>
    <w:rsid w:val="00FF4F7D"/>
    <w:rsid w:val="00FF6351"/>
    <w:rsid w:val="00FF64FC"/>
    <w:rsid w:val="00FF6D9D"/>
    <w:rsid w:val="00FF7620"/>
    <w:rsid w:val="00FF7DD5"/>
    <w:rsid w:val="01E24D6C"/>
    <w:rsid w:val="06176EEA"/>
    <w:rsid w:val="06E7E2EB"/>
    <w:rsid w:val="078E2A4C"/>
    <w:rsid w:val="0B0B2F14"/>
    <w:rsid w:val="0CE8F2BA"/>
    <w:rsid w:val="0E4616C1"/>
    <w:rsid w:val="0F5BC352"/>
    <w:rsid w:val="125887DF"/>
    <w:rsid w:val="15D4C2B4"/>
    <w:rsid w:val="1A242659"/>
    <w:rsid w:val="21267A29"/>
    <w:rsid w:val="23AD95E8"/>
    <w:rsid w:val="27F98F6F"/>
    <w:rsid w:val="2F29D905"/>
    <w:rsid w:val="35A0DC6B"/>
    <w:rsid w:val="36192E8B"/>
    <w:rsid w:val="36F0B699"/>
    <w:rsid w:val="37244A1E"/>
    <w:rsid w:val="38590182"/>
    <w:rsid w:val="388553CB"/>
    <w:rsid w:val="3F41FA67"/>
    <w:rsid w:val="3F81F25E"/>
    <w:rsid w:val="45DB8C72"/>
    <w:rsid w:val="4823BEB0"/>
    <w:rsid w:val="4C0DF350"/>
    <w:rsid w:val="4DA9918C"/>
    <w:rsid w:val="4E8B6477"/>
    <w:rsid w:val="50D21028"/>
    <w:rsid w:val="522EF368"/>
    <w:rsid w:val="525DC8F7"/>
    <w:rsid w:val="554ED6BC"/>
    <w:rsid w:val="68DFEB56"/>
    <w:rsid w:val="6E0BFD17"/>
    <w:rsid w:val="6EF228E5"/>
    <w:rsid w:val="6F683EF8"/>
    <w:rsid w:val="7416EA98"/>
    <w:rsid w:val="755D49B7"/>
    <w:rsid w:val="773FC3B9"/>
    <w:rsid w:val="7C141EFD"/>
    <w:rsid w:val="7FDE2E1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5C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4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43"/>
      </w:numPr>
    </w:pPr>
  </w:style>
  <w:style w:type="paragraph" w:customStyle="1" w:styleId="Numberloweralphaindent">
    <w:name w:val="Number lower alpha indent"/>
    <w:basedOn w:val="Body"/>
    <w:uiPriority w:val="3"/>
    <w:rsid w:val="00C60411"/>
    <w:pPr>
      <w:numPr>
        <w:ilvl w:val="1"/>
        <w:numId w:val="44"/>
      </w:numPr>
    </w:pPr>
  </w:style>
  <w:style w:type="paragraph" w:customStyle="1" w:styleId="Numberdigitindent">
    <w:name w:val="Number digit indent"/>
    <w:basedOn w:val="Numberloweralphaindent"/>
    <w:uiPriority w:val="3"/>
    <w:rsid w:val="00C60411"/>
    <w:pPr>
      <w:numPr>
        <w:numId w:val="43"/>
      </w:numPr>
    </w:pPr>
  </w:style>
  <w:style w:type="paragraph" w:customStyle="1" w:styleId="Numberloweralpha">
    <w:name w:val="Number lower alpha"/>
    <w:basedOn w:val="Body"/>
    <w:uiPriority w:val="3"/>
    <w:rsid w:val="00C60411"/>
    <w:pPr>
      <w:numPr>
        <w:numId w:val="44"/>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43"/>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customStyle="1" w:styleId="Footnote">
    <w:name w:val="Footnote"/>
    <w:basedOn w:val="FootnoteText"/>
    <w:link w:val="FootnoteChar"/>
    <w:qFormat/>
    <w:rsid w:val="00332150"/>
    <w:pPr>
      <w:spacing w:before="0" w:after="40" w:line="240" w:lineRule="auto"/>
    </w:pPr>
    <w:rPr>
      <w:rFonts w:ascii="VIC" w:eastAsiaTheme="minorHAnsi" w:hAnsi="VIC" w:cstheme="minorBidi"/>
      <w:kern w:val="2"/>
      <w:sz w:val="16"/>
      <w14:ligatures w14:val="standardContextual"/>
    </w:rPr>
  </w:style>
  <w:style w:type="character" w:customStyle="1" w:styleId="FootnoteChar">
    <w:name w:val="Footnote Char"/>
    <w:basedOn w:val="FootnoteTextChar"/>
    <w:link w:val="Footnote"/>
    <w:rsid w:val="00332150"/>
    <w:rPr>
      <w:rFonts w:ascii="VIC" w:eastAsiaTheme="minorHAnsi" w:hAnsi="VIC" w:cstheme="minorBidi"/>
      <w:kern w:val="2"/>
      <w:sz w:val="16"/>
      <w:szCs w:val="16"/>
      <w:lang w:eastAsia="en-US"/>
      <w14:ligatures w14:val="standardContextual"/>
    </w:rPr>
  </w:style>
  <w:style w:type="paragraph" w:styleId="Caption">
    <w:name w:val="caption"/>
    <w:basedOn w:val="Normal"/>
    <w:next w:val="Normal"/>
    <w:uiPriority w:val="35"/>
    <w:unhideWhenUsed/>
    <w:qFormat/>
    <w:rsid w:val="00186E1F"/>
    <w:pPr>
      <w:spacing w:after="200" w:line="240" w:lineRule="auto"/>
    </w:pPr>
    <w:rPr>
      <w:i/>
      <w:iCs/>
      <w:color w:val="1F497D" w:themeColor="text2"/>
      <w:sz w:val="18"/>
      <w:szCs w:val="18"/>
    </w:rPr>
  </w:style>
  <w:style w:type="paragraph" w:customStyle="1" w:styleId="Plan-Dots">
    <w:name w:val="Plan - Dots"/>
    <w:basedOn w:val="Normal"/>
    <w:qFormat/>
    <w:rsid w:val="007D0B8F"/>
    <w:pPr>
      <w:numPr>
        <w:numId w:val="20"/>
      </w:numPr>
      <w:spacing w:after="60" w:line="259" w:lineRule="auto"/>
    </w:pPr>
    <w:rPr>
      <w:rFonts w:ascii="VIC" w:eastAsiaTheme="minorHAnsi" w:hAnsi="VIC" w:cstheme="minorBidi"/>
      <w:sz w:val="22"/>
      <w:szCs w:val="22"/>
    </w:rPr>
  </w:style>
  <w:style w:type="paragraph" w:customStyle="1" w:styleId="Plan-dotslevel2">
    <w:name w:val="Plan - dots level 2"/>
    <w:basedOn w:val="Plan-Dots"/>
    <w:qFormat/>
    <w:rsid w:val="007D0B8F"/>
    <w:pPr>
      <w:numPr>
        <w:ilvl w:val="1"/>
      </w:numPr>
    </w:pPr>
    <w:rPr>
      <w:rFonts w:cs="Arial"/>
      <w:noProof/>
    </w:rPr>
  </w:style>
  <w:style w:type="paragraph" w:styleId="ListParagraph">
    <w:name w:val="List Paragraph"/>
    <w:basedOn w:val="Normal"/>
    <w:uiPriority w:val="34"/>
    <w:qFormat/>
    <w:rsid w:val="003B65BD"/>
    <w:pPr>
      <w:spacing w:after="0" w:line="240" w:lineRule="auto"/>
      <w:ind w:left="720"/>
      <w:contextualSpacing/>
    </w:pPr>
    <w:rPr>
      <w:rFonts w:ascii="Times New Roman" w:hAnsi="Times New Roman"/>
      <w:sz w:val="24"/>
      <w:szCs w:val="24"/>
      <w:lang w:eastAsia="en-AU"/>
    </w:rPr>
  </w:style>
  <w:style w:type="paragraph" w:customStyle="1" w:styleId="Default">
    <w:name w:val="Default"/>
    <w:rsid w:val="00F149A1"/>
    <w:pPr>
      <w:autoSpaceDE w:val="0"/>
      <w:autoSpaceDN w:val="0"/>
      <w:adjustRightInd w:val="0"/>
    </w:pPr>
    <w:rPr>
      <w:rFonts w:ascii="VIC" w:hAnsi="VIC" w:cs="VIC"/>
      <w:color w:val="000000"/>
      <w:sz w:val="24"/>
      <w:szCs w:val="24"/>
    </w:rPr>
  </w:style>
  <w:style w:type="table" w:styleId="GridTable4-Accent6">
    <w:name w:val="Grid Table 4 Accent 6"/>
    <w:basedOn w:val="TableNormal"/>
    <w:uiPriority w:val="49"/>
    <w:rsid w:val="00BF194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Mention">
    <w:name w:val="Mention"/>
    <w:basedOn w:val="DefaultParagraphFont"/>
    <w:uiPriority w:val="99"/>
    <w:unhideWhenUsed/>
    <w:rsid w:val="00BF194A"/>
    <w:rPr>
      <w:color w:val="2B579A"/>
      <w:shd w:val="clear" w:color="auto" w:fill="E1DFDD"/>
    </w:rPr>
  </w:style>
  <w:style w:type="table" w:styleId="GridTable4-Accent1">
    <w:name w:val="Grid Table 4 Accent 1"/>
    <w:basedOn w:val="TableNormal"/>
    <w:uiPriority w:val="49"/>
    <w:rsid w:val="00BF194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BF194A"/>
    <w:pPr>
      <w:spacing w:before="100" w:beforeAutospacing="1" w:after="100" w:afterAutospacing="1" w:line="240" w:lineRule="auto"/>
    </w:pPr>
    <w:rPr>
      <w:rFonts w:ascii="Times New Roman" w:hAnsi="Times New Roman"/>
      <w:sz w:val="24"/>
      <w:szCs w:val="24"/>
      <w:lang w:eastAsia="en-AU"/>
    </w:rPr>
  </w:style>
  <w:style w:type="paragraph" w:customStyle="1" w:styleId="Plan-Dots-paragraphbefore">
    <w:name w:val="Plan - Dots - paragraph before"/>
    <w:basedOn w:val="Normal"/>
    <w:qFormat/>
    <w:rsid w:val="00BF194A"/>
    <w:pPr>
      <w:keepNext/>
      <w:spacing w:after="60" w:line="259" w:lineRule="auto"/>
    </w:pPr>
    <w:rPr>
      <w:rFonts w:ascii="VIC" w:eastAsiaTheme="minorHAnsi" w:hAnsi="VIC"/>
      <w:kern w:val="2"/>
      <w:sz w:val="22"/>
      <w:szCs w:val="24"/>
      <w14:ligatures w14:val="standardContextual"/>
    </w:rPr>
  </w:style>
  <w:style w:type="paragraph" w:customStyle="1" w:styleId="Plan-Dots-lastdot">
    <w:name w:val="Plan - Dots - last dot"/>
    <w:basedOn w:val="Plan-Dots"/>
    <w:qFormat/>
    <w:rsid w:val="00BF194A"/>
    <w:pPr>
      <w:numPr>
        <w:numId w:val="0"/>
      </w:numPr>
      <w:spacing w:after="120"/>
      <w:ind w:left="284" w:hanging="284"/>
    </w:pPr>
  </w:style>
  <w:style w:type="paragraph" w:customStyle="1" w:styleId="Plan-figurenote">
    <w:name w:val="Plan - figure note"/>
    <w:basedOn w:val="Normal"/>
    <w:qFormat/>
    <w:rsid w:val="00BF194A"/>
    <w:pPr>
      <w:spacing w:before="120" w:after="240" w:line="259" w:lineRule="auto"/>
    </w:pPr>
    <w:rPr>
      <w:rFonts w:ascii="VIC" w:eastAsiaTheme="minorHAnsi" w:hAnsi="VIC"/>
      <w:i/>
      <w:iCs/>
      <w:kern w:val="2"/>
      <w:sz w:val="20"/>
      <w:szCs w:val="21"/>
      <w14:ligatures w14:val="standardContextual"/>
    </w:rPr>
  </w:style>
  <w:style w:type="paragraph" w:customStyle="1" w:styleId="Plan-dotslevel2-lastdot">
    <w:name w:val="Plan - dots level 2 - last dot"/>
    <w:basedOn w:val="Plan-dotslevel2"/>
    <w:qFormat/>
    <w:rsid w:val="00BF194A"/>
    <w:pPr>
      <w:numPr>
        <w:ilvl w:val="0"/>
        <w:numId w:val="0"/>
      </w:numPr>
      <w:spacing w:after="120"/>
      <w:ind w:left="567" w:hanging="283"/>
    </w:pPr>
  </w:style>
  <w:style w:type="paragraph" w:customStyle="1" w:styleId="PlanXXspecial-appendix4table">
    <w:name w:val="Plan XX special - appendix 4 table"/>
    <w:basedOn w:val="Normal"/>
    <w:qFormat/>
    <w:rsid w:val="00BF194A"/>
    <w:pPr>
      <w:spacing w:after="40" w:line="259" w:lineRule="auto"/>
    </w:pPr>
    <w:rPr>
      <w:rFonts w:ascii="VIC" w:eastAsiaTheme="minorHAnsi" w:hAnsi="VIC"/>
      <w:kern w:val="2"/>
      <w:sz w:val="20"/>
      <w:szCs w:val="22"/>
      <w:lang w:eastAsia="en-AU"/>
      <w14:ligatures w14:val="standardContextual"/>
    </w:rPr>
  </w:style>
  <w:style w:type="paragraph" w:customStyle="1" w:styleId="PlanXXSpecial-Appendix4figuredots">
    <w:name w:val="Plan XX Special - Appendix 4 figure dots"/>
    <w:basedOn w:val="Plan-Dots"/>
    <w:qFormat/>
    <w:rsid w:val="00BF194A"/>
    <w:pPr>
      <w:numPr>
        <w:numId w:val="42"/>
      </w:numPr>
      <w:spacing w:after="40"/>
    </w:pPr>
    <w:rPr>
      <w:sz w:val="20"/>
      <w:szCs w:val="20"/>
      <w:lang w:eastAsia="en-AU"/>
    </w:rPr>
  </w:style>
  <w:style w:type="paragraph" w:customStyle="1" w:styleId="DHHStablecolhead">
    <w:name w:val="DHHS table col head"/>
    <w:uiPriority w:val="3"/>
    <w:qFormat/>
    <w:rsid w:val="00BF194A"/>
    <w:pPr>
      <w:spacing w:before="80" w:after="60"/>
    </w:pPr>
    <w:rPr>
      <w:rFonts w:ascii="Arial" w:hAnsi="Arial"/>
      <w:b/>
      <w:color w:val="53565A"/>
      <w:lang w:eastAsia="en-US"/>
    </w:rPr>
  </w:style>
  <w:style w:type="table" w:styleId="GridTable4-Accent2">
    <w:name w:val="Grid Table 4 Accent 2"/>
    <w:basedOn w:val="TableNormal"/>
    <w:uiPriority w:val="49"/>
    <w:rsid w:val="00BF194A"/>
    <w:rPr>
      <w:rFonts w:asciiTheme="minorHAnsi" w:hAnsiTheme="minorHAnsi" w:cstheme="minorBidi"/>
      <w:kern w:val="2"/>
      <w:lang w:eastAsia="en-US"/>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cf01">
    <w:name w:val="cf01"/>
    <w:basedOn w:val="DefaultParagraphFont"/>
    <w:rsid w:val="00BF194A"/>
    <w:rPr>
      <w:rFonts w:ascii="Segoe UI" w:hAnsi="Segoe UI" w:cs="Segoe UI" w:hint="default"/>
      <w:color w:val="2A2736"/>
      <w:sz w:val="18"/>
      <w:szCs w:val="18"/>
    </w:rPr>
  </w:style>
  <w:style w:type="paragraph" w:styleId="TOCHeading">
    <w:name w:val="TOC Heading"/>
    <w:basedOn w:val="Heading1"/>
    <w:next w:val="Normal"/>
    <w:uiPriority w:val="39"/>
    <w:unhideWhenUsed/>
    <w:qFormat/>
    <w:rsid w:val="00BF194A"/>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afetyandquality.gov.au/standards/nsqhs-standards/preventing-and-controlling-infections-standard" TargetMode="External"/><Relationship Id="rId18" Type="http://schemas.openxmlformats.org/officeDocument/2006/relationships/image" Target="media/image6.svg"/><Relationship Id="rId26" Type="http://schemas.openxmlformats.org/officeDocument/2006/relationships/image" Target="media/image14.sv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health.vic.gov.au/health-services-plan-reform/role-delineation-framework"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yperlink" Target="https://www.planning.vic.gov.au/__data/assets/pdf_file/0022/703453/DTP0552-Victori-in-Future-2023-report.PDF" TargetMode="Externa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svg"/><Relationship Id="rId29" Type="http://schemas.openxmlformats.org/officeDocument/2006/relationships/hyperlink" Target="https://www.health.vic.gov.au/patient-care/capability-frameworks-for-maternity-and-newborn-care-in-victor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2.svg"/><Relationship Id="rId32" Type="http://schemas.openxmlformats.org/officeDocument/2006/relationships/hyperlink" Target="https://www.health.vic.gov.au/health-system-design-planning/perioperative-service-capability-framework-for-victoria" TargetMode="Externa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s://www.health.nsw.gov.au/services/Pages/role-delineation-of-clinical-services.aspx" TargetMode="External"/><Relationship Id="rId36"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hyperlink" Target="https://www.health.vic.gov.au/publications/palliative-care-service-capability-framewor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svg"/><Relationship Id="rId27" Type="http://schemas.openxmlformats.org/officeDocument/2006/relationships/hyperlink" Target="https://www.aihw.gov.au/reports/hospitals/australian-hospital-peer-groups/summary" TargetMode="External"/><Relationship Id="rId30" Type="http://schemas.openxmlformats.org/officeDocument/2006/relationships/hyperlink" Target="https://www.health.vic.gov.au/research-and-reports/health-services-plan" TargetMode="External"/><Relationship Id="rId35"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safetyandquality.gov.au/standards/nsqhs-standards" TargetMode="External"/><Relationship Id="rId1" Type="http://schemas.openxmlformats.org/officeDocument/2006/relationships/hyperlink" Target="https://www.health.vic.gov.au/research-and-reports/health-services-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14147</Words>
  <Characters>80640</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Role Delineation Framework</dc:title>
  <dc:subject/>
  <dc:creator/>
  <cp:keywords/>
  <dc:description/>
  <cp:lastModifiedBy/>
  <cp:revision>1</cp:revision>
  <dcterms:created xsi:type="dcterms:W3CDTF">2025-07-30T01:03:00Z</dcterms:created>
  <dcterms:modified xsi:type="dcterms:W3CDTF">2025-07-30T01:03:00Z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42b16dab,5f05c6e,a96c59a,3030b694,bfb4f13,3606d3b4</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2025-07-30T01:03:25Z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97a25b45-1f90-4536-8ea1-7bd28dad02af</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