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830B2" w14:textId="4E0986EF" w:rsidR="0074696E" w:rsidRPr="004C6EEE" w:rsidRDefault="0074696E" w:rsidP="00AD784C">
      <w:pPr>
        <w:pStyle w:val="Spacerparatopoffirstpage"/>
      </w:pPr>
    </w:p>
    <w:p w14:paraId="75511D9D" w14:textId="77777777" w:rsidR="00A62D44" w:rsidRPr="004C6EEE" w:rsidRDefault="00A62D44" w:rsidP="004C6EEE">
      <w:pPr>
        <w:pStyle w:val="Sectionbreakfirstpage"/>
        <w:sectPr w:rsidR="00A62D44" w:rsidRPr="004C6EEE" w:rsidSect="00AD784C">
          <w:footerReference w:type="even" r:id="rId8"/>
          <w:footerReference w:type="default" r:id="rId9"/>
          <w:footerReference w:type="first" r:id="rId10"/>
          <w:pgSz w:w="11906" w:h="16838" w:code="9"/>
          <w:pgMar w:top="567" w:right="851" w:bottom="1418" w:left="851" w:header="510" w:footer="510" w:gutter="0"/>
          <w:cols w:space="708"/>
          <w:docGrid w:linePitch="360"/>
        </w:sectPr>
      </w:pPr>
    </w:p>
    <w:p w14:paraId="375596D1" w14:textId="77777777" w:rsidR="0094768D" w:rsidRDefault="0094768D" w:rsidP="00381B80">
      <w:pPr>
        <w:pStyle w:val="DHHSbody"/>
      </w:pPr>
    </w:p>
    <w:p w14:paraId="123E3043" w14:textId="77777777" w:rsidR="0094768D" w:rsidRDefault="0094768D" w:rsidP="00381B80">
      <w:pPr>
        <w:pStyle w:val="DHHSbody"/>
      </w:pPr>
    </w:p>
    <w:p w14:paraId="5E30C310" w14:textId="77777777" w:rsidR="0094768D" w:rsidRDefault="0094768D" w:rsidP="00381B80">
      <w:pPr>
        <w:pStyle w:val="DHHSbody"/>
      </w:pPr>
    </w:p>
    <w:tbl>
      <w:tblPr>
        <w:tblW w:w="0" w:type="auto"/>
        <w:tblLook w:val="04A0" w:firstRow="1" w:lastRow="0" w:firstColumn="1" w:lastColumn="0" w:noHBand="0" w:noVBand="1"/>
      </w:tblPr>
      <w:tblGrid>
        <w:gridCol w:w="7624"/>
      </w:tblGrid>
      <w:tr w:rsidR="0094768D" w:rsidRPr="0094768D" w14:paraId="7B6DB8D9" w14:textId="77777777" w:rsidTr="00884E8C">
        <w:trPr>
          <w:trHeight w:val="1079"/>
        </w:trPr>
        <w:tc>
          <w:tcPr>
            <w:tcW w:w="7624" w:type="dxa"/>
            <w:shd w:val="clear" w:color="auto" w:fill="auto"/>
            <w:vAlign w:val="bottom"/>
          </w:tcPr>
          <w:p w14:paraId="4115C685" w14:textId="77777777" w:rsidR="0094768D" w:rsidRPr="0094768D" w:rsidRDefault="0094768D" w:rsidP="00884E8C">
            <w:pPr>
              <w:pStyle w:val="DHHSmainheading"/>
              <w:rPr>
                <w:color w:val="auto"/>
              </w:rPr>
            </w:pPr>
            <w:r w:rsidRPr="0094768D">
              <w:rPr>
                <w:color w:val="auto"/>
              </w:rPr>
              <w:t xml:space="preserve">Pharmacotherapy self-assessment </w:t>
            </w:r>
          </w:p>
        </w:tc>
      </w:tr>
      <w:tr w:rsidR="0094768D" w:rsidRPr="00F473D2" w14:paraId="6D5B3A91" w14:textId="77777777" w:rsidTr="00884E8C">
        <w:trPr>
          <w:trHeight w:hRule="exact" w:val="1006"/>
        </w:trPr>
        <w:tc>
          <w:tcPr>
            <w:tcW w:w="7624" w:type="dxa"/>
            <w:shd w:val="clear" w:color="auto" w:fill="auto"/>
            <w:tcMar>
              <w:top w:w="170" w:type="dxa"/>
              <w:bottom w:w="510" w:type="dxa"/>
            </w:tcMar>
          </w:tcPr>
          <w:p w14:paraId="3B59698C" w14:textId="77777777" w:rsidR="0094768D" w:rsidRPr="0094768D" w:rsidRDefault="0094768D" w:rsidP="00884E8C">
            <w:pPr>
              <w:pStyle w:val="DHHSmainsubheading"/>
              <w:rPr>
                <w:color w:val="auto"/>
                <w:szCs w:val="28"/>
              </w:rPr>
            </w:pPr>
            <w:r w:rsidRPr="0094768D">
              <w:rPr>
                <w:color w:val="auto"/>
                <w:szCs w:val="28"/>
              </w:rPr>
              <w:t>For pharmacists providing opioid-replacement therapy</w:t>
            </w:r>
          </w:p>
          <w:p w14:paraId="7032FE7E" w14:textId="77777777" w:rsidR="0094768D" w:rsidRDefault="0094768D" w:rsidP="00884E8C">
            <w:pPr>
              <w:pStyle w:val="DHHSmainsubheading"/>
              <w:jc w:val="right"/>
              <w:rPr>
                <w:sz w:val="20"/>
                <w:szCs w:val="20"/>
              </w:rPr>
            </w:pPr>
          </w:p>
          <w:p w14:paraId="6F5A116B" w14:textId="77777777" w:rsidR="0094768D" w:rsidRPr="00F473D2" w:rsidRDefault="0094768D" w:rsidP="00884E8C">
            <w:pPr>
              <w:pStyle w:val="DHHSmainsubheading"/>
              <w:jc w:val="right"/>
              <w:rPr>
                <w:sz w:val="20"/>
                <w:szCs w:val="20"/>
              </w:rPr>
            </w:pPr>
            <w:r w:rsidRPr="00F473D2">
              <w:rPr>
                <w:sz w:val="20"/>
                <w:szCs w:val="20"/>
              </w:rPr>
              <w:t xml:space="preserve">Revised </w:t>
            </w:r>
            <w:r>
              <w:rPr>
                <w:sz w:val="20"/>
                <w:szCs w:val="20"/>
              </w:rPr>
              <w:t>July 2025</w:t>
            </w:r>
          </w:p>
        </w:tc>
      </w:tr>
    </w:tbl>
    <w:p w14:paraId="748C2FE1" w14:textId="77777777" w:rsidR="0094768D" w:rsidRDefault="0094768D" w:rsidP="00381B80">
      <w:pPr>
        <w:pStyle w:val="DHHSbody"/>
      </w:pPr>
    </w:p>
    <w:p w14:paraId="6F08CE57" w14:textId="2300E634" w:rsidR="00381B80" w:rsidRDefault="00381B80" w:rsidP="00381B80">
      <w:pPr>
        <w:pStyle w:val="DHHSbody"/>
        <w:sectPr w:rsidR="00381B80" w:rsidSect="00F01E5F">
          <w:headerReference w:type="default" r:id="rId11"/>
          <w:footerReference w:type="even" r:id="rId12"/>
          <w:footerReference w:type="default" r:id="rId13"/>
          <w:footerReference w:type="first" r:id="rId14"/>
          <w:type w:val="continuous"/>
          <w:pgSz w:w="11906" w:h="16838" w:code="9"/>
          <w:pgMar w:top="1418" w:right="851" w:bottom="1134" w:left="851" w:header="567" w:footer="510" w:gutter="0"/>
          <w:cols w:space="340"/>
          <w:titlePg/>
          <w:docGrid w:linePitch="360"/>
        </w:sectPr>
      </w:pPr>
      <w:r>
        <w:t>Pharmacist</w:t>
      </w:r>
      <w:r w:rsidRPr="007F6750">
        <w:t>: ………………………………………………………………………………………………………</w:t>
      </w:r>
    </w:p>
    <w:p w14:paraId="3FE0D159" w14:textId="77777777" w:rsidR="007173CA" w:rsidRDefault="007173CA" w:rsidP="007173CA">
      <w:pPr>
        <w:pStyle w:val="DHHSbody"/>
      </w:pPr>
    </w:p>
    <w:p w14:paraId="2ECC12FB" w14:textId="45C2757A" w:rsidR="007173CA" w:rsidRDefault="007F6750" w:rsidP="007173CA">
      <w:pPr>
        <w:pStyle w:val="DHHSbody"/>
        <w:sectPr w:rsidR="007173CA" w:rsidSect="00F01E5F">
          <w:headerReference w:type="default" r:id="rId15"/>
          <w:footerReference w:type="even" r:id="rId16"/>
          <w:footerReference w:type="default" r:id="rId17"/>
          <w:footerReference w:type="first" r:id="rId18"/>
          <w:type w:val="continuous"/>
          <w:pgSz w:w="11906" w:h="16838" w:code="9"/>
          <w:pgMar w:top="1418" w:right="851" w:bottom="1134" w:left="851" w:header="567" w:footer="510" w:gutter="0"/>
          <w:cols w:space="340"/>
          <w:titlePg/>
          <w:docGrid w:linePitch="360"/>
        </w:sectPr>
      </w:pPr>
      <w:bookmarkStart w:id="0" w:name="_Toc440566508"/>
      <w:r w:rsidRPr="007F6750">
        <w:t>Pharmacy: ………………………………………………………………………………………………………</w:t>
      </w:r>
      <w:r w:rsidR="0094768D">
        <w:drawing>
          <wp:anchor distT="0" distB="0" distL="114300" distR="114300" simplePos="0" relativeHeight="251659776" behindDoc="1" locked="1" layoutInCell="1" allowOverlap="0" wp14:anchorId="5021A242" wp14:editId="06A5EA3E">
            <wp:simplePos x="0" y="0"/>
            <wp:positionH relativeFrom="page">
              <wp:posOffset>9525</wp:posOffset>
            </wp:positionH>
            <wp:positionV relativeFrom="page">
              <wp:align>top</wp:align>
            </wp:positionV>
            <wp:extent cx="7555865" cy="1360170"/>
            <wp:effectExtent l="0" t="0" r="698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9"/>
                    <a:stretch>
                      <a:fillRect/>
                    </a:stretch>
                  </pic:blipFill>
                  <pic:spPr>
                    <a:xfrm>
                      <a:off x="0" y="0"/>
                      <a:ext cx="7555865" cy="1360170"/>
                    </a:xfrm>
                    <a:prstGeom prst="rect">
                      <a:avLst/>
                    </a:prstGeom>
                  </pic:spPr>
                </pic:pic>
              </a:graphicData>
            </a:graphic>
            <wp14:sizeRelH relativeFrom="margin">
              <wp14:pctWidth>0</wp14:pctWidth>
            </wp14:sizeRelH>
            <wp14:sizeRelV relativeFrom="margin">
              <wp14:pctHeight>0</wp14:pctHeight>
            </wp14:sizeRelV>
          </wp:anchor>
        </w:drawing>
      </w:r>
    </w:p>
    <w:bookmarkEnd w:id="0"/>
    <w:p w14:paraId="6601043E" w14:textId="77777777" w:rsidR="00893AF6" w:rsidRPr="00B57329" w:rsidRDefault="007F6750" w:rsidP="000A6666">
      <w:pPr>
        <w:pStyle w:val="Heading1"/>
        <w:spacing w:before="0"/>
      </w:pPr>
      <w:r>
        <w:t>Introductory</w:t>
      </w:r>
      <w:r w:rsidR="00914EEA">
        <w:t xml:space="preserve"> notes</w:t>
      </w:r>
    </w:p>
    <w:p w14:paraId="4809492D" w14:textId="3CE26423" w:rsidR="00A84711" w:rsidRPr="00950450" w:rsidRDefault="00A84711" w:rsidP="00A84711">
      <w:pPr>
        <w:pStyle w:val="Body"/>
        <w:rPr>
          <w:sz w:val="20"/>
        </w:rPr>
      </w:pPr>
      <w:bookmarkStart w:id="1" w:name="_Toc440566509"/>
      <w:r w:rsidRPr="00950450">
        <w:rPr>
          <w:sz w:val="20"/>
        </w:rPr>
        <w:t xml:space="preserve">The </w:t>
      </w:r>
      <w:r w:rsidRPr="00950450">
        <w:rPr>
          <w:i/>
          <w:sz w:val="20"/>
        </w:rPr>
        <w:t>Drugs Poisons and Controlled Substances Act 1981</w:t>
      </w:r>
      <w:r w:rsidRPr="00950450">
        <w:rPr>
          <w:sz w:val="20"/>
        </w:rPr>
        <w:t xml:space="preserve"> (the Act) and the Drugs Poisons and Controlled Substances Regulations 2017 (the regulations) indicate who may possess Schedule 4 and 8 poisons; the extent to which possession is lawful; and the legislative requirements for use, storage, prescribing and supply of Schedule 4 and 8 poisons. Current versions of the Act and the regulations, which should be considered in concert and not in isolation, can be accessed at </w:t>
      </w:r>
      <w:hyperlink r:id="rId20" w:history="1">
        <w:r w:rsidRPr="00950450">
          <w:rPr>
            <w:rStyle w:val="Hyperlink"/>
            <w:sz w:val="20"/>
          </w:rPr>
          <w:t>Victorian Law Today</w:t>
        </w:r>
      </w:hyperlink>
      <w:r w:rsidRPr="00950450">
        <w:rPr>
          <w:sz w:val="20"/>
        </w:rPr>
        <w:t xml:space="preserve"> &lt;http://www.legislation.vic.gov.au/&gt;.  </w:t>
      </w:r>
    </w:p>
    <w:p w14:paraId="27490D01" w14:textId="0DDB918C" w:rsidR="00A84711" w:rsidRPr="00950450" w:rsidRDefault="00A84711" w:rsidP="00A84711">
      <w:pPr>
        <w:pStyle w:val="Body"/>
        <w:rPr>
          <w:sz w:val="20"/>
        </w:rPr>
      </w:pPr>
      <w:r w:rsidRPr="00950450">
        <w:rPr>
          <w:sz w:val="20"/>
        </w:rPr>
        <w:t xml:space="preserve">This is one of a series of documents prepared by Medicines and Poisons Regulation (MPR) to assist multiple or specific categories of health practitioners to understand the more common legislative requirements. Refer to the </w:t>
      </w:r>
      <w:hyperlink r:id="rId21" w:history="1">
        <w:r w:rsidRPr="00950450">
          <w:rPr>
            <w:rStyle w:val="Hyperlink"/>
            <w:sz w:val="20"/>
          </w:rPr>
          <w:t>Medicines and poisons webpage</w:t>
        </w:r>
      </w:hyperlink>
      <w:r w:rsidRPr="00950450">
        <w:rPr>
          <w:sz w:val="20"/>
        </w:rPr>
        <w:t xml:space="preserve"> </w:t>
      </w:r>
      <w:r w:rsidR="0094768D">
        <w:rPr>
          <w:sz w:val="20"/>
        </w:rPr>
        <w:t>&lt;</w:t>
      </w:r>
      <w:hyperlink r:id="rId22" w:history="1">
        <w:r w:rsidR="0094768D" w:rsidRPr="003312D8">
          <w:rPr>
            <w:rStyle w:val="Hyperlink"/>
            <w:sz w:val="20"/>
          </w:rPr>
          <w:t>http://www.health.vic.gov.au/dpcs</w:t>
        </w:r>
      </w:hyperlink>
      <w:r w:rsidR="0094768D">
        <w:t>&gt;</w:t>
      </w:r>
      <w:r w:rsidRPr="00950450">
        <w:rPr>
          <w:sz w:val="20"/>
        </w:rPr>
        <w:t xml:space="preserve"> on the </w:t>
      </w:r>
      <w:proofErr w:type="spellStart"/>
      <w:r w:rsidRPr="00950450">
        <w:rPr>
          <w:sz w:val="20"/>
        </w:rPr>
        <w:t>Health.Vic</w:t>
      </w:r>
      <w:proofErr w:type="spellEnd"/>
      <w:r w:rsidRPr="00950450">
        <w:rPr>
          <w:sz w:val="20"/>
        </w:rPr>
        <w:t xml:space="preserve"> website for other ‘Documents to print or download’ and for a link to the Poisons Standard, which contains details of poisons schedules plus labelling and packaging requirements.</w:t>
      </w:r>
    </w:p>
    <w:p w14:paraId="4AC26970" w14:textId="77777777" w:rsidR="00B757A4" w:rsidRPr="0095301D" w:rsidRDefault="007F6750" w:rsidP="00B757A4">
      <w:pPr>
        <w:pStyle w:val="Heading2"/>
      </w:pPr>
      <w:r>
        <w:t>Explanatory notes</w:t>
      </w:r>
    </w:p>
    <w:p w14:paraId="1F53BB77" w14:textId="77777777" w:rsidR="007F6750" w:rsidRPr="007F6750" w:rsidRDefault="007F6750" w:rsidP="00A66E1A">
      <w:pPr>
        <w:pStyle w:val="DHHSbody"/>
        <w:rPr>
          <w:b/>
        </w:rPr>
      </w:pPr>
      <w:r w:rsidRPr="007F6750">
        <w:t xml:space="preserve">Examples of commonly accepted procedures have been included for guidance and clarification; they are not intended to represent the only manner in which compliance might be achieved. </w:t>
      </w:r>
    </w:p>
    <w:p w14:paraId="6A4B8C89" w14:textId="77777777" w:rsidR="007F6750" w:rsidRPr="007F6750" w:rsidRDefault="007F6750" w:rsidP="00A66E1A">
      <w:pPr>
        <w:pStyle w:val="DHHSbody"/>
        <w:rPr>
          <w:b/>
        </w:rPr>
      </w:pPr>
      <w:r w:rsidRPr="007F6750">
        <w:t xml:space="preserve">Where ‘Yes/No’ responses are required, </w:t>
      </w:r>
      <w:r w:rsidRPr="007F6750">
        <w:rPr>
          <w:b/>
        </w:rPr>
        <w:t>bold</w:t>
      </w:r>
      <w:r w:rsidRPr="007F6750">
        <w:t xml:space="preserve"> text is used to indicate the ‘correct’ or ‘preferred’ response.</w:t>
      </w:r>
    </w:p>
    <w:p w14:paraId="6F5B4878" w14:textId="77777777" w:rsidR="007F6750" w:rsidRPr="007F6750" w:rsidRDefault="007F6750" w:rsidP="00A66E1A">
      <w:pPr>
        <w:pStyle w:val="DHHSbody"/>
      </w:pPr>
      <w:r w:rsidRPr="007F6750">
        <w:t xml:space="preserve">Where </w:t>
      </w:r>
      <w:r w:rsidRPr="007F6750">
        <w:rPr>
          <w:b/>
        </w:rPr>
        <w:t>methadone</w:t>
      </w:r>
      <w:r w:rsidRPr="007F6750">
        <w:t xml:space="preserve"> is mentioned in this document, the reference may be applied to either of the available</w:t>
      </w:r>
      <w:r w:rsidR="00107A6F">
        <w:t xml:space="preserve"> liquid</w:t>
      </w:r>
      <w:r w:rsidRPr="007F6750">
        <w:t xml:space="preserve"> formulations, which both contain 5 mg/mL of methadone hydrochloride. Methadone Syrup (Aspen) contains preservatives and other excipients; Biodone Forte</w:t>
      </w:r>
      <w:r w:rsidRPr="007F6750">
        <w:rPr>
          <w:vertAlign w:val="superscript"/>
        </w:rPr>
        <w:t>®</w:t>
      </w:r>
      <w:r w:rsidRPr="007F6750">
        <w:t xml:space="preserve"> contains colouring and purified water. </w:t>
      </w:r>
    </w:p>
    <w:p w14:paraId="1BF82898" w14:textId="77777777" w:rsidR="007015C5" w:rsidRDefault="007F6750" w:rsidP="00A66E1A">
      <w:pPr>
        <w:pStyle w:val="DHHSbody"/>
      </w:pPr>
      <w:r w:rsidRPr="007F6750">
        <w:t xml:space="preserve">References to </w:t>
      </w:r>
      <w:r w:rsidRPr="007F6750">
        <w:rPr>
          <w:b/>
        </w:rPr>
        <w:t>buprenorphine</w:t>
      </w:r>
      <w:r w:rsidRPr="007F6750">
        <w:t xml:space="preserve"> in this document may be applied to either </w:t>
      </w:r>
      <w:r>
        <w:t xml:space="preserve">Subutex or Suboxone - </w:t>
      </w:r>
      <w:r w:rsidRPr="007F6750">
        <w:t xml:space="preserve">unless </w:t>
      </w:r>
      <w:r w:rsidR="008F4B01">
        <w:t>otherwise indicated</w:t>
      </w:r>
      <w:r w:rsidRPr="007F6750">
        <w:t>.</w:t>
      </w:r>
      <w:r w:rsidR="008F4B01">
        <w:t xml:space="preserve"> </w:t>
      </w:r>
    </w:p>
    <w:p w14:paraId="1A3A1295" w14:textId="77777777" w:rsidR="008F4B01" w:rsidRDefault="007015C5" w:rsidP="00A66E1A">
      <w:pPr>
        <w:pStyle w:val="DHHSbody"/>
      </w:pPr>
      <w:r w:rsidRPr="00334323">
        <w:t>Re</w:t>
      </w:r>
      <w:r w:rsidR="00B26735" w:rsidRPr="00334323">
        <w:t xml:space="preserve">ferences to </w:t>
      </w:r>
      <w:r w:rsidR="00B26735" w:rsidRPr="00334323">
        <w:rPr>
          <w:b/>
        </w:rPr>
        <w:t>buprenorphine</w:t>
      </w:r>
      <w:r w:rsidR="00B26735" w:rsidRPr="00334323">
        <w:t xml:space="preserve"> </w:t>
      </w:r>
      <w:r w:rsidR="00B26735" w:rsidRPr="00334323">
        <w:rPr>
          <w:b/>
        </w:rPr>
        <w:t>depot injections</w:t>
      </w:r>
      <w:r w:rsidR="00B26735" w:rsidRPr="00334323">
        <w:t xml:space="preserve"> </w:t>
      </w:r>
      <w:r w:rsidR="00334323" w:rsidRPr="00334323">
        <w:t>can be</w:t>
      </w:r>
      <w:r w:rsidR="00B26735" w:rsidRPr="00334323">
        <w:t xml:space="preserve"> </w:t>
      </w:r>
      <w:r w:rsidRPr="00334323">
        <w:t>found</w:t>
      </w:r>
      <w:r w:rsidR="00A66E1A" w:rsidRPr="00334323">
        <w:t xml:space="preserve"> on</w:t>
      </w:r>
      <w:r w:rsidR="00B26735" w:rsidRPr="00334323">
        <w:t xml:space="preserve"> pages </w:t>
      </w:r>
      <w:r w:rsidRPr="00334323">
        <w:t xml:space="preserve">19 and 20 </w:t>
      </w:r>
      <w:r w:rsidR="00B26735" w:rsidRPr="00334323">
        <w:t>of this document.</w:t>
      </w:r>
      <w:r w:rsidR="00B26735">
        <w:t xml:space="preserve"> </w:t>
      </w:r>
    </w:p>
    <w:p w14:paraId="40E79CEB" w14:textId="77777777" w:rsidR="007F6750" w:rsidRDefault="008F4B01" w:rsidP="00A66E1A">
      <w:pPr>
        <w:pStyle w:val="DHHSbody"/>
        <w:rPr>
          <w:rFonts w:cs="Arial"/>
        </w:rPr>
      </w:pPr>
      <w:r w:rsidRPr="008F4B01">
        <w:rPr>
          <w:rFonts w:cs="Arial"/>
        </w:rPr>
        <w:t>In addition to medical practitioners, references to prescribers are equally applicable to nurse practitioners whose registration endorsement and scope of practice are applicable to prescribing opioid-replacement therapy</w:t>
      </w:r>
      <w:r>
        <w:rPr>
          <w:rFonts w:cs="Arial"/>
        </w:rPr>
        <w:t>.</w:t>
      </w:r>
    </w:p>
    <w:p w14:paraId="107BC575" w14:textId="77777777" w:rsidR="008F4B01" w:rsidRPr="008F4B01" w:rsidRDefault="008F4B01" w:rsidP="007015C5">
      <w:pPr>
        <w:pStyle w:val="Heading2"/>
      </w:pPr>
      <w:r>
        <w:t>The r</w:t>
      </w:r>
      <w:r w:rsidRPr="008F4B01">
        <w:t>egulations</w:t>
      </w:r>
    </w:p>
    <w:p w14:paraId="7752C40F" w14:textId="645B1947" w:rsidR="00107A6F" w:rsidRDefault="008F4B01" w:rsidP="00A66E1A">
      <w:pPr>
        <w:pStyle w:val="DHHSbody"/>
        <w:rPr>
          <w:b/>
          <w:sz w:val="24"/>
          <w:szCs w:val="24"/>
        </w:rPr>
      </w:pPr>
      <w:r w:rsidRPr="008F4B01">
        <w:t xml:space="preserve">Regulatory requirements associated with </w:t>
      </w:r>
      <w:r w:rsidR="00961FDA">
        <w:t>Opioid Replacement Therapy (</w:t>
      </w:r>
      <w:r w:rsidRPr="008F4B01">
        <w:t>ORT</w:t>
      </w:r>
      <w:r w:rsidR="00961FDA">
        <w:t>)</w:t>
      </w:r>
      <w:r w:rsidRPr="008F4B01">
        <w:t xml:space="preserve"> are the same as for other Schedule 8 poisons</w:t>
      </w:r>
      <w:r>
        <w:t>. Failure to comply with the r</w:t>
      </w:r>
      <w:r w:rsidRPr="008F4B01">
        <w:t>egulations renders a person liable to prosecution. In this document the term</w:t>
      </w:r>
      <w:r w:rsidR="00DD12F5">
        <w:t>,</w:t>
      </w:r>
      <w:r w:rsidRPr="008F4B01">
        <w:t xml:space="preserve"> </w:t>
      </w:r>
      <w:r w:rsidR="00DD12F5" w:rsidRPr="00381B80">
        <w:rPr>
          <w:b/>
          <w:color w:val="FF0000"/>
        </w:rPr>
        <w:t>MUST</w:t>
      </w:r>
      <w:r w:rsidR="00DD12F5">
        <w:t>, is</w:t>
      </w:r>
      <w:r w:rsidRPr="008F4B01">
        <w:t xml:space="preserve"> used to emphasise regulatory requirements.</w:t>
      </w:r>
      <w:r w:rsidR="00107A6F">
        <w:rPr>
          <w:b/>
          <w:sz w:val="24"/>
          <w:szCs w:val="24"/>
        </w:rPr>
        <w:br w:type="page"/>
      </w:r>
    </w:p>
    <w:p w14:paraId="3D387A3F" w14:textId="77777777" w:rsidR="008F4B01" w:rsidRPr="008F4B01" w:rsidRDefault="008F4B01" w:rsidP="00A66E1A">
      <w:pPr>
        <w:pStyle w:val="Heading1"/>
      </w:pPr>
      <w:r w:rsidRPr="008F4B01">
        <w:lastRenderedPageBreak/>
        <w:t>The Policy</w:t>
      </w:r>
      <w:r w:rsidR="009B2DF0">
        <w:t xml:space="preserve"> </w:t>
      </w:r>
      <w:r w:rsidR="009B2DF0" w:rsidRPr="00334323">
        <w:t xml:space="preserve">and varying from </w:t>
      </w:r>
      <w:r w:rsidR="007015C5" w:rsidRPr="00334323">
        <w:t>it</w:t>
      </w:r>
    </w:p>
    <w:p w14:paraId="3AB69409" w14:textId="77777777" w:rsidR="008F4B01" w:rsidRPr="008F4B01" w:rsidRDefault="00B26735" w:rsidP="00A66E1A">
      <w:pPr>
        <w:pStyle w:val="DHHSbody"/>
      </w:pPr>
      <w:r>
        <w:t>Victoria’s</w:t>
      </w:r>
      <w:r w:rsidR="008F4B01" w:rsidRPr="008F4B01">
        <w:t xml:space="preserve"> </w:t>
      </w:r>
      <w:r w:rsidRPr="00A66E1A">
        <w:t>‘</w:t>
      </w:r>
      <w:r w:rsidRPr="00A66E1A">
        <w:rPr>
          <w:rStyle w:val="Emphasis"/>
          <w:rFonts w:ascii="Helvetica" w:eastAsia="MS Gothic" w:hAnsi="Helvetica"/>
          <w:shd w:val="clear" w:color="auto" w:fill="FFFFFF"/>
        </w:rPr>
        <w:t>Policy for maintenance pharmacotherapy for opioid dependence’</w:t>
      </w:r>
      <w:r>
        <w:rPr>
          <w:rStyle w:val="Emphasis"/>
          <w:rFonts w:ascii="Helvetica" w:eastAsia="MS Gothic" w:hAnsi="Helvetica"/>
          <w:color w:val="505050"/>
          <w:shd w:val="clear" w:color="auto" w:fill="FFFFFF"/>
        </w:rPr>
        <w:t xml:space="preserve"> </w:t>
      </w:r>
      <w:r w:rsidR="008F4B01" w:rsidRPr="008F4B01">
        <w:t>has been developed in accordance with input from health practitioners with expertise in treating opioid-dependent patients to minimise the risks associated with ORT. It should be read in conjunction with the National Guidelines for Medication-Assisted Treatment of Opioid Dependence.</w:t>
      </w:r>
    </w:p>
    <w:p w14:paraId="0959EC3F" w14:textId="77777777" w:rsidR="008F4B01" w:rsidRPr="008F4B01" w:rsidRDefault="008F4B01" w:rsidP="00A66E1A">
      <w:pPr>
        <w:pStyle w:val="DHHSbody"/>
      </w:pPr>
      <w:r w:rsidRPr="008F4B01">
        <w:t>The Policy contains general advice, which is intended to assist health practitioners manage patients in a safe, appropriate and lawful manner. However, the Policy cannot address every clinical situation and is not intended to replace professional judgement in individual cases.</w:t>
      </w:r>
    </w:p>
    <w:p w14:paraId="59C8F198" w14:textId="77777777" w:rsidR="008F4B01" w:rsidRPr="008F4B01" w:rsidRDefault="008F4B01" w:rsidP="00A66E1A">
      <w:pPr>
        <w:pStyle w:val="DHHSbody"/>
      </w:pPr>
      <w:r w:rsidRPr="008F4B01">
        <w:t>It is expected that pharmacists will generally act in a manner consistent with the Policy and will vary from it only if there is sufficient justification in an individual case.</w:t>
      </w:r>
    </w:p>
    <w:p w14:paraId="0CE943B7" w14:textId="77777777" w:rsidR="008F4B01" w:rsidRPr="008F4B01" w:rsidRDefault="008F4B01" w:rsidP="00A66E1A">
      <w:pPr>
        <w:pStyle w:val="DHHSbody"/>
      </w:pPr>
      <w:r w:rsidRPr="00107A6F">
        <w:t xml:space="preserve">A pharmacist is </w:t>
      </w:r>
      <w:r w:rsidRPr="00107A6F">
        <w:rPr>
          <w:b/>
        </w:rPr>
        <w:t>not</w:t>
      </w:r>
      <w:r w:rsidRPr="00107A6F">
        <w:t xml:space="preserve"> obliged to vary from the</w:t>
      </w:r>
      <w:r w:rsidRPr="008F4B01">
        <w:rPr>
          <w:b/>
        </w:rPr>
        <w:t xml:space="preserve"> Policy</w:t>
      </w:r>
      <w:r w:rsidRPr="008F4B01">
        <w:t xml:space="preserve"> and </w:t>
      </w:r>
      <w:r w:rsidRPr="00DD4CF0">
        <w:rPr>
          <w:b/>
        </w:rPr>
        <w:t>must</w:t>
      </w:r>
      <w:r w:rsidRPr="008F4B01">
        <w:t xml:space="preserve"> </w:t>
      </w:r>
      <w:r w:rsidRPr="00107A6F">
        <w:rPr>
          <w:b/>
        </w:rPr>
        <w:t>not</w:t>
      </w:r>
      <w:r w:rsidRPr="008F4B01">
        <w:t xml:space="preserve"> vary from </w:t>
      </w:r>
      <w:r w:rsidRPr="00107A6F">
        <w:rPr>
          <w:b/>
        </w:rPr>
        <w:t>regulatory requirements</w:t>
      </w:r>
      <w:r w:rsidRPr="008F4B01">
        <w:t xml:space="preserve"> </w:t>
      </w:r>
      <w:r w:rsidR="00F55B25">
        <w:t>merely</w:t>
      </w:r>
      <w:r w:rsidRPr="008F4B01">
        <w:t xml:space="preserve"> because a prescriber gives instructions to do so.  </w:t>
      </w:r>
    </w:p>
    <w:p w14:paraId="6BD781BE" w14:textId="77777777" w:rsidR="008F4B01" w:rsidRDefault="008F4B01" w:rsidP="00A66E1A">
      <w:pPr>
        <w:pStyle w:val="DHHSbody"/>
      </w:pPr>
      <w:r w:rsidRPr="008F4B01">
        <w:t xml:space="preserve">In determining whether there is sufficient justification to vary from the Policy, or when dealing with a situation that is not specifically addressed in the Policy, pharmacists are advised to consider the “Principles of Pharmacotherapy Administration” (contained in </w:t>
      </w:r>
      <w:r w:rsidRPr="000D1E72">
        <w:t>Appendix 7 of the Policy)</w:t>
      </w:r>
      <w:r w:rsidRPr="008F4B01">
        <w:t xml:space="preserve"> and to document reasons for any actions that are not consistent with the Policy. Pharmacists might also consider whether their actions are likely to satisfy the scrutiny of the </w:t>
      </w:r>
      <w:proofErr w:type="gramStart"/>
      <w:r w:rsidRPr="008F4B01">
        <w:t>Coroner</w:t>
      </w:r>
      <w:proofErr w:type="gramEnd"/>
      <w:r w:rsidRPr="008F4B01">
        <w:t xml:space="preserve"> in a worse-case situation</w:t>
      </w:r>
      <w:r>
        <w:t>.</w:t>
      </w:r>
    </w:p>
    <w:p w14:paraId="4599540E" w14:textId="77777777" w:rsidR="008F4B01" w:rsidRPr="00F55B25" w:rsidRDefault="008F4B01" w:rsidP="00A66E1A">
      <w:pPr>
        <w:pStyle w:val="Heading2"/>
        <w:rPr>
          <w:lang w:val="it-IT"/>
        </w:rPr>
      </w:pPr>
      <w:r w:rsidRPr="00F55B25">
        <w:rPr>
          <w:lang w:val="it-IT"/>
        </w:rPr>
        <w:t>Recent changes to the Policy</w:t>
      </w:r>
    </w:p>
    <w:p w14:paraId="263A64A5" w14:textId="1AB3FC50" w:rsidR="003D544B" w:rsidRDefault="008F4B01" w:rsidP="008F4B01">
      <w:pPr>
        <w:spacing w:after="120" w:line="270" w:lineRule="atLeast"/>
        <w:rPr>
          <w:rFonts w:ascii="Arial" w:eastAsia="Times" w:hAnsi="Arial" w:cs="Arial"/>
        </w:rPr>
      </w:pPr>
      <w:r w:rsidRPr="000D1E72">
        <w:rPr>
          <w:rFonts w:ascii="Arial" w:eastAsia="Times" w:hAnsi="Arial" w:cs="Arial"/>
        </w:rPr>
        <w:t xml:space="preserve">The current version of the Policy, which took effect in </w:t>
      </w:r>
      <w:r w:rsidR="00961FDA">
        <w:rPr>
          <w:rFonts w:ascii="Arial" w:eastAsia="Times" w:hAnsi="Arial" w:cs="Arial"/>
        </w:rPr>
        <w:t>July</w:t>
      </w:r>
      <w:r w:rsidRPr="000D1E72">
        <w:rPr>
          <w:rFonts w:ascii="Arial" w:eastAsia="Times" w:hAnsi="Arial" w:cs="Arial"/>
        </w:rPr>
        <w:t xml:space="preserve"> 20</w:t>
      </w:r>
      <w:r w:rsidR="00961FDA">
        <w:rPr>
          <w:rFonts w:ascii="Arial" w:eastAsia="Times" w:hAnsi="Arial" w:cs="Arial"/>
        </w:rPr>
        <w:t>23</w:t>
      </w:r>
      <w:r w:rsidRPr="000D1E72">
        <w:rPr>
          <w:rFonts w:ascii="Arial" w:eastAsia="Times" w:hAnsi="Arial" w:cs="Arial"/>
        </w:rPr>
        <w:t>, is similar to previous versions of the Policy.</w:t>
      </w:r>
      <w:r w:rsidRPr="008F4B01">
        <w:rPr>
          <w:rFonts w:ascii="Arial" w:eastAsia="Times" w:hAnsi="Arial" w:cs="Arial"/>
        </w:rPr>
        <w:t xml:space="preserve"> </w:t>
      </w:r>
    </w:p>
    <w:p w14:paraId="2933D354" w14:textId="08346058" w:rsidR="008F4B01" w:rsidRDefault="003D544B" w:rsidP="008F4B01">
      <w:pPr>
        <w:spacing w:after="120" w:line="270" w:lineRule="atLeast"/>
        <w:rPr>
          <w:rFonts w:ascii="Arial" w:eastAsia="Times" w:hAnsi="Arial" w:cs="Arial"/>
        </w:rPr>
      </w:pPr>
      <w:r w:rsidRPr="007015C5">
        <w:rPr>
          <w:rFonts w:ascii="Arial" w:eastAsia="Times" w:hAnsi="Arial" w:cs="Arial"/>
          <w:b/>
        </w:rPr>
        <w:t>Note</w:t>
      </w:r>
      <w:r w:rsidRPr="007015C5">
        <w:rPr>
          <w:rFonts w:ascii="Arial" w:eastAsia="Times" w:hAnsi="Arial" w:cs="Arial"/>
        </w:rPr>
        <w:t>: Five</w:t>
      </w:r>
      <w:r w:rsidR="008F4B01" w:rsidRPr="007015C5">
        <w:rPr>
          <w:rFonts w:ascii="Arial" w:eastAsia="Times" w:hAnsi="Arial" w:cs="Arial"/>
        </w:rPr>
        <w:t xml:space="preserve"> key</w:t>
      </w:r>
      <w:r w:rsidR="00A84711">
        <w:rPr>
          <w:rFonts w:ascii="Arial" w:eastAsia="Times" w:hAnsi="Arial" w:cs="Arial"/>
        </w:rPr>
        <w:t xml:space="preserve"> relatively recent</w:t>
      </w:r>
      <w:r w:rsidR="008F4B01" w:rsidRPr="007015C5">
        <w:rPr>
          <w:rFonts w:ascii="Arial" w:eastAsia="Times" w:hAnsi="Arial" w:cs="Arial"/>
        </w:rPr>
        <w:t xml:space="preserve"> </w:t>
      </w:r>
      <w:r w:rsidRPr="007015C5">
        <w:rPr>
          <w:rFonts w:ascii="Arial" w:eastAsia="Times" w:hAnsi="Arial" w:cs="Arial"/>
        </w:rPr>
        <w:t>updates</w:t>
      </w:r>
      <w:r w:rsidR="008F4B01" w:rsidRPr="007015C5">
        <w:rPr>
          <w:rFonts w:ascii="Arial" w:eastAsia="Times" w:hAnsi="Arial" w:cs="Arial"/>
        </w:rPr>
        <w:t xml:space="preserve"> have been highlighted in this document by yellow background shading rather than </w:t>
      </w:r>
      <w:r w:rsidR="00381B80" w:rsidRPr="007015C5">
        <w:rPr>
          <w:rFonts w:ascii="Arial" w:eastAsia="Times" w:hAnsi="Arial" w:cs="Arial"/>
        </w:rPr>
        <w:t>grey</w:t>
      </w:r>
      <w:r w:rsidR="008F4B01" w:rsidRPr="007015C5">
        <w:rPr>
          <w:rFonts w:ascii="Arial" w:eastAsia="Times" w:hAnsi="Arial" w:cs="Arial"/>
        </w:rPr>
        <w:t>. If</w:t>
      </w:r>
      <w:r w:rsidR="008F4B01" w:rsidRPr="008F4B01">
        <w:rPr>
          <w:rFonts w:ascii="Arial" w:eastAsia="Times" w:hAnsi="Arial" w:cs="Arial"/>
        </w:rPr>
        <w:t xml:space="preserve"> </w:t>
      </w:r>
      <w:r>
        <w:rPr>
          <w:rFonts w:ascii="Arial" w:eastAsia="Times" w:hAnsi="Arial" w:cs="Arial"/>
        </w:rPr>
        <w:t xml:space="preserve">you have printed </w:t>
      </w:r>
      <w:r w:rsidR="008F4B01" w:rsidRPr="008F4B01">
        <w:rPr>
          <w:rFonts w:ascii="Arial" w:eastAsia="Times" w:hAnsi="Arial" w:cs="Arial"/>
        </w:rPr>
        <w:t>this document in black and white, please refer to the website version to identify the sections with yellow background shading</w:t>
      </w:r>
      <w:r>
        <w:rPr>
          <w:rFonts w:ascii="Arial" w:eastAsia="Times" w:hAnsi="Arial" w:cs="Arial"/>
        </w:rPr>
        <w:t xml:space="preserve">; they are on pages 3, </w:t>
      </w:r>
      <w:r w:rsidR="001E2DAF">
        <w:rPr>
          <w:rFonts w:ascii="Arial" w:eastAsia="Times" w:hAnsi="Arial" w:cs="Arial"/>
        </w:rPr>
        <w:t>7</w:t>
      </w:r>
      <w:r>
        <w:rPr>
          <w:rFonts w:ascii="Arial" w:eastAsia="Times" w:hAnsi="Arial" w:cs="Arial"/>
        </w:rPr>
        <w:t>, 11, 12 and 13</w:t>
      </w:r>
      <w:r w:rsidR="008F4B01" w:rsidRPr="008F4B01">
        <w:rPr>
          <w:rFonts w:ascii="Arial" w:eastAsia="Times" w:hAnsi="Arial" w:cs="Arial"/>
        </w:rPr>
        <w:t>.</w:t>
      </w:r>
    </w:p>
    <w:bookmarkEnd w:id="1"/>
    <w:p w14:paraId="443EF8A2" w14:textId="77777777" w:rsidR="008F4B01" w:rsidRPr="008F4B01" w:rsidRDefault="008F4B01" w:rsidP="00F55B25">
      <w:pPr>
        <w:pStyle w:val="Heading1"/>
        <w:rPr>
          <w:u w:val="single"/>
        </w:rPr>
      </w:pPr>
      <w:r w:rsidRPr="008F4B01">
        <w:t>Self-assessment issues</w:t>
      </w:r>
    </w:p>
    <w:p w14:paraId="3ED544C1" w14:textId="77777777" w:rsidR="008F4B01" w:rsidRPr="004176DE" w:rsidRDefault="008F4B01" w:rsidP="007015C5">
      <w:pPr>
        <w:pStyle w:val="Heading2"/>
        <w:rPr>
          <w:lang w:val="it-IT"/>
        </w:rPr>
      </w:pPr>
      <w:r w:rsidRPr="004176DE">
        <w:rPr>
          <w:lang w:val="it-IT"/>
        </w:rPr>
        <w:t>Reference material</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607D9383" w14:textId="77777777" w:rsidTr="0029613B">
        <w:tc>
          <w:tcPr>
            <w:tcW w:w="5000" w:type="pct"/>
            <w:gridSpan w:val="2"/>
            <w:tcBorders>
              <w:bottom w:val="single" w:sz="12" w:space="0" w:color="008000"/>
            </w:tcBorders>
            <w:shd w:val="clear" w:color="auto" w:fill="D9D9D9" w:themeFill="background1" w:themeFillShade="D9"/>
          </w:tcPr>
          <w:p w14:paraId="16BB7B27" w14:textId="5E983A80" w:rsidR="00446A86" w:rsidRDefault="00752E99" w:rsidP="008F4B01">
            <w:pPr>
              <w:pStyle w:val="DHHSbody"/>
            </w:pPr>
            <w:r>
              <w:t xml:space="preserve">Refer to the </w:t>
            </w:r>
            <w:hyperlink r:id="rId23" w:history="1">
              <w:r w:rsidRPr="008463D5">
                <w:rPr>
                  <w:rStyle w:val="Hyperlink"/>
                </w:rPr>
                <w:t>Medicines and poisons webpage</w:t>
              </w:r>
            </w:hyperlink>
            <w:r>
              <w:t xml:space="preserve"> &lt;</w:t>
            </w:r>
            <w:r w:rsidR="00C05F60">
              <w:t xml:space="preserve"> </w:t>
            </w:r>
            <w:r w:rsidR="00C05F60" w:rsidRPr="00C05F60">
              <w:t>https://www.health.vic.gov.au/drugs-and-poisons/pharmacotherapy-opioid-replacement-therapy</w:t>
            </w:r>
            <w:r>
              <w:t xml:space="preserve">&gt; on the </w:t>
            </w:r>
            <w:proofErr w:type="spellStart"/>
            <w:r>
              <w:t>Health.</w:t>
            </w:r>
            <w:r w:rsidR="00C05F60">
              <w:t>V</w:t>
            </w:r>
            <w:r>
              <w:t>ic</w:t>
            </w:r>
            <w:proofErr w:type="spellEnd"/>
            <w:r>
              <w:t xml:space="preserve"> website </w:t>
            </w:r>
            <w:r w:rsidR="00446A86">
              <w:t>to download or review:</w:t>
            </w:r>
          </w:p>
          <w:p w14:paraId="3170553F" w14:textId="77777777" w:rsidR="00446A86" w:rsidRDefault="00446A86" w:rsidP="00446A86">
            <w:pPr>
              <w:pStyle w:val="DHHSbullet1"/>
            </w:pPr>
            <w:r>
              <w:t xml:space="preserve">Victoria’s </w:t>
            </w:r>
            <w:r w:rsidR="008F4B01" w:rsidRPr="00446A86">
              <w:rPr>
                <w:i/>
              </w:rPr>
              <w:t xml:space="preserve">Policy </w:t>
            </w:r>
            <w:r w:rsidRPr="00446A86">
              <w:rPr>
                <w:i/>
              </w:rPr>
              <w:t>for maintenance pharmacotherapy for opioid dependence</w:t>
            </w:r>
          </w:p>
          <w:p w14:paraId="3D830FB4" w14:textId="77777777" w:rsidR="008F4B01" w:rsidRDefault="00446A86" w:rsidP="00446A86">
            <w:pPr>
              <w:pStyle w:val="DHHSbullet1"/>
            </w:pPr>
            <w:r>
              <w:t>t</w:t>
            </w:r>
            <w:r w:rsidR="008F4B01" w:rsidRPr="009F6D96">
              <w:t xml:space="preserve">he </w:t>
            </w:r>
            <w:r w:rsidR="008F4B01" w:rsidRPr="00446A86">
              <w:rPr>
                <w:i/>
              </w:rPr>
              <w:t>National Guidelines for Medication-Assisted Treatment of Opioid Dependence</w:t>
            </w:r>
            <w:r w:rsidR="008F4B01" w:rsidRPr="009F6D96">
              <w:t xml:space="preserve"> </w:t>
            </w:r>
          </w:p>
          <w:p w14:paraId="67FE409C" w14:textId="77777777" w:rsidR="00446A86" w:rsidRPr="00446A86" w:rsidRDefault="00446A86" w:rsidP="00446A86">
            <w:pPr>
              <w:pStyle w:val="DHHSbullet1"/>
              <w:rPr>
                <w:i/>
              </w:rPr>
            </w:pPr>
            <w:r w:rsidRPr="00446A86">
              <w:rPr>
                <w:i/>
              </w:rPr>
              <w:t>Summary of changes related to the use of long-acting injectable buprenorphine for opioid dependence</w:t>
            </w:r>
          </w:p>
          <w:p w14:paraId="200180CF" w14:textId="77777777" w:rsidR="008F4B01" w:rsidRDefault="00446A86" w:rsidP="00446A86">
            <w:pPr>
              <w:pStyle w:val="DHHSbullet1lastline"/>
              <w:rPr>
                <w:i/>
              </w:rPr>
            </w:pPr>
            <w:r w:rsidRPr="00446A86">
              <w:rPr>
                <w:i/>
              </w:rPr>
              <w:t>Brief clinical guidelines for use of depot buprenorphine (Buvidal and Sublocade)</w:t>
            </w:r>
          </w:p>
          <w:p w14:paraId="74B73A65" w14:textId="77777777" w:rsidR="00446A86" w:rsidRPr="00446A86" w:rsidRDefault="00446A86" w:rsidP="00446A86">
            <w:pPr>
              <w:spacing w:after="120" w:line="270" w:lineRule="atLeast"/>
              <w:rPr>
                <w:rFonts w:ascii="Arial" w:eastAsia="Times" w:hAnsi="Arial" w:cs="Arial"/>
              </w:rPr>
            </w:pPr>
            <w:r w:rsidRPr="00446A86">
              <w:rPr>
                <w:rFonts w:ascii="Arial" w:eastAsia="Times" w:hAnsi="Arial" w:cs="Arial"/>
              </w:rPr>
              <w:t>Appendix 2 of the Policy</w:t>
            </w:r>
            <w:r>
              <w:rPr>
                <w:rFonts w:ascii="Arial" w:eastAsia="Times" w:hAnsi="Arial" w:cs="Arial"/>
              </w:rPr>
              <w:t xml:space="preserve"> also contains a number of key contacts,</w:t>
            </w:r>
            <w:r w:rsidRPr="00446A86">
              <w:rPr>
                <w:rFonts w:ascii="Arial" w:eastAsia="Times" w:hAnsi="Arial" w:cs="Arial"/>
              </w:rPr>
              <w:t xml:space="preserve"> including:</w:t>
            </w:r>
          </w:p>
          <w:p w14:paraId="3448338C" w14:textId="77777777" w:rsidR="00446A86" w:rsidRPr="00446A86" w:rsidRDefault="00446A86" w:rsidP="00446A86">
            <w:pPr>
              <w:pStyle w:val="DHHSbullet1"/>
            </w:pPr>
            <w:r w:rsidRPr="00446A86">
              <w:t>The Drug and Alcohol Clinical Advisory Service (DACAS) for urgent clinical advice (1800 812 804)</w:t>
            </w:r>
          </w:p>
          <w:p w14:paraId="50EE4944" w14:textId="77777777" w:rsidR="00446A86" w:rsidRPr="00C4796F" w:rsidRDefault="00446A86" w:rsidP="00C4796F">
            <w:pPr>
              <w:pStyle w:val="DHHSbullet1lastline"/>
            </w:pPr>
            <w:r w:rsidRPr="00446A86">
              <w:t>The Pharmacotherapy Advocacy and Mediation Service (PAMS) for advice and assistance in dealing with client-related issues that might arise (Tel: 1800 443 844)</w:t>
            </w:r>
          </w:p>
        </w:tc>
      </w:tr>
      <w:tr w:rsidR="008F4B01" w:rsidRPr="004176DE" w14:paraId="53233C10"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4C90F250" w14:textId="77777777" w:rsidR="008F4B01" w:rsidRPr="009F6D96" w:rsidRDefault="008F4B01" w:rsidP="008F4B01">
            <w:pPr>
              <w:pStyle w:val="DHHSbody"/>
              <w:rPr>
                <w:rFonts w:cs="Arial"/>
              </w:rPr>
            </w:pPr>
            <w:r w:rsidRPr="009F6D96">
              <w:rPr>
                <w:rFonts w:cs="Arial"/>
              </w:rPr>
              <w:t>Does your pharmacy have internet access, with the above website bookmarked for ready access by pharmacists, OR are printed versions of the corresponding reference material readily available?</w:t>
            </w:r>
          </w:p>
        </w:tc>
        <w:tc>
          <w:tcPr>
            <w:tcW w:w="851" w:type="pct"/>
            <w:tcBorders>
              <w:top w:val="single" w:sz="12" w:space="0" w:color="808080"/>
              <w:left w:val="single" w:sz="6" w:space="0" w:color="C0C0C0"/>
              <w:bottom w:val="single" w:sz="6" w:space="0" w:color="808080"/>
              <w:right w:val="single" w:sz="12" w:space="0" w:color="808080"/>
            </w:tcBorders>
          </w:tcPr>
          <w:p w14:paraId="6FACCC37"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r w:rsidR="008F4B01" w:rsidRPr="004176DE" w14:paraId="5D802EE5"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09C402D0" w14:textId="77777777" w:rsidR="008F4B01" w:rsidRPr="009F6D96" w:rsidRDefault="008F4B01" w:rsidP="008F4B01">
            <w:pPr>
              <w:pStyle w:val="DHHSbody"/>
              <w:rPr>
                <w:rFonts w:cs="Arial"/>
              </w:rPr>
            </w:pPr>
            <w:r w:rsidRPr="009F6D96">
              <w:rPr>
                <w:rFonts w:cs="Arial"/>
              </w:rPr>
              <w:t xml:space="preserve">Are you confident that all pharmacists at your pharmacy are aware of and are able to readily access the emergency contacts listed in </w:t>
            </w:r>
            <w:r w:rsidRPr="000D1E72">
              <w:rPr>
                <w:rFonts w:cs="Arial"/>
              </w:rPr>
              <w:t>Appendix 2 of the Policy?</w:t>
            </w:r>
          </w:p>
        </w:tc>
        <w:tc>
          <w:tcPr>
            <w:tcW w:w="851" w:type="pct"/>
            <w:tcBorders>
              <w:top w:val="single" w:sz="12" w:space="0" w:color="808080"/>
              <w:left w:val="single" w:sz="6" w:space="0" w:color="C0C0C0"/>
              <w:bottom w:val="single" w:sz="6" w:space="0" w:color="808080"/>
              <w:right w:val="single" w:sz="12" w:space="0" w:color="808080"/>
            </w:tcBorders>
          </w:tcPr>
          <w:p w14:paraId="3FACA69A"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bl>
    <w:p w14:paraId="1993F5F0" w14:textId="77777777" w:rsidR="00DF16E5" w:rsidRDefault="00DF16E5" w:rsidP="008F4B01">
      <w:pPr>
        <w:pStyle w:val="DHHSbody"/>
        <w:rPr>
          <w:rFonts w:cs="Arial"/>
          <w:b/>
          <w:bCs/>
          <w:sz w:val="24"/>
          <w:szCs w:val="24"/>
          <w:lang w:val="it-IT"/>
        </w:rPr>
      </w:pPr>
    </w:p>
    <w:p w14:paraId="5C4EBD7F" w14:textId="77777777" w:rsidR="008F4B01" w:rsidRPr="004176DE" w:rsidRDefault="008F4B01" w:rsidP="00D7793F">
      <w:pPr>
        <w:pStyle w:val="Heading3"/>
        <w:rPr>
          <w:lang w:val="it-IT"/>
        </w:rPr>
      </w:pPr>
      <w:r w:rsidRPr="004176DE">
        <w:rPr>
          <w:lang w:val="it-IT"/>
        </w:rPr>
        <w:lastRenderedPageBreak/>
        <w:t>Awareness by all pharmacists</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1FE3F62E" w14:textId="77777777" w:rsidTr="0029613B">
        <w:tc>
          <w:tcPr>
            <w:tcW w:w="5000" w:type="pct"/>
            <w:gridSpan w:val="2"/>
            <w:tcBorders>
              <w:bottom w:val="single" w:sz="12" w:space="0" w:color="008000"/>
            </w:tcBorders>
            <w:shd w:val="clear" w:color="auto" w:fill="D9D9D9" w:themeFill="background1" w:themeFillShade="D9"/>
          </w:tcPr>
          <w:p w14:paraId="53C88BA6" w14:textId="77777777" w:rsidR="008F4B01" w:rsidRPr="009F6D96" w:rsidRDefault="008F4B01" w:rsidP="008F4B01">
            <w:pPr>
              <w:pStyle w:val="DHHSbody"/>
              <w:rPr>
                <w:rFonts w:cs="Arial"/>
              </w:rPr>
            </w:pPr>
            <w:r w:rsidRPr="009F6D96">
              <w:rPr>
                <w:rFonts w:cs="Arial"/>
              </w:rPr>
              <w:t>ORT has inherent risks, associated with the vulnerability of the patients as well as the potential toxicity of the drugs – especially methadone. Those risks can be minimised when all pharmacists are fully aware of the key principles of treatment but can be heightened if some pharmacists are not fully aware.</w:t>
            </w:r>
          </w:p>
          <w:p w14:paraId="4FA24954" w14:textId="77777777" w:rsidR="008F4B01" w:rsidRPr="009F6D96" w:rsidRDefault="008F4B01" w:rsidP="008F4B01">
            <w:pPr>
              <w:pStyle w:val="DHHSbody"/>
              <w:rPr>
                <w:rFonts w:cs="Arial"/>
              </w:rPr>
            </w:pPr>
            <w:r w:rsidRPr="009F6D96">
              <w:rPr>
                <w:rFonts w:cs="Arial"/>
              </w:rPr>
              <w:t xml:space="preserve">The Policy contains a Certification Document </w:t>
            </w:r>
            <w:r w:rsidRPr="000D1E72">
              <w:rPr>
                <w:rFonts w:cs="Arial"/>
                <w:bCs/>
              </w:rPr>
              <w:t>(</w:t>
            </w:r>
            <w:r w:rsidRPr="000D1E72">
              <w:rPr>
                <w:rFonts w:cs="Arial"/>
              </w:rPr>
              <w:t>Appendix 7)</w:t>
            </w:r>
            <w:r w:rsidRPr="009F6D96">
              <w:rPr>
                <w:rFonts w:cs="Arial"/>
              </w:rPr>
              <w:t xml:space="preserve"> that contains a concise summary of key principles, for ready reference by all pharmacists, including locums.</w:t>
            </w:r>
          </w:p>
        </w:tc>
      </w:tr>
      <w:tr w:rsidR="008F4B01" w:rsidRPr="004176DE" w14:paraId="2F98909C"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07681450" w14:textId="77777777" w:rsidR="008F4B01" w:rsidRPr="004176DE" w:rsidRDefault="008F4B01" w:rsidP="008F4B01">
            <w:pPr>
              <w:pStyle w:val="DHHSbody"/>
              <w:rPr>
                <w:rFonts w:cs="Arial"/>
              </w:rPr>
            </w:pPr>
            <w:r w:rsidRPr="004176DE">
              <w:rPr>
                <w:rFonts w:cs="Arial"/>
              </w:rPr>
              <w:t>Are you confident that all pharmacists at your pharmacy are fully aware of and are complying with the Policy?</w:t>
            </w:r>
          </w:p>
        </w:tc>
        <w:tc>
          <w:tcPr>
            <w:tcW w:w="851" w:type="pct"/>
            <w:tcBorders>
              <w:top w:val="single" w:sz="12" w:space="0" w:color="808080"/>
              <w:left w:val="single" w:sz="6" w:space="0" w:color="C0C0C0"/>
              <w:bottom w:val="single" w:sz="6" w:space="0" w:color="808080"/>
              <w:right w:val="single" w:sz="12" w:space="0" w:color="808080"/>
            </w:tcBorders>
          </w:tcPr>
          <w:p w14:paraId="3EDFED1F"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r w:rsidR="008F4B01" w:rsidRPr="004176DE" w14:paraId="469B2FD5"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0AF07C0E" w14:textId="77777777" w:rsidR="008F4B01" w:rsidRPr="004176DE" w:rsidRDefault="008F4B01" w:rsidP="008F4B01">
            <w:pPr>
              <w:pStyle w:val="DHHSbody"/>
              <w:rPr>
                <w:rFonts w:cs="Arial"/>
              </w:rPr>
            </w:pPr>
            <w:r w:rsidRPr="004176DE">
              <w:rPr>
                <w:rFonts w:cs="Arial"/>
              </w:rPr>
              <w:t>Have all relevant pharmacists completed a Certification Document to confirm that they are familiar with the Policy?</w:t>
            </w:r>
          </w:p>
        </w:tc>
        <w:tc>
          <w:tcPr>
            <w:tcW w:w="851" w:type="pct"/>
            <w:tcBorders>
              <w:top w:val="single" w:sz="12" w:space="0" w:color="808080"/>
              <w:left w:val="single" w:sz="6" w:space="0" w:color="C0C0C0"/>
              <w:bottom w:val="single" w:sz="6" w:space="0" w:color="808080"/>
              <w:right w:val="single" w:sz="12" w:space="0" w:color="808080"/>
            </w:tcBorders>
          </w:tcPr>
          <w:p w14:paraId="46D3CE39"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r w:rsidR="008F4B01" w:rsidRPr="004176DE" w14:paraId="76B5F356"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4A86D106" w14:textId="77777777" w:rsidR="008F4B01" w:rsidRPr="004176DE" w:rsidRDefault="008F4B01" w:rsidP="008F4B01">
            <w:pPr>
              <w:pStyle w:val="DHHSbody"/>
              <w:rPr>
                <w:rFonts w:cs="Arial"/>
              </w:rPr>
            </w:pPr>
            <w:r w:rsidRPr="004176DE">
              <w:rPr>
                <w:rFonts w:cs="Arial"/>
              </w:rPr>
              <w:t xml:space="preserve">Are copies of the Certification Document available for reference by </w:t>
            </w:r>
            <w:r>
              <w:rPr>
                <w:rFonts w:cs="Arial"/>
              </w:rPr>
              <w:t>all</w:t>
            </w:r>
            <w:r w:rsidRPr="004176DE">
              <w:rPr>
                <w:rFonts w:cs="Arial"/>
              </w:rPr>
              <w:t xml:space="preserve"> pharmacists?</w:t>
            </w:r>
          </w:p>
        </w:tc>
        <w:tc>
          <w:tcPr>
            <w:tcW w:w="851" w:type="pct"/>
            <w:tcBorders>
              <w:top w:val="single" w:sz="12" w:space="0" w:color="808080"/>
              <w:left w:val="single" w:sz="6" w:space="0" w:color="C0C0C0"/>
              <w:bottom w:val="single" w:sz="6" w:space="0" w:color="808080"/>
              <w:right w:val="single" w:sz="12" w:space="0" w:color="808080"/>
            </w:tcBorders>
          </w:tcPr>
          <w:p w14:paraId="310DBA6F"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bl>
    <w:p w14:paraId="3D45213B" w14:textId="77777777" w:rsidR="008F4B01" w:rsidRPr="004176DE" w:rsidRDefault="008F4B01" w:rsidP="007015C5">
      <w:pPr>
        <w:pStyle w:val="Heading2"/>
        <w:rPr>
          <w:lang w:val="it-IT"/>
        </w:rPr>
      </w:pPr>
      <w:r w:rsidRPr="004176DE">
        <w:rPr>
          <w:lang w:val="it-IT"/>
        </w:rPr>
        <w:t>Varying from the Policy</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6AB229D4" w14:textId="77777777" w:rsidTr="0029613B">
        <w:tc>
          <w:tcPr>
            <w:tcW w:w="5000" w:type="pct"/>
            <w:gridSpan w:val="2"/>
            <w:tcBorders>
              <w:bottom w:val="single" w:sz="12" w:space="0" w:color="008000"/>
            </w:tcBorders>
            <w:shd w:val="clear" w:color="auto" w:fill="D9D9D9" w:themeFill="background1" w:themeFillShade="D9"/>
          </w:tcPr>
          <w:p w14:paraId="201898FF" w14:textId="11091C5E" w:rsidR="008F4B01" w:rsidRPr="009F6D96" w:rsidRDefault="008F4B01" w:rsidP="008F4B01">
            <w:pPr>
              <w:pStyle w:val="DHHSbody"/>
              <w:rPr>
                <w:rFonts w:cs="Arial"/>
              </w:rPr>
            </w:pPr>
            <w:r w:rsidRPr="009F6D96">
              <w:rPr>
                <w:rFonts w:cs="Arial"/>
              </w:rPr>
              <w:t xml:space="preserve">The Policy is not intended to replace professional judgement in </w:t>
            </w:r>
            <w:r w:rsidRPr="009F6D96">
              <w:rPr>
                <w:rFonts w:cs="Arial"/>
                <w:b/>
              </w:rPr>
              <w:t>individual</w:t>
            </w:r>
            <w:r w:rsidRPr="009F6D96">
              <w:rPr>
                <w:rFonts w:cs="Arial"/>
              </w:rPr>
              <w:t xml:space="preserve"> cases. If a variation from the Policy is considered to be justified in an individual case, pharmacists are strongly advised to document fully the reasons for the variation. (</w:t>
            </w:r>
            <w:r w:rsidRPr="000D1E72">
              <w:rPr>
                <w:rFonts w:cs="Arial"/>
              </w:rPr>
              <w:t xml:space="preserve">Refer to the disclaimer on page </w:t>
            </w:r>
            <w:r w:rsidR="009D4292">
              <w:rPr>
                <w:rFonts w:cs="Arial"/>
              </w:rPr>
              <w:t>3</w:t>
            </w:r>
            <w:r w:rsidRPr="000D1E72">
              <w:rPr>
                <w:rFonts w:cs="Arial"/>
              </w:rPr>
              <w:t xml:space="preserve"> of the Policy)</w:t>
            </w:r>
          </w:p>
        </w:tc>
      </w:tr>
      <w:tr w:rsidR="008F4B01" w:rsidRPr="004176DE" w14:paraId="63E9D30D"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4FFB96E3" w14:textId="77777777" w:rsidR="008F4B01" w:rsidRPr="004176DE" w:rsidRDefault="008F4B01" w:rsidP="00FC1BA5">
            <w:pPr>
              <w:pStyle w:val="DHHSbody"/>
              <w:rPr>
                <w:rFonts w:cs="Arial"/>
              </w:rPr>
            </w:pPr>
            <w:r w:rsidRPr="004176DE">
              <w:rPr>
                <w:rFonts w:cs="Arial"/>
              </w:rPr>
              <w:t xml:space="preserve">Have all pharmacists been advised that, if a prescriber requests or directs them to vary from the Policy, the pharmacist is required to make a professional judgement </w:t>
            </w:r>
            <w:r w:rsidRPr="00F60D99">
              <w:rPr>
                <w:rFonts w:cs="Arial"/>
                <w:b/>
              </w:rPr>
              <w:t>and</w:t>
            </w:r>
            <w:r w:rsidRPr="004176DE">
              <w:rPr>
                <w:rFonts w:cs="Arial"/>
              </w:rPr>
              <w:t xml:space="preserve"> to be satisfied that the requested variation is safe</w:t>
            </w:r>
            <w:r w:rsidR="00FC1BA5">
              <w:rPr>
                <w:rFonts w:cs="Arial"/>
              </w:rPr>
              <w:t xml:space="preserve"> and</w:t>
            </w:r>
            <w:r w:rsidRPr="004176DE">
              <w:rPr>
                <w:rFonts w:cs="Arial"/>
              </w:rPr>
              <w:t xml:space="preserve"> lawful before agreeing to implement the proposed variation?</w:t>
            </w:r>
          </w:p>
        </w:tc>
        <w:tc>
          <w:tcPr>
            <w:tcW w:w="851" w:type="pct"/>
            <w:tcBorders>
              <w:top w:val="single" w:sz="12" w:space="0" w:color="808080"/>
              <w:left w:val="single" w:sz="6" w:space="0" w:color="C0C0C0"/>
              <w:bottom w:val="single" w:sz="6" w:space="0" w:color="808080"/>
              <w:right w:val="single" w:sz="12" w:space="0" w:color="808080"/>
            </w:tcBorders>
          </w:tcPr>
          <w:p w14:paraId="01D85963"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r w:rsidR="008F4B01" w:rsidRPr="004176DE" w14:paraId="30CCB549"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1C527A63" w14:textId="69C2A13A" w:rsidR="008F4B01" w:rsidRPr="004176DE" w:rsidRDefault="008F4B01" w:rsidP="00050BC7">
            <w:pPr>
              <w:pStyle w:val="DHHSbody"/>
              <w:rPr>
                <w:rFonts w:cs="Arial"/>
              </w:rPr>
            </w:pPr>
            <w:r w:rsidRPr="004176DE">
              <w:rPr>
                <w:rFonts w:cs="Arial"/>
              </w:rPr>
              <w:t>Have all pharmacists been advised to record any variations from the Policy in a prominent</w:t>
            </w:r>
            <w:r>
              <w:rPr>
                <w:rFonts w:cs="Arial"/>
              </w:rPr>
              <w:t xml:space="preserve">, consistent </w:t>
            </w:r>
            <w:r w:rsidRPr="004176DE">
              <w:rPr>
                <w:rFonts w:cs="Arial"/>
              </w:rPr>
              <w:t xml:space="preserve">manner and in a form that can be readily retrieved if called upon to justify decisions to authorities? (e.g. </w:t>
            </w:r>
            <w:r w:rsidR="00050BC7">
              <w:rPr>
                <w:rFonts w:cs="Arial"/>
              </w:rPr>
              <w:t>Medicines</w:t>
            </w:r>
            <w:r w:rsidRPr="004176DE">
              <w:rPr>
                <w:rFonts w:cs="Arial"/>
              </w:rPr>
              <w:t xml:space="preserve"> and Poisons,</w:t>
            </w:r>
            <w:r w:rsidR="00381B80">
              <w:rPr>
                <w:rFonts w:cs="Arial"/>
              </w:rPr>
              <w:t xml:space="preserve"> Pharmacy Board,</w:t>
            </w:r>
            <w:r w:rsidRPr="004176DE">
              <w:rPr>
                <w:rFonts w:cs="Arial"/>
              </w:rPr>
              <w:t xml:space="preserve"> Coroner)</w:t>
            </w:r>
          </w:p>
        </w:tc>
        <w:tc>
          <w:tcPr>
            <w:tcW w:w="851" w:type="pct"/>
            <w:tcBorders>
              <w:top w:val="single" w:sz="12" w:space="0" w:color="808080"/>
              <w:left w:val="single" w:sz="6" w:space="0" w:color="C0C0C0"/>
              <w:bottom w:val="single" w:sz="6" w:space="0" w:color="808080"/>
              <w:right w:val="single" w:sz="12" w:space="0" w:color="808080"/>
            </w:tcBorders>
          </w:tcPr>
          <w:p w14:paraId="232DD839"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bl>
    <w:p w14:paraId="38537C4C" w14:textId="77777777" w:rsidR="008F4B01" w:rsidRPr="004176DE" w:rsidRDefault="008F4B01" w:rsidP="007015C5">
      <w:pPr>
        <w:pStyle w:val="Heading2"/>
        <w:rPr>
          <w:lang w:val="it-IT"/>
        </w:rPr>
      </w:pPr>
      <w:r w:rsidRPr="004176DE">
        <w:rPr>
          <w:lang w:val="it-IT"/>
        </w:rPr>
        <w:t>Patient identification</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6DAAC015" w14:textId="77777777" w:rsidTr="0029613B">
        <w:tc>
          <w:tcPr>
            <w:tcW w:w="5000" w:type="pct"/>
            <w:gridSpan w:val="2"/>
            <w:tcBorders>
              <w:bottom w:val="single" w:sz="12" w:space="0" w:color="008000"/>
            </w:tcBorders>
            <w:shd w:val="clear" w:color="auto" w:fill="D9D9D9" w:themeFill="background1" w:themeFillShade="D9"/>
          </w:tcPr>
          <w:p w14:paraId="75D45416" w14:textId="77777777" w:rsidR="008F4B01" w:rsidRPr="004176DE" w:rsidRDefault="008F4B01" w:rsidP="00DD4CF0">
            <w:pPr>
              <w:pStyle w:val="DHHSbody"/>
              <w:rPr>
                <w:rFonts w:cs="Arial"/>
              </w:rPr>
            </w:pPr>
            <w:r w:rsidRPr="004176DE">
              <w:rPr>
                <w:rFonts w:cs="Arial"/>
              </w:rPr>
              <w:t xml:space="preserve">Before administering ORT, a pharmacist </w:t>
            </w:r>
            <w:r w:rsidR="00DD4CF0">
              <w:rPr>
                <w:rFonts w:cs="Arial"/>
              </w:rPr>
              <w:t xml:space="preserve">needs to be able </w:t>
            </w:r>
            <w:r w:rsidRPr="004176DE">
              <w:rPr>
                <w:rFonts w:cs="Arial"/>
              </w:rPr>
              <w:t xml:space="preserve">to confirm the patient is the same person for whom treatment was prescribed. This is </w:t>
            </w:r>
            <w:r>
              <w:rPr>
                <w:rFonts w:cs="Arial"/>
              </w:rPr>
              <w:t>commonly</w:t>
            </w:r>
            <w:r w:rsidRPr="004176DE">
              <w:rPr>
                <w:rFonts w:cs="Arial"/>
              </w:rPr>
              <w:t xml:space="preserve"> achieved by reference to a photograph, which looks like the patient and which has been </w:t>
            </w:r>
            <w:r w:rsidRPr="004176DE">
              <w:rPr>
                <w:rFonts w:cs="Arial"/>
                <w:b/>
              </w:rPr>
              <w:t>certified by the prescriber</w:t>
            </w:r>
            <w:r w:rsidRPr="004176DE">
              <w:rPr>
                <w:rFonts w:cs="Arial"/>
              </w:rPr>
              <w:t>, to confirm the person’s identity.</w:t>
            </w:r>
          </w:p>
        </w:tc>
      </w:tr>
      <w:tr w:rsidR="008F4B01" w:rsidRPr="004176DE" w14:paraId="3ED1FFB7" w14:textId="77777777" w:rsidTr="002961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000"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97DBA4" w14:textId="77777777" w:rsidR="008F4B01" w:rsidRPr="004176DE" w:rsidRDefault="008F4B01" w:rsidP="008F4B01">
            <w:pPr>
              <w:pStyle w:val="DHHSbody"/>
              <w:rPr>
                <w:rFonts w:cs="Arial"/>
              </w:rPr>
            </w:pPr>
            <w:r w:rsidRPr="004176DE">
              <w:rPr>
                <w:rFonts w:cs="Arial"/>
              </w:rPr>
              <w:t>Commonly accepted examples:</w:t>
            </w:r>
          </w:p>
        </w:tc>
      </w:tr>
      <w:tr w:rsidR="008F4B01" w:rsidRPr="004176DE" w14:paraId="686EB7F2" w14:textId="77777777" w:rsidTr="008F4B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000" w:type="pct"/>
            <w:gridSpan w:val="2"/>
            <w:tcBorders>
              <w:top w:val="single" w:sz="6" w:space="0" w:color="auto"/>
              <w:left w:val="single" w:sz="6" w:space="0" w:color="auto"/>
              <w:bottom w:val="single" w:sz="6" w:space="0" w:color="auto"/>
              <w:right w:val="single" w:sz="6" w:space="0" w:color="auto"/>
            </w:tcBorders>
          </w:tcPr>
          <w:p w14:paraId="194BE0DB" w14:textId="77777777" w:rsidR="008F4B01" w:rsidRPr="004176DE" w:rsidRDefault="008F4B01" w:rsidP="008F4B01">
            <w:pPr>
              <w:pStyle w:val="DHHSbody"/>
              <w:numPr>
                <w:ilvl w:val="0"/>
                <w:numId w:val="22"/>
              </w:numPr>
              <w:rPr>
                <w:rFonts w:cs="Arial"/>
              </w:rPr>
            </w:pPr>
            <w:r w:rsidRPr="004176DE">
              <w:rPr>
                <w:rFonts w:cs="Arial"/>
              </w:rPr>
              <w:t xml:space="preserve">Photographs are securely attached to, or contained in, patients’ attendance records.  </w:t>
            </w:r>
          </w:p>
          <w:p w14:paraId="0EFDEF14" w14:textId="77777777" w:rsidR="008F4B01" w:rsidRPr="004176DE" w:rsidRDefault="008F4B01" w:rsidP="008F4B01">
            <w:pPr>
              <w:pStyle w:val="DHHSbody"/>
              <w:numPr>
                <w:ilvl w:val="0"/>
                <w:numId w:val="22"/>
              </w:numPr>
              <w:rPr>
                <w:rFonts w:cs="Arial"/>
              </w:rPr>
            </w:pPr>
            <w:r w:rsidRPr="004176DE">
              <w:rPr>
                <w:rFonts w:cs="Arial"/>
              </w:rPr>
              <w:t>Photographs are scanned and displayed on the pharmacy computer.</w:t>
            </w:r>
          </w:p>
          <w:p w14:paraId="3EC98A9D" w14:textId="77777777" w:rsidR="008F4B01" w:rsidRPr="004176DE" w:rsidRDefault="008F4B01" w:rsidP="008F4B01">
            <w:pPr>
              <w:pStyle w:val="DHHSbody"/>
              <w:numPr>
                <w:ilvl w:val="0"/>
                <w:numId w:val="22"/>
              </w:numPr>
              <w:rPr>
                <w:rFonts w:cs="Arial"/>
              </w:rPr>
            </w:pPr>
            <w:r w:rsidRPr="004176DE">
              <w:rPr>
                <w:rFonts w:cs="Arial"/>
              </w:rPr>
              <w:t>Computer software scans of irises and/or fingerprints are used to confirm identities.</w:t>
            </w:r>
          </w:p>
          <w:p w14:paraId="54D7734A" w14:textId="77777777" w:rsidR="008F4B01" w:rsidRPr="005414D4" w:rsidRDefault="008F4B01" w:rsidP="008F4B01">
            <w:pPr>
              <w:pStyle w:val="DHHSbody"/>
              <w:numPr>
                <w:ilvl w:val="0"/>
                <w:numId w:val="22"/>
              </w:numPr>
              <w:rPr>
                <w:rFonts w:cs="Arial"/>
              </w:rPr>
            </w:pPr>
            <w:r w:rsidRPr="004176DE">
              <w:rPr>
                <w:rFonts w:cs="Arial"/>
              </w:rPr>
              <w:t>Replacement photographs are obtained if a patient’s appearance changes significantly.</w:t>
            </w:r>
          </w:p>
        </w:tc>
      </w:tr>
      <w:tr w:rsidR="008F4B01" w:rsidRPr="004176DE" w14:paraId="033F4AD3"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7A93A57D" w14:textId="77777777" w:rsidR="008F4B01" w:rsidRPr="004176DE" w:rsidRDefault="008F4B01" w:rsidP="008F4B01">
            <w:pPr>
              <w:pStyle w:val="DHHSbody"/>
              <w:rPr>
                <w:rFonts w:cs="Arial"/>
              </w:rPr>
            </w:pPr>
            <w:r w:rsidRPr="004176DE">
              <w:rPr>
                <w:rFonts w:cs="Arial"/>
              </w:rPr>
              <w:br w:type="page"/>
              <w:t xml:space="preserve">Are certified photographs, which actually look like the patient, </w:t>
            </w:r>
            <w:r w:rsidRPr="00896E59">
              <w:rPr>
                <w:rFonts w:cs="Arial"/>
              </w:rPr>
              <w:t xml:space="preserve">or alternative identification </w:t>
            </w:r>
            <w:r>
              <w:rPr>
                <w:rFonts w:cs="Arial"/>
              </w:rPr>
              <w:t>standards</w:t>
            </w:r>
            <w:r w:rsidRPr="00896E59">
              <w:rPr>
                <w:rFonts w:cs="Arial"/>
              </w:rPr>
              <w:t xml:space="preserve"> </w:t>
            </w:r>
            <w:r w:rsidRPr="004176DE">
              <w:rPr>
                <w:rFonts w:cs="Arial"/>
              </w:rPr>
              <w:t>held for all current patients?</w:t>
            </w:r>
          </w:p>
        </w:tc>
        <w:tc>
          <w:tcPr>
            <w:tcW w:w="851" w:type="pct"/>
            <w:tcBorders>
              <w:top w:val="single" w:sz="12" w:space="0" w:color="808080"/>
              <w:left w:val="single" w:sz="6" w:space="0" w:color="C0C0C0"/>
              <w:bottom w:val="single" w:sz="6" w:space="0" w:color="808080"/>
              <w:right w:val="single" w:sz="12" w:space="0" w:color="808080"/>
            </w:tcBorders>
          </w:tcPr>
          <w:p w14:paraId="0D409FCE"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bl>
    <w:p w14:paraId="2E2641D7" w14:textId="77777777" w:rsidR="008F4B01" w:rsidRPr="00C400EA" w:rsidRDefault="008F4B01" w:rsidP="00D7793F">
      <w:pPr>
        <w:pStyle w:val="Heading3"/>
        <w:rPr>
          <w:lang w:val="it-IT"/>
        </w:rPr>
      </w:pPr>
      <w:r>
        <w:rPr>
          <w:lang w:val="it-IT"/>
        </w:rPr>
        <w:t>Information for patients commencing Opioid Replacement Therapy</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
        <w:gridCol w:w="8448"/>
        <w:gridCol w:w="1724"/>
        <w:gridCol w:w="8"/>
      </w:tblGrid>
      <w:tr w:rsidR="008F4B01" w:rsidRPr="004176DE" w14:paraId="54891599" w14:textId="77777777" w:rsidTr="002334E2">
        <w:trPr>
          <w:gridAfter w:val="1"/>
          <w:wAfter w:w="4" w:type="pct"/>
        </w:trPr>
        <w:tc>
          <w:tcPr>
            <w:tcW w:w="4996" w:type="pct"/>
            <w:gridSpan w:val="3"/>
            <w:tcBorders>
              <w:bottom w:val="single" w:sz="12" w:space="0" w:color="008000"/>
            </w:tcBorders>
            <w:shd w:val="clear" w:color="auto" w:fill="FFFF00"/>
          </w:tcPr>
          <w:p w14:paraId="0CB8B000" w14:textId="77777777" w:rsidR="008F4B01" w:rsidRPr="000D1E72" w:rsidRDefault="008F4B01" w:rsidP="008F4B01">
            <w:pPr>
              <w:pStyle w:val="DHHSbody"/>
            </w:pPr>
            <w:r w:rsidRPr="000D1E72">
              <w:t>Appendix 1 of the Policy contains an information leaflet to explain key aspects and risks associated with the commencement of ORT. The leaflet is available in a range of languages.</w:t>
            </w:r>
          </w:p>
          <w:p w14:paraId="2444A0C8" w14:textId="77777777" w:rsidR="008F4B01" w:rsidRPr="000D1E72" w:rsidRDefault="008F4B01" w:rsidP="008F4B01">
            <w:pPr>
              <w:pStyle w:val="DHHSbody"/>
            </w:pPr>
            <w:r w:rsidRPr="000D1E72">
              <w:t>The leaflet also contains references to the use of naloxone injections, which might be prescribed by the ORT prescriber, especially where methadone is the drug selected.</w:t>
            </w:r>
          </w:p>
          <w:p w14:paraId="77D8D5A5" w14:textId="77777777" w:rsidR="008F4B01" w:rsidRPr="000D1E72" w:rsidRDefault="008F4B01" w:rsidP="008F4B01">
            <w:pPr>
              <w:pStyle w:val="DHHSbody"/>
            </w:pPr>
            <w:r w:rsidRPr="000D1E72">
              <w:rPr>
                <w:b/>
              </w:rPr>
              <w:lastRenderedPageBreak/>
              <w:t xml:space="preserve">Note: </w:t>
            </w:r>
            <w:r w:rsidRPr="000D1E72">
              <w:t>Buprenorphine is generally safer than methadone during the induction phase, but the risks of poly-drug use and precipitated withdrawal still require caution during the induction period and while the maintenance dose is being established.</w:t>
            </w:r>
          </w:p>
        </w:tc>
      </w:tr>
      <w:tr w:rsidR="008F4B01" w:rsidRPr="004176DE" w14:paraId="561D69CD"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rPr>
          <w:gridBefore w:val="1"/>
          <w:wBefore w:w="4" w:type="pct"/>
        </w:trPr>
        <w:tc>
          <w:tcPr>
            <w:tcW w:w="4146"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2A0E75C3" w14:textId="77777777" w:rsidR="008F4B01" w:rsidRPr="00E626EB" w:rsidRDefault="008F4B01" w:rsidP="008F4B01">
            <w:pPr>
              <w:pStyle w:val="DHHSbody"/>
              <w:rPr>
                <w:rFonts w:cs="Arial"/>
                <w:bCs/>
              </w:rPr>
            </w:pPr>
            <w:r w:rsidRPr="00E626EB">
              <w:rPr>
                <w:rFonts w:cs="Arial"/>
                <w:bCs/>
              </w:rPr>
              <w:t>Have all pharmacists been made aware of the information leaflet and its contents?</w:t>
            </w:r>
          </w:p>
          <w:p w14:paraId="07C871E4" w14:textId="6AB02CC6" w:rsidR="008F4B01" w:rsidRPr="00E626EB" w:rsidRDefault="008F4B01" w:rsidP="00FC1BA5">
            <w:pPr>
              <w:pStyle w:val="DHHSbody"/>
              <w:rPr>
                <w:rFonts w:cs="Arial"/>
                <w:bCs/>
              </w:rPr>
            </w:pPr>
            <w:r w:rsidRPr="00E626EB">
              <w:rPr>
                <w:rFonts w:cs="Arial"/>
                <w:b/>
                <w:bCs/>
              </w:rPr>
              <w:t>Note</w:t>
            </w:r>
            <w:r w:rsidRPr="00E626EB">
              <w:rPr>
                <w:rFonts w:cs="Arial"/>
                <w:bCs/>
              </w:rPr>
              <w:t xml:space="preserve">: </w:t>
            </w:r>
            <w:r w:rsidR="00FC1BA5">
              <w:rPr>
                <w:rFonts w:cs="Arial"/>
                <w:bCs/>
              </w:rPr>
              <w:t>I</w:t>
            </w:r>
            <w:r w:rsidRPr="00E626EB">
              <w:rPr>
                <w:rFonts w:cs="Arial"/>
                <w:bCs/>
              </w:rPr>
              <w:t xml:space="preserve">nformation about the use of naloxone injections is on </w:t>
            </w:r>
            <w:r w:rsidRPr="000D1E72">
              <w:rPr>
                <w:rFonts w:cs="Arial"/>
                <w:bCs/>
              </w:rPr>
              <w:t xml:space="preserve">page </w:t>
            </w:r>
            <w:r w:rsidR="00961FDA">
              <w:rPr>
                <w:rFonts w:cs="Arial"/>
                <w:bCs/>
              </w:rPr>
              <w:t>20</w:t>
            </w:r>
            <w:r w:rsidRPr="000D1E72">
              <w:rPr>
                <w:rFonts w:cs="Arial"/>
                <w:bCs/>
              </w:rPr>
              <w:t xml:space="preserve"> of the Policy.</w:t>
            </w:r>
          </w:p>
        </w:tc>
        <w:tc>
          <w:tcPr>
            <w:tcW w:w="850" w:type="pct"/>
            <w:gridSpan w:val="2"/>
            <w:tcBorders>
              <w:top w:val="single" w:sz="12" w:space="0" w:color="808080"/>
              <w:left w:val="single" w:sz="6" w:space="0" w:color="C0C0C0"/>
              <w:bottom w:val="single" w:sz="6" w:space="0" w:color="808080"/>
              <w:right w:val="single" w:sz="12" w:space="0" w:color="808080"/>
            </w:tcBorders>
          </w:tcPr>
          <w:p w14:paraId="2FC5E636"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bl>
    <w:p w14:paraId="4170C28D" w14:textId="77777777" w:rsidR="008F4B01" w:rsidRPr="00C400EA" w:rsidRDefault="008F4B01" w:rsidP="007015C5">
      <w:pPr>
        <w:pStyle w:val="Heading2"/>
        <w:rPr>
          <w:lang w:val="it-IT"/>
        </w:rPr>
      </w:pPr>
      <w:r>
        <w:rPr>
          <w:lang w:val="it-IT"/>
        </w:rPr>
        <w:t>Patients commencing or recommencing methadone treatment</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
        <w:gridCol w:w="8448"/>
        <w:gridCol w:w="1724"/>
        <w:gridCol w:w="8"/>
      </w:tblGrid>
      <w:tr w:rsidR="008F4B01" w:rsidRPr="004176DE" w14:paraId="5B59585C" w14:textId="77777777" w:rsidTr="0029613B">
        <w:trPr>
          <w:gridAfter w:val="1"/>
          <w:wAfter w:w="4" w:type="pct"/>
        </w:trPr>
        <w:tc>
          <w:tcPr>
            <w:tcW w:w="4996" w:type="pct"/>
            <w:gridSpan w:val="3"/>
            <w:tcBorders>
              <w:bottom w:val="single" w:sz="12" w:space="0" w:color="008000"/>
            </w:tcBorders>
            <w:shd w:val="clear" w:color="auto" w:fill="D9D9D9" w:themeFill="background1" w:themeFillShade="D9"/>
          </w:tcPr>
          <w:p w14:paraId="1DE47656" w14:textId="77777777" w:rsidR="008F4B01" w:rsidRDefault="008F4B01" w:rsidP="008F4B01">
            <w:pPr>
              <w:pStyle w:val="DHHSbody"/>
            </w:pPr>
            <w:r w:rsidRPr="0021592A">
              <w:t xml:space="preserve">During the initial stabilisation period, </w:t>
            </w:r>
            <w:r w:rsidRPr="003A2ED1">
              <w:rPr>
                <w:b/>
              </w:rPr>
              <w:t>methadone</w:t>
            </w:r>
            <w:r w:rsidRPr="0021592A">
              <w:t xml:space="preserve"> blood levels take some days to plateau. There is a significantly greater risk of toxicity due to lack of recognition of the long half-life of methadone and the possibility of concurrent poly-drug use. </w:t>
            </w:r>
          </w:p>
          <w:p w14:paraId="609C9649" w14:textId="77777777" w:rsidR="008F4B01" w:rsidRPr="0021592A" w:rsidRDefault="009B2DF0" w:rsidP="008F4B01">
            <w:pPr>
              <w:pStyle w:val="DHHSbody"/>
              <w:rPr>
                <w:rFonts w:ascii="Times New Roman" w:hAnsi="Times New Roman"/>
              </w:rPr>
            </w:pPr>
            <w:r w:rsidRPr="00334323">
              <w:t xml:space="preserve">It is strongly recommended that an </w:t>
            </w:r>
            <w:r w:rsidR="008F4B01" w:rsidRPr="00334323">
              <w:t xml:space="preserve">initial prescribed dose </w:t>
            </w:r>
            <w:r w:rsidRPr="00334323">
              <w:t xml:space="preserve">should not </w:t>
            </w:r>
            <w:r w:rsidR="008F4B01" w:rsidRPr="00334323">
              <w:t>exceed 40 mg daily</w:t>
            </w:r>
            <w:r w:rsidRPr="00334323">
              <w:t xml:space="preserve"> (preferably less)</w:t>
            </w:r>
            <w:r w:rsidR="008F4B01" w:rsidRPr="00334323">
              <w:t>,</w:t>
            </w:r>
            <w:r w:rsidRPr="00334323">
              <w:t xml:space="preserve"> so</w:t>
            </w:r>
            <w:r w:rsidR="008F4B01" w:rsidRPr="00334323">
              <w:t xml:space="preserve"> the prescriber should be</w:t>
            </w:r>
            <w:r w:rsidR="008F4B01" w:rsidRPr="00334323">
              <w:rPr>
                <w:rFonts w:ascii="Times New Roman" w:hAnsi="Times New Roman"/>
              </w:rPr>
              <w:t xml:space="preserve"> </w:t>
            </w:r>
            <w:r w:rsidR="008F4B01" w:rsidRPr="00334323">
              <w:t>consulted before administration</w:t>
            </w:r>
            <w:r w:rsidRPr="00334323">
              <w:t xml:space="preserve"> and, if</w:t>
            </w:r>
            <w:r w:rsidR="008F4B01" w:rsidRPr="00334323">
              <w:t xml:space="preserve"> there are concerns, the pharmacist and/or prescriber may need to discuss the case with DACAS (1800 812 804).</w:t>
            </w:r>
          </w:p>
          <w:p w14:paraId="723E4E93" w14:textId="77777777" w:rsidR="008F4B01" w:rsidRPr="004176DE" w:rsidRDefault="008F4B01" w:rsidP="008F4B01">
            <w:pPr>
              <w:pStyle w:val="DHHSbody"/>
            </w:pPr>
            <w:r>
              <w:rPr>
                <w:b/>
              </w:rPr>
              <w:t xml:space="preserve">Note: </w:t>
            </w:r>
            <w:r w:rsidRPr="003A2ED1">
              <w:t>Buprenorphine</w:t>
            </w:r>
            <w:r w:rsidRPr="0021592A">
              <w:t xml:space="preserve"> is generally safer than methadone during the induction phase, but the risk</w:t>
            </w:r>
            <w:r>
              <w:t>s</w:t>
            </w:r>
            <w:r w:rsidRPr="0021592A">
              <w:t xml:space="preserve"> of poly-drug</w:t>
            </w:r>
            <w:r>
              <w:t xml:space="preserve"> use</w:t>
            </w:r>
            <w:r w:rsidRPr="0021592A">
              <w:t xml:space="preserve"> </w:t>
            </w:r>
            <w:r>
              <w:t xml:space="preserve">and precipitated withdrawal </w:t>
            </w:r>
            <w:r w:rsidRPr="0021592A">
              <w:t>still require caution</w:t>
            </w:r>
            <w:r>
              <w:t xml:space="preserve"> during the induction period and</w:t>
            </w:r>
            <w:r w:rsidRPr="0021592A">
              <w:t xml:space="preserve"> while the mainte</w:t>
            </w:r>
            <w:r>
              <w:t>nance dose is being established.</w:t>
            </w:r>
          </w:p>
        </w:tc>
      </w:tr>
      <w:tr w:rsidR="008F4B01" w:rsidRPr="004176DE" w14:paraId="6236A353"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rPr>
          <w:gridBefore w:val="1"/>
          <w:wBefore w:w="4" w:type="pct"/>
        </w:trPr>
        <w:tc>
          <w:tcPr>
            <w:tcW w:w="4146"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0D9F9E1D" w14:textId="77777777" w:rsidR="008F4B01" w:rsidRPr="004176DE" w:rsidRDefault="008F4B01" w:rsidP="008F4B01">
            <w:pPr>
              <w:pStyle w:val="DHHSbody"/>
              <w:rPr>
                <w:rFonts w:cs="Arial"/>
                <w:bCs/>
              </w:rPr>
            </w:pPr>
            <w:r w:rsidRPr="004176DE">
              <w:rPr>
                <w:rFonts w:cs="Arial"/>
                <w:bCs/>
              </w:rPr>
              <w:t xml:space="preserve">Have all pharmacists been informed </w:t>
            </w:r>
            <w:r>
              <w:rPr>
                <w:rFonts w:cs="Arial"/>
                <w:bCs/>
              </w:rPr>
              <w:t xml:space="preserve">of the need to communicate with prescribers if a patient appears to be commencing </w:t>
            </w:r>
            <w:r w:rsidRPr="00381B80">
              <w:rPr>
                <w:rFonts w:cs="Arial"/>
                <w:b/>
                <w:bCs/>
              </w:rPr>
              <w:t>or recommencing</w:t>
            </w:r>
            <w:r>
              <w:rPr>
                <w:rFonts w:cs="Arial"/>
                <w:bCs/>
              </w:rPr>
              <w:t xml:space="preserve"> ORT </w:t>
            </w:r>
            <w:r w:rsidRPr="00334323">
              <w:rPr>
                <w:rFonts w:cs="Arial"/>
                <w:bCs/>
              </w:rPr>
              <w:t>with a methadone dose that exceeds 40 mg daily</w:t>
            </w:r>
            <w:r>
              <w:rPr>
                <w:rFonts w:cs="Arial"/>
                <w:bCs/>
              </w:rPr>
              <w:t>?</w:t>
            </w:r>
            <w:r w:rsidR="00334323">
              <w:rPr>
                <w:rFonts w:cs="Arial"/>
                <w:bCs/>
              </w:rPr>
              <w:t xml:space="preserve"> </w:t>
            </w:r>
            <w:r w:rsidR="00334323" w:rsidRPr="00334323">
              <w:rPr>
                <w:rFonts w:cs="Arial"/>
                <w:b/>
                <w:bCs/>
              </w:rPr>
              <w:t>Note</w:t>
            </w:r>
            <w:r w:rsidR="00334323">
              <w:rPr>
                <w:rFonts w:cs="Arial"/>
                <w:bCs/>
              </w:rPr>
              <w:t>: This includes when a patient resumes</w:t>
            </w:r>
            <w:r w:rsidR="00334323" w:rsidRPr="00334323">
              <w:rPr>
                <w:rFonts w:cs="Arial"/>
                <w:bCs/>
              </w:rPr>
              <w:t xml:space="preserve"> after missing 4 consecutive doses</w:t>
            </w:r>
            <w:r w:rsidR="00334323">
              <w:rPr>
                <w:rFonts w:cs="Arial"/>
                <w:bCs/>
              </w:rPr>
              <w:t>.</w:t>
            </w:r>
          </w:p>
        </w:tc>
        <w:tc>
          <w:tcPr>
            <w:tcW w:w="850" w:type="pct"/>
            <w:gridSpan w:val="2"/>
            <w:tcBorders>
              <w:top w:val="single" w:sz="12" w:space="0" w:color="808080"/>
              <w:left w:val="single" w:sz="6" w:space="0" w:color="C0C0C0"/>
              <w:bottom w:val="single" w:sz="6" w:space="0" w:color="808080"/>
              <w:right w:val="single" w:sz="12" w:space="0" w:color="808080"/>
            </w:tcBorders>
          </w:tcPr>
          <w:p w14:paraId="3F816619"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bl>
    <w:p w14:paraId="6524839D" w14:textId="77777777" w:rsidR="008F4B01" w:rsidRPr="00C400EA" w:rsidRDefault="008F4B01" w:rsidP="00D7793F">
      <w:pPr>
        <w:pStyle w:val="Heading3"/>
        <w:rPr>
          <w:lang w:val="it-IT"/>
        </w:rPr>
      </w:pPr>
      <w:r w:rsidRPr="003A2ED1">
        <w:rPr>
          <w:lang w:val="it-IT"/>
        </w:rPr>
        <w:t xml:space="preserve">New </w:t>
      </w:r>
      <w:r>
        <w:rPr>
          <w:lang w:val="it-IT"/>
        </w:rPr>
        <w:t>OR</w:t>
      </w:r>
      <w:r w:rsidRPr="00C400EA">
        <w:rPr>
          <w:lang w:val="it-IT"/>
        </w:rPr>
        <w:t xml:space="preserve"> returning patients </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39C5420E" w14:textId="77777777" w:rsidTr="0029613B">
        <w:tc>
          <w:tcPr>
            <w:tcW w:w="5000" w:type="pct"/>
            <w:gridSpan w:val="2"/>
            <w:tcBorders>
              <w:bottom w:val="single" w:sz="12" w:space="0" w:color="008000"/>
            </w:tcBorders>
            <w:shd w:val="clear" w:color="auto" w:fill="D9D9D9" w:themeFill="background1" w:themeFillShade="D9"/>
          </w:tcPr>
          <w:p w14:paraId="44D9FD6B" w14:textId="77777777" w:rsidR="008F4B01" w:rsidRPr="00E626EB" w:rsidRDefault="008F4B01" w:rsidP="008F4B01">
            <w:pPr>
              <w:pStyle w:val="DHHSbody"/>
              <w:rPr>
                <w:rFonts w:cs="Arial"/>
              </w:rPr>
            </w:pPr>
            <w:r w:rsidRPr="00E626EB">
              <w:rPr>
                <w:rFonts w:cs="Arial"/>
              </w:rPr>
              <w:t xml:space="preserve">In addition to the risks associated with a patient commencing treatment with higher doses of methadone, deaths associated with ORT have been attributed to multiple dosing (with or without take-away doses), when patients are transferring between dosing points. Multiple dosing is more likely if there is miscommunication or no communication between the dosing points involved in the transfer. </w:t>
            </w:r>
          </w:p>
          <w:p w14:paraId="79DBD479" w14:textId="77777777" w:rsidR="008F4B01" w:rsidRPr="00E626EB" w:rsidRDefault="008F4B01" w:rsidP="008F4B01">
            <w:pPr>
              <w:pStyle w:val="DHHSbody"/>
              <w:rPr>
                <w:rFonts w:cs="Arial"/>
              </w:rPr>
            </w:pPr>
            <w:r w:rsidRPr="00E626EB">
              <w:rPr>
                <w:rFonts w:cs="Arial"/>
              </w:rPr>
              <w:t xml:space="preserve">Similarly, when a patient returns to a pharmacy after an absence and dosing resumes on the basis of a prescription from a previous (or new) prescriber, the reason for the absence (e.g. hospital treatment, prison term, illicit drug use) might be known to the prescriber, the pharmacy, both or neither. </w:t>
            </w:r>
          </w:p>
          <w:p w14:paraId="017327A9" w14:textId="77777777" w:rsidR="008F4B01" w:rsidRPr="00E626EB" w:rsidRDefault="008F4B01" w:rsidP="008F4B01">
            <w:pPr>
              <w:pStyle w:val="DHHSbody"/>
              <w:rPr>
                <w:rFonts w:cs="Arial"/>
              </w:rPr>
            </w:pPr>
            <w:r w:rsidRPr="00E626EB">
              <w:rPr>
                <w:rFonts w:cs="Arial"/>
              </w:rPr>
              <w:t xml:space="preserve">It is </w:t>
            </w:r>
            <w:r w:rsidRPr="00E626EB">
              <w:rPr>
                <w:rFonts w:cs="Arial"/>
                <w:b/>
              </w:rPr>
              <w:t>not</w:t>
            </w:r>
            <w:r w:rsidRPr="00E626EB">
              <w:rPr>
                <w:rFonts w:cs="Arial"/>
              </w:rPr>
              <w:t xml:space="preserve"> acceptable to make assumptions. To ensure the patient’s safety; precise details of the magnitude and timing of the most recent dose need to be determined and documented before a dose is administered. The possibility of take-away doses and/or an interim prescription, which might have been issued by prison health service provider, should also be considered.</w:t>
            </w:r>
          </w:p>
        </w:tc>
      </w:tr>
      <w:tr w:rsidR="008F4B01" w:rsidRPr="004176DE" w14:paraId="5EE5E4F7"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5F83EDC0" w14:textId="77777777" w:rsidR="008F4B01" w:rsidRPr="004176DE" w:rsidRDefault="008F4B01" w:rsidP="008F4B01">
            <w:pPr>
              <w:pStyle w:val="DHHSbody"/>
              <w:rPr>
                <w:rFonts w:cs="Arial"/>
                <w:bCs/>
              </w:rPr>
            </w:pPr>
            <w:r w:rsidRPr="004176DE">
              <w:rPr>
                <w:rFonts w:cs="Arial"/>
                <w:bCs/>
              </w:rPr>
              <w:t xml:space="preserve">Have all pharmacists been informed that they should </w:t>
            </w:r>
            <w:r w:rsidRPr="00896E59">
              <w:rPr>
                <w:rFonts w:cs="Arial"/>
                <w:b/>
                <w:bCs/>
              </w:rPr>
              <w:t>always</w:t>
            </w:r>
            <w:r w:rsidRPr="004176DE">
              <w:rPr>
                <w:rFonts w:cs="Arial"/>
                <w:bCs/>
              </w:rPr>
              <w:t xml:space="preserve"> communicate with the prescriber </w:t>
            </w:r>
            <w:r w:rsidRPr="004176DE">
              <w:rPr>
                <w:rFonts w:cs="Arial"/>
                <w:b/>
              </w:rPr>
              <w:t xml:space="preserve">(to determine whether a patient is commencing </w:t>
            </w:r>
            <w:r>
              <w:rPr>
                <w:rFonts w:cs="Arial"/>
                <w:b/>
              </w:rPr>
              <w:t xml:space="preserve">(or recommencing) </w:t>
            </w:r>
            <w:r w:rsidRPr="004176DE">
              <w:rPr>
                <w:rFonts w:cs="Arial"/>
                <w:b/>
              </w:rPr>
              <w:t>ORT or transferring from another dosing point)</w:t>
            </w:r>
            <w:r w:rsidRPr="004176DE">
              <w:rPr>
                <w:rFonts w:cs="Arial"/>
                <w:bCs/>
              </w:rPr>
              <w:t xml:space="preserve"> before administering methadone or buprenorphine to a patient who is new to your pharmacy</w:t>
            </w:r>
            <w:r w:rsidR="00381B80">
              <w:rPr>
                <w:rFonts w:cs="Arial"/>
                <w:bCs/>
              </w:rPr>
              <w:t xml:space="preserve"> </w:t>
            </w:r>
            <w:r w:rsidR="00381B80" w:rsidRPr="00381B80">
              <w:rPr>
                <w:rFonts w:cs="Arial"/>
                <w:b/>
                <w:bCs/>
              </w:rPr>
              <w:t>or resuming after an apparent absence</w:t>
            </w:r>
            <w:r w:rsidRPr="004176DE">
              <w:rPr>
                <w:rFonts w:cs="Arial"/>
                <w:bCs/>
              </w:rPr>
              <w:t>?</w:t>
            </w:r>
          </w:p>
        </w:tc>
        <w:tc>
          <w:tcPr>
            <w:tcW w:w="851" w:type="pct"/>
            <w:tcBorders>
              <w:top w:val="single" w:sz="12" w:space="0" w:color="808080"/>
              <w:left w:val="single" w:sz="6" w:space="0" w:color="C0C0C0"/>
              <w:bottom w:val="single" w:sz="6" w:space="0" w:color="808080"/>
              <w:right w:val="single" w:sz="12" w:space="0" w:color="808080"/>
            </w:tcBorders>
          </w:tcPr>
          <w:p w14:paraId="6344BBCF"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r w:rsidR="008F4B01" w:rsidRPr="004176DE" w14:paraId="7517EFD7"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348DBFBB" w14:textId="77777777" w:rsidR="008F4B01" w:rsidRPr="004176DE" w:rsidRDefault="008F4B01" w:rsidP="008F4B01">
            <w:pPr>
              <w:pStyle w:val="DHHSbody"/>
              <w:rPr>
                <w:rFonts w:cs="Arial"/>
                <w:bCs/>
              </w:rPr>
            </w:pPr>
            <w:r w:rsidRPr="004176DE">
              <w:rPr>
                <w:rFonts w:cs="Arial"/>
                <w:bCs/>
              </w:rPr>
              <w:t xml:space="preserve">Have all pharmacists been informed that they should </w:t>
            </w:r>
            <w:r w:rsidRPr="00896E59">
              <w:rPr>
                <w:rFonts w:cs="Arial"/>
                <w:b/>
                <w:bCs/>
              </w:rPr>
              <w:t>always</w:t>
            </w:r>
            <w:r w:rsidRPr="004176DE">
              <w:rPr>
                <w:rFonts w:cs="Arial"/>
                <w:bCs/>
              </w:rPr>
              <w:t xml:space="preserve"> communicate with the previous dosing point </w:t>
            </w:r>
            <w:r w:rsidRPr="004176DE">
              <w:rPr>
                <w:rFonts w:cs="Arial"/>
                <w:b/>
              </w:rPr>
              <w:t>(to determine precisely when the previous dose was given</w:t>
            </w:r>
            <w:r>
              <w:rPr>
                <w:rFonts w:cs="Arial"/>
                <w:b/>
              </w:rPr>
              <w:t>;</w:t>
            </w:r>
            <w:r w:rsidRPr="004176DE">
              <w:rPr>
                <w:rFonts w:cs="Arial"/>
                <w:b/>
              </w:rPr>
              <w:t xml:space="preserve"> the magnitude of the actual dose</w:t>
            </w:r>
            <w:r>
              <w:rPr>
                <w:rFonts w:cs="Arial"/>
                <w:b/>
              </w:rPr>
              <w:t>; and whether any take-away doses were supplied</w:t>
            </w:r>
            <w:r w:rsidRPr="004176DE">
              <w:rPr>
                <w:rFonts w:cs="Arial"/>
                <w:b/>
              </w:rPr>
              <w:t>)</w:t>
            </w:r>
            <w:r w:rsidRPr="004176DE">
              <w:rPr>
                <w:rFonts w:cs="Arial"/>
                <w:bCs/>
              </w:rPr>
              <w:t xml:space="preserve"> before administering methadone or buprenorphine to a patient who is transferring to your pharmacy?</w:t>
            </w:r>
          </w:p>
        </w:tc>
        <w:tc>
          <w:tcPr>
            <w:tcW w:w="851" w:type="pct"/>
            <w:tcBorders>
              <w:top w:val="single" w:sz="12" w:space="0" w:color="808080"/>
              <w:left w:val="single" w:sz="6" w:space="0" w:color="C0C0C0"/>
              <w:bottom w:val="single" w:sz="6" w:space="0" w:color="808080"/>
              <w:right w:val="single" w:sz="12" w:space="0" w:color="808080"/>
            </w:tcBorders>
          </w:tcPr>
          <w:p w14:paraId="3D014745"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bl>
    <w:p w14:paraId="3258F9C7" w14:textId="77777777" w:rsidR="008F4B01" w:rsidRDefault="008F4B01" w:rsidP="008F4B01">
      <w:pPr>
        <w:pStyle w:val="DHHSbody"/>
        <w:rPr>
          <w:rFonts w:cs="Arial"/>
          <w:b/>
          <w:bCs/>
          <w:sz w:val="24"/>
          <w:szCs w:val="24"/>
        </w:rPr>
      </w:pPr>
    </w:p>
    <w:p w14:paraId="1A7305B6" w14:textId="77777777" w:rsidR="008F4B01" w:rsidRPr="00C400EA" w:rsidRDefault="008F4B01" w:rsidP="00D7793F">
      <w:pPr>
        <w:pStyle w:val="Heading3"/>
      </w:pPr>
      <w:r w:rsidRPr="00C400EA">
        <w:lastRenderedPageBreak/>
        <w:t>Prescriptions from prescribers in another state or territory</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7C3AC70C" w14:textId="77777777" w:rsidTr="0029613B">
        <w:tc>
          <w:tcPr>
            <w:tcW w:w="5000" w:type="pct"/>
            <w:gridSpan w:val="2"/>
            <w:tcBorders>
              <w:bottom w:val="single" w:sz="12" w:space="0" w:color="008000"/>
            </w:tcBorders>
            <w:shd w:val="clear" w:color="auto" w:fill="D9D9D9" w:themeFill="background1" w:themeFillShade="D9"/>
          </w:tcPr>
          <w:p w14:paraId="49AED65B" w14:textId="77777777" w:rsidR="008F4B01" w:rsidRPr="003D544B" w:rsidRDefault="008F4B01" w:rsidP="008F4B01">
            <w:pPr>
              <w:pStyle w:val="DHHSbody"/>
              <w:rPr>
                <w:rFonts w:cs="Arial"/>
              </w:rPr>
            </w:pPr>
            <w:r w:rsidRPr="003D544B">
              <w:rPr>
                <w:rFonts w:cs="Arial"/>
              </w:rPr>
              <w:t>Victorian legislation requires prescribers in Victoria to obtain permits before prescribing ORT but it has no jurisdiction over prescribers in other states or territories, whose prescriptions may still be valid in Victoria.</w:t>
            </w:r>
          </w:p>
          <w:p w14:paraId="53624696" w14:textId="03B287B1" w:rsidR="008F4B01" w:rsidRPr="003D544B" w:rsidRDefault="008F4B01" w:rsidP="00050BC7">
            <w:pPr>
              <w:pStyle w:val="DHHSbody"/>
              <w:rPr>
                <w:rFonts w:cs="Arial"/>
              </w:rPr>
            </w:pPr>
            <w:r w:rsidRPr="003D544B">
              <w:rPr>
                <w:rFonts w:cs="Arial"/>
              </w:rPr>
              <w:t xml:space="preserve">To prevent the possibility of a concurrent Schedule 8 treatment permit being issued to a Victorian prescriber, a pharmacist, who undertakes to provide ORT to a patient on the basis of a prescription issued in another jurisdiction, should notify </w:t>
            </w:r>
            <w:r w:rsidR="00050BC7" w:rsidRPr="003D544B">
              <w:rPr>
                <w:rFonts w:cs="Arial"/>
              </w:rPr>
              <w:t>MPR</w:t>
            </w:r>
            <w:r w:rsidRPr="003D544B">
              <w:rPr>
                <w:rFonts w:cs="Arial"/>
              </w:rPr>
              <w:t xml:space="preserve"> using the form “</w:t>
            </w:r>
            <w:r w:rsidRPr="003D544B">
              <w:rPr>
                <w:rFonts w:cs="Arial"/>
                <w:i/>
              </w:rPr>
              <w:t>Notification of a temporary interstate transfer of a patient on opioid-replacement therapy (ORT) to a Victorian pharmacy</w:t>
            </w:r>
            <w:r w:rsidRPr="003D544B">
              <w:rPr>
                <w:rFonts w:cs="Arial"/>
              </w:rPr>
              <w:t xml:space="preserve">”, which may be downloaded from the </w:t>
            </w:r>
            <w:r w:rsidR="00050BC7" w:rsidRPr="003D544B">
              <w:rPr>
                <w:rFonts w:cs="Arial"/>
              </w:rPr>
              <w:t>MPR</w:t>
            </w:r>
            <w:r w:rsidRPr="003D544B">
              <w:rPr>
                <w:rFonts w:cs="Arial"/>
              </w:rPr>
              <w:t xml:space="preserve"> website at: </w:t>
            </w:r>
            <w:r w:rsidR="009C1A4E" w:rsidRPr="009C1A4E">
              <w:t>https://www.health.vic.gov.au/drugs-and-poisons/pharmacotherapy-transfers-into-victoria</w:t>
            </w:r>
            <w:r w:rsidRPr="003D544B">
              <w:rPr>
                <w:rFonts w:cs="Arial"/>
              </w:rPr>
              <w:t>.</w:t>
            </w:r>
          </w:p>
        </w:tc>
      </w:tr>
      <w:tr w:rsidR="008F4B01" w:rsidRPr="004176DE" w14:paraId="22FF0BFB"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75F32066" w14:textId="77777777" w:rsidR="008F4B01" w:rsidRPr="004176DE" w:rsidRDefault="008F4B01" w:rsidP="00050BC7">
            <w:pPr>
              <w:pStyle w:val="DHHSbody"/>
              <w:rPr>
                <w:rFonts w:cs="Arial"/>
                <w:bCs/>
              </w:rPr>
            </w:pPr>
            <w:r w:rsidRPr="004176DE">
              <w:rPr>
                <w:rFonts w:cs="Arial"/>
                <w:bCs/>
              </w:rPr>
              <w:t xml:space="preserve">Have all pharmacists been informed of the need to </w:t>
            </w:r>
            <w:r w:rsidRPr="004176DE">
              <w:rPr>
                <w:rFonts w:cs="Arial"/>
              </w:rPr>
              <w:t xml:space="preserve">provide relevant details of the patient and the prescriber to </w:t>
            </w:r>
            <w:r w:rsidR="00050BC7">
              <w:rPr>
                <w:rFonts w:cs="Arial"/>
              </w:rPr>
              <w:t>MPR</w:t>
            </w:r>
            <w:r w:rsidRPr="004176DE">
              <w:rPr>
                <w:rFonts w:cs="Arial"/>
                <w:bCs/>
              </w:rPr>
              <w:t xml:space="preserve"> when they undertake to provide ORT on the basis </w:t>
            </w:r>
            <w:r w:rsidRPr="004176DE">
              <w:rPr>
                <w:rFonts w:cs="Arial"/>
              </w:rPr>
              <w:t>of a prescription issued in another jurisdiction?</w:t>
            </w:r>
          </w:p>
        </w:tc>
        <w:tc>
          <w:tcPr>
            <w:tcW w:w="851" w:type="pct"/>
            <w:tcBorders>
              <w:top w:val="single" w:sz="12" w:space="0" w:color="808080"/>
              <w:left w:val="single" w:sz="6" w:space="0" w:color="C0C0C0"/>
              <w:bottom w:val="single" w:sz="6" w:space="0" w:color="808080"/>
              <w:right w:val="single" w:sz="12" w:space="0" w:color="808080"/>
            </w:tcBorders>
          </w:tcPr>
          <w:p w14:paraId="0B2EF1CD"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bl>
    <w:p w14:paraId="2D7B731A" w14:textId="77777777" w:rsidR="008F4B01" w:rsidRPr="00C400EA" w:rsidRDefault="008F4B01" w:rsidP="007015C5">
      <w:pPr>
        <w:pStyle w:val="Heading2"/>
        <w:rPr>
          <w:lang w:val="it-IT"/>
        </w:rPr>
      </w:pPr>
      <w:r w:rsidRPr="00C400EA">
        <w:rPr>
          <w:lang w:val="it-IT"/>
        </w:rPr>
        <w:t>Patient attendance records</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10188"/>
      </w:tblGrid>
      <w:tr w:rsidR="008F4B01" w:rsidRPr="004176DE" w14:paraId="11A683DA" w14:textId="77777777" w:rsidTr="0029613B">
        <w:tc>
          <w:tcPr>
            <w:tcW w:w="5000" w:type="pct"/>
            <w:tcBorders>
              <w:bottom w:val="single" w:sz="12" w:space="0" w:color="008000"/>
            </w:tcBorders>
            <w:shd w:val="clear" w:color="auto" w:fill="D9D9D9" w:themeFill="background1" w:themeFillShade="D9"/>
          </w:tcPr>
          <w:p w14:paraId="73FB7AE4" w14:textId="77777777" w:rsidR="008F4B01" w:rsidRPr="004176DE" w:rsidRDefault="008F4B01" w:rsidP="008F4B01">
            <w:pPr>
              <w:pStyle w:val="DHHSbody"/>
              <w:rPr>
                <w:rFonts w:cs="Arial"/>
              </w:rPr>
            </w:pPr>
            <w:r w:rsidRPr="004176DE">
              <w:rPr>
                <w:rFonts w:cs="Arial"/>
              </w:rPr>
              <w:t>Attendance records are required to ensure that a patient cannot receive multiple doses on the same day and to assist pharmacists in reviewing a patient’s regularity of attendance.</w:t>
            </w:r>
          </w:p>
        </w:tc>
      </w:tr>
      <w:tr w:rsidR="008F4B01" w:rsidRPr="004176DE" w14:paraId="3FE103F2" w14:textId="77777777" w:rsidTr="0029613B">
        <w:tblPrEx>
          <w:tblBorders>
            <w:top w:val="single" w:sz="6" w:space="0" w:color="000000"/>
            <w:left w:val="single" w:sz="12" w:space="0" w:color="000000"/>
            <w:bottom w:val="single" w:sz="6" w:space="0" w:color="000000"/>
            <w:right w:val="single" w:sz="12" w:space="0" w:color="000000"/>
            <w:insideH w:val="none" w:sz="0" w:space="0" w:color="auto"/>
            <w:insideV w:val="single" w:sz="6" w:space="0" w:color="000000"/>
          </w:tblBorders>
          <w:tblLook w:val="0000" w:firstRow="0" w:lastRow="0" w:firstColumn="0" w:lastColumn="0" w:noHBand="0" w:noVBand="0"/>
        </w:tblPrEx>
        <w:tc>
          <w:tcPr>
            <w:tcW w:w="5000" w:type="pct"/>
            <w:tcBorders>
              <w:top w:val="single" w:sz="6" w:space="0" w:color="000000"/>
              <w:left w:val="single" w:sz="12" w:space="0" w:color="000000"/>
              <w:bottom w:val="nil"/>
              <w:right w:val="single" w:sz="12" w:space="0" w:color="000000"/>
            </w:tcBorders>
            <w:shd w:val="clear" w:color="auto" w:fill="D9D9D9" w:themeFill="background1" w:themeFillShade="D9"/>
          </w:tcPr>
          <w:p w14:paraId="3C1D01F6" w14:textId="77777777" w:rsidR="008F4B01" w:rsidRPr="004176DE" w:rsidRDefault="008F4B01" w:rsidP="008F4B01">
            <w:pPr>
              <w:pStyle w:val="DHHSbody"/>
              <w:rPr>
                <w:rFonts w:cs="Arial"/>
              </w:rPr>
            </w:pPr>
            <w:r w:rsidRPr="004176DE">
              <w:rPr>
                <w:rFonts w:cs="Arial"/>
              </w:rPr>
              <w:t xml:space="preserve">Commonly accepted examples: </w:t>
            </w:r>
          </w:p>
        </w:tc>
      </w:tr>
      <w:tr w:rsidR="008F4B01" w:rsidRPr="004176DE" w14:paraId="4E5367A0" w14:textId="77777777" w:rsidTr="008F4B01">
        <w:tblPrEx>
          <w:tblBorders>
            <w:top w:val="single" w:sz="6" w:space="0" w:color="000000"/>
            <w:left w:val="single" w:sz="12" w:space="0" w:color="000000"/>
            <w:bottom w:val="single" w:sz="6" w:space="0" w:color="000000"/>
            <w:right w:val="single" w:sz="12" w:space="0" w:color="000000"/>
            <w:insideH w:val="none" w:sz="0" w:space="0" w:color="auto"/>
            <w:insideV w:val="single" w:sz="6" w:space="0" w:color="000000"/>
          </w:tblBorders>
          <w:tblLook w:val="0000" w:firstRow="0" w:lastRow="0" w:firstColumn="0" w:lastColumn="0" w:noHBand="0" w:noVBand="0"/>
        </w:tblPrEx>
        <w:tc>
          <w:tcPr>
            <w:tcW w:w="5000" w:type="pct"/>
            <w:tcBorders>
              <w:top w:val="nil"/>
              <w:left w:val="single" w:sz="12" w:space="0" w:color="000000"/>
              <w:bottom w:val="single" w:sz="6" w:space="0" w:color="000000"/>
              <w:right w:val="single" w:sz="12" w:space="0" w:color="000000"/>
            </w:tcBorders>
          </w:tcPr>
          <w:p w14:paraId="366142FE" w14:textId="77777777" w:rsidR="008F4B01" w:rsidRPr="004176DE" w:rsidRDefault="008F4B01" w:rsidP="008F4B01">
            <w:pPr>
              <w:pStyle w:val="DHHSbody"/>
              <w:numPr>
                <w:ilvl w:val="0"/>
                <w:numId w:val="22"/>
              </w:numPr>
              <w:rPr>
                <w:rFonts w:cs="Arial"/>
              </w:rPr>
            </w:pPr>
            <w:r w:rsidRPr="004176DE">
              <w:rPr>
                <w:rFonts w:cs="Arial"/>
              </w:rPr>
              <w:t>Patients are required to sign for each dose in a designated exercise book.</w:t>
            </w:r>
          </w:p>
          <w:p w14:paraId="4C53C936" w14:textId="77777777" w:rsidR="008F4B01" w:rsidRPr="004176DE" w:rsidRDefault="008F4B01" w:rsidP="008F4B01">
            <w:pPr>
              <w:pStyle w:val="DHHSbody"/>
              <w:numPr>
                <w:ilvl w:val="0"/>
                <w:numId w:val="22"/>
              </w:numPr>
              <w:rPr>
                <w:rFonts w:cs="Arial"/>
              </w:rPr>
            </w:pPr>
            <w:r w:rsidRPr="004176DE">
              <w:rPr>
                <w:rFonts w:cs="Arial"/>
              </w:rPr>
              <w:t>Patients are required to sign for each dose on loose-leaf pages in a designated binder.</w:t>
            </w:r>
          </w:p>
          <w:p w14:paraId="455B0CA3" w14:textId="77777777" w:rsidR="008F4B01" w:rsidRPr="004176DE" w:rsidRDefault="008F4B01" w:rsidP="008F4B01">
            <w:pPr>
              <w:pStyle w:val="DHHSbody"/>
              <w:numPr>
                <w:ilvl w:val="0"/>
                <w:numId w:val="22"/>
              </w:numPr>
              <w:rPr>
                <w:rFonts w:cs="Arial"/>
              </w:rPr>
            </w:pPr>
            <w:r w:rsidRPr="004176DE">
              <w:rPr>
                <w:rFonts w:cs="Arial"/>
              </w:rPr>
              <w:t>Patients are required to sign for each dose on loose-leaf pages that are kept in designated drop folders.</w:t>
            </w:r>
          </w:p>
          <w:p w14:paraId="510091E5" w14:textId="77777777" w:rsidR="008F4B01" w:rsidRPr="004176DE" w:rsidRDefault="008F4B01" w:rsidP="008F4B01">
            <w:pPr>
              <w:pStyle w:val="DHHSbody"/>
              <w:numPr>
                <w:ilvl w:val="0"/>
                <w:numId w:val="22"/>
              </w:numPr>
              <w:rPr>
                <w:rFonts w:cs="Arial"/>
              </w:rPr>
            </w:pPr>
            <w:r w:rsidRPr="004176DE">
              <w:rPr>
                <w:rFonts w:cs="Arial"/>
              </w:rPr>
              <w:t>Patients’ signatures or attendances are recorded electronically using computer software.</w:t>
            </w:r>
          </w:p>
          <w:p w14:paraId="1DE9DF60" w14:textId="77777777" w:rsidR="008F4B01" w:rsidRPr="004176DE" w:rsidRDefault="008F4B01" w:rsidP="008F4B01">
            <w:pPr>
              <w:pStyle w:val="DHHSbody"/>
              <w:rPr>
                <w:rFonts w:cs="Arial"/>
              </w:rPr>
            </w:pPr>
            <w:r w:rsidRPr="004176DE">
              <w:rPr>
                <w:rFonts w:cs="Arial"/>
                <w:b/>
              </w:rPr>
              <w:t>NOTE</w:t>
            </w:r>
            <w:r w:rsidRPr="004176DE">
              <w:rPr>
                <w:rFonts w:cs="Arial"/>
              </w:rPr>
              <w:t xml:space="preserve">:  </w:t>
            </w:r>
          </w:p>
          <w:p w14:paraId="302B2FE8" w14:textId="77777777" w:rsidR="008F4B01" w:rsidRPr="004176DE" w:rsidRDefault="008F4B01" w:rsidP="008F4B01">
            <w:pPr>
              <w:pStyle w:val="DHHSbody"/>
              <w:numPr>
                <w:ilvl w:val="0"/>
                <w:numId w:val="23"/>
              </w:numPr>
              <w:rPr>
                <w:rFonts w:cs="Arial"/>
              </w:rPr>
            </w:pPr>
            <w:r w:rsidRPr="004176DE">
              <w:rPr>
                <w:rFonts w:cs="Arial"/>
              </w:rPr>
              <w:t xml:space="preserve">The administering pharmacist </w:t>
            </w:r>
            <w:r w:rsidR="00381B80" w:rsidRPr="00381B80">
              <w:rPr>
                <w:rFonts w:cs="Arial"/>
                <w:b/>
                <w:color w:val="FF0000"/>
              </w:rPr>
              <w:t>MUST</w:t>
            </w:r>
            <w:r w:rsidR="00381B80" w:rsidRPr="00381B80">
              <w:rPr>
                <w:rFonts w:cs="Arial"/>
                <w:color w:val="FF0000"/>
              </w:rPr>
              <w:t xml:space="preserve"> </w:t>
            </w:r>
            <w:r w:rsidRPr="004176DE">
              <w:rPr>
                <w:rFonts w:cs="Arial"/>
              </w:rPr>
              <w:t>be identified on each occasion – unless he/she is identified in the pharmacy’s Administration Records (see below).</w:t>
            </w:r>
          </w:p>
          <w:p w14:paraId="03D99C72" w14:textId="77777777" w:rsidR="008F4B01" w:rsidRPr="004176DE" w:rsidRDefault="008F4B01" w:rsidP="008F4B01">
            <w:pPr>
              <w:pStyle w:val="DHHSbody"/>
              <w:numPr>
                <w:ilvl w:val="0"/>
                <w:numId w:val="23"/>
              </w:numPr>
              <w:rPr>
                <w:rFonts w:cs="Arial"/>
              </w:rPr>
            </w:pPr>
            <w:r w:rsidRPr="004176DE">
              <w:rPr>
                <w:rFonts w:cs="Arial"/>
              </w:rPr>
              <w:t xml:space="preserve">If the administering pharmacist is identified in the attendance records, rather than in </w:t>
            </w:r>
            <w:r>
              <w:rPr>
                <w:rFonts w:cs="Arial"/>
              </w:rPr>
              <w:t>the pharmacy’s administration r</w:t>
            </w:r>
            <w:r w:rsidRPr="004176DE">
              <w:rPr>
                <w:rFonts w:cs="Arial"/>
              </w:rPr>
              <w:t xml:space="preserve">ecords, the attendance records </w:t>
            </w:r>
            <w:r w:rsidR="00381B80" w:rsidRPr="00381B80">
              <w:rPr>
                <w:rFonts w:cs="Arial"/>
                <w:b/>
                <w:color w:val="FF0000"/>
              </w:rPr>
              <w:t>MUST</w:t>
            </w:r>
            <w:r w:rsidR="00381B80" w:rsidRPr="00381B80">
              <w:rPr>
                <w:rFonts w:cs="Arial"/>
                <w:color w:val="FF0000"/>
              </w:rPr>
              <w:t xml:space="preserve"> </w:t>
            </w:r>
            <w:r w:rsidRPr="004176DE">
              <w:rPr>
                <w:rFonts w:cs="Arial"/>
              </w:rPr>
              <w:t>be retained for three years.</w:t>
            </w:r>
          </w:p>
        </w:tc>
      </w:tr>
    </w:tbl>
    <w:p w14:paraId="70BB5763" w14:textId="77777777" w:rsidR="008F4B01" w:rsidRPr="00C400EA" w:rsidRDefault="008F4B01" w:rsidP="007015C5">
      <w:pPr>
        <w:pStyle w:val="Heading2"/>
        <w:rPr>
          <w:lang w:val="it-IT"/>
        </w:rPr>
      </w:pPr>
      <w:r w:rsidRPr="00C400EA">
        <w:rPr>
          <w:lang w:val="it-IT"/>
        </w:rPr>
        <w:t>Dose administration records</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10188"/>
      </w:tblGrid>
      <w:tr w:rsidR="008F4B01" w:rsidRPr="004176DE" w14:paraId="5149302A" w14:textId="77777777" w:rsidTr="0029613B">
        <w:tc>
          <w:tcPr>
            <w:tcW w:w="5000" w:type="pct"/>
            <w:tcBorders>
              <w:bottom w:val="single" w:sz="12" w:space="0" w:color="008000"/>
            </w:tcBorders>
            <w:shd w:val="clear" w:color="auto" w:fill="D9D9D9" w:themeFill="background1" w:themeFillShade="D9"/>
          </w:tcPr>
          <w:p w14:paraId="5E14713E" w14:textId="77777777" w:rsidR="008F4B01" w:rsidRPr="009F6D96" w:rsidRDefault="008F4B01" w:rsidP="008F4B01">
            <w:pPr>
              <w:pStyle w:val="DHHSbody"/>
              <w:rPr>
                <w:rFonts w:cs="Arial"/>
              </w:rPr>
            </w:pPr>
            <w:r w:rsidRPr="009F6D96">
              <w:rPr>
                <w:rFonts w:cs="Arial"/>
              </w:rPr>
              <w:t xml:space="preserve">A pharmacist </w:t>
            </w:r>
            <w:r w:rsidR="00381B80" w:rsidRPr="00381B80">
              <w:rPr>
                <w:rFonts w:cs="Arial"/>
                <w:b/>
                <w:color w:val="FF0000"/>
              </w:rPr>
              <w:t>MUST</w:t>
            </w:r>
            <w:r w:rsidR="00381B80" w:rsidRPr="00381B80">
              <w:rPr>
                <w:rFonts w:cs="Arial"/>
                <w:color w:val="FF0000"/>
              </w:rPr>
              <w:t xml:space="preserve"> </w:t>
            </w:r>
            <w:r w:rsidRPr="009F6D96">
              <w:rPr>
                <w:rFonts w:cs="Arial"/>
              </w:rPr>
              <w:t xml:space="preserve">make a true and accurate record of all transactions, including the administration or supply of ORT. Suggested formats are contained in </w:t>
            </w:r>
            <w:r w:rsidRPr="000D1E72">
              <w:rPr>
                <w:rFonts w:cs="Arial"/>
              </w:rPr>
              <w:t>Appendices 8 to 12 of the Policy</w:t>
            </w:r>
          </w:p>
        </w:tc>
      </w:tr>
      <w:tr w:rsidR="008F4B01" w:rsidRPr="004176DE" w14:paraId="72BA59A4" w14:textId="77777777" w:rsidTr="0029613B">
        <w:tblPrEx>
          <w:tblBorders>
            <w:top w:val="single" w:sz="6" w:space="0" w:color="000000"/>
            <w:left w:val="single" w:sz="12" w:space="0" w:color="000000"/>
            <w:bottom w:val="single" w:sz="6" w:space="0" w:color="000000"/>
            <w:right w:val="single" w:sz="12" w:space="0" w:color="000000"/>
            <w:insideH w:val="none" w:sz="0" w:space="0" w:color="auto"/>
            <w:insideV w:val="single" w:sz="6" w:space="0" w:color="000000"/>
          </w:tblBorders>
          <w:tblLook w:val="0000" w:firstRow="0" w:lastRow="0" w:firstColumn="0" w:lastColumn="0" w:noHBand="0" w:noVBand="0"/>
        </w:tblPrEx>
        <w:tc>
          <w:tcPr>
            <w:tcW w:w="5000" w:type="pct"/>
            <w:tcBorders>
              <w:top w:val="single" w:sz="6" w:space="0" w:color="000000"/>
              <w:left w:val="single" w:sz="12" w:space="0" w:color="000000"/>
              <w:bottom w:val="nil"/>
              <w:right w:val="single" w:sz="12" w:space="0" w:color="000000"/>
            </w:tcBorders>
            <w:shd w:val="clear" w:color="auto" w:fill="D9D9D9" w:themeFill="background1" w:themeFillShade="D9"/>
          </w:tcPr>
          <w:p w14:paraId="7FC99086" w14:textId="77777777" w:rsidR="008F4B01" w:rsidRPr="004176DE" w:rsidRDefault="008F4B01" w:rsidP="008F4B01">
            <w:pPr>
              <w:pStyle w:val="DHHSbody"/>
              <w:rPr>
                <w:rFonts w:cs="Arial"/>
              </w:rPr>
            </w:pPr>
            <w:r w:rsidRPr="004176DE">
              <w:rPr>
                <w:rFonts w:cs="Arial"/>
              </w:rPr>
              <w:t xml:space="preserve">Commonly accepted examples: </w:t>
            </w:r>
          </w:p>
        </w:tc>
      </w:tr>
      <w:tr w:rsidR="008F4B01" w:rsidRPr="004176DE" w14:paraId="3A48BA0F" w14:textId="77777777" w:rsidTr="008F4B01">
        <w:tblPrEx>
          <w:tblBorders>
            <w:top w:val="single" w:sz="6" w:space="0" w:color="000000"/>
            <w:left w:val="single" w:sz="12" w:space="0" w:color="000000"/>
            <w:bottom w:val="single" w:sz="6" w:space="0" w:color="000000"/>
            <w:right w:val="single" w:sz="12" w:space="0" w:color="000000"/>
            <w:insideH w:val="none" w:sz="0" w:space="0" w:color="auto"/>
            <w:insideV w:val="single" w:sz="6" w:space="0" w:color="000000"/>
          </w:tblBorders>
          <w:tblLook w:val="0000" w:firstRow="0" w:lastRow="0" w:firstColumn="0" w:lastColumn="0" w:noHBand="0" w:noVBand="0"/>
        </w:tblPrEx>
        <w:tc>
          <w:tcPr>
            <w:tcW w:w="5000" w:type="pct"/>
            <w:tcBorders>
              <w:top w:val="nil"/>
              <w:left w:val="single" w:sz="12" w:space="0" w:color="000000"/>
              <w:bottom w:val="single" w:sz="6" w:space="0" w:color="000000"/>
              <w:right w:val="single" w:sz="12" w:space="0" w:color="000000"/>
            </w:tcBorders>
          </w:tcPr>
          <w:p w14:paraId="720DD73F" w14:textId="77777777" w:rsidR="008F4B01" w:rsidRPr="004176DE" w:rsidRDefault="008F4B01" w:rsidP="008F4B01">
            <w:pPr>
              <w:pStyle w:val="DHHSbody"/>
              <w:numPr>
                <w:ilvl w:val="0"/>
                <w:numId w:val="22"/>
              </w:numPr>
              <w:rPr>
                <w:rFonts w:cs="Arial"/>
              </w:rPr>
            </w:pPr>
            <w:r w:rsidRPr="004176DE">
              <w:rPr>
                <w:rFonts w:cs="Arial"/>
              </w:rPr>
              <w:t>Manual records on computer-generated day sheets</w:t>
            </w:r>
          </w:p>
          <w:p w14:paraId="180770AB" w14:textId="77777777" w:rsidR="008F4B01" w:rsidRPr="004176DE" w:rsidRDefault="008F4B01" w:rsidP="008F4B01">
            <w:pPr>
              <w:pStyle w:val="DHHSbody"/>
              <w:numPr>
                <w:ilvl w:val="0"/>
                <w:numId w:val="22"/>
              </w:numPr>
              <w:rPr>
                <w:rFonts w:cs="Arial"/>
              </w:rPr>
            </w:pPr>
            <w:r w:rsidRPr="004176DE">
              <w:rPr>
                <w:rFonts w:cs="Arial"/>
              </w:rPr>
              <w:t>Computer spread sheet</w:t>
            </w:r>
          </w:p>
          <w:p w14:paraId="707A0F6F" w14:textId="77777777" w:rsidR="008F4B01" w:rsidRPr="004176DE" w:rsidRDefault="008F4B01" w:rsidP="008F4B01">
            <w:pPr>
              <w:pStyle w:val="DHHSbody"/>
              <w:numPr>
                <w:ilvl w:val="0"/>
                <w:numId w:val="22"/>
              </w:numPr>
              <w:rPr>
                <w:rFonts w:cs="Arial"/>
              </w:rPr>
            </w:pPr>
            <w:r w:rsidRPr="004176DE">
              <w:rPr>
                <w:rFonts w:cs="Arial"/>
              </w:rPr>
              <w:t>Commercially developed computer software</w:t>
            </w:r>
          </w:p>
          <w:p w14:paraId="15AF01D3" w14:textId="77777777" w:rsidR="008F4B01" w:rsidRPr="004176DE" w:rsidRDefault="008F4B01" w:rsidP="008F4B01">
            <w:pPr>
              <w:pStyle w:val="DHHSbody"/>
              <w:numPr>
                <w:ilvl w:val="0"/>
                <w:numId w:val="22"/>
              </w:numPr>
              <w:rPr>
                <w:rFonts w:cs="Arial"/>
              </w:rPr>
            </w:pPr>
            <w:r w:rsidRPr="004176DE">
              <w:rPr>
                <w:rFonts w:cs="Arial"/>
              </w:rPr>
              <w:t>Manual records in a bound book with consecutively numbered pages</w:t>
            </w:r>
          </w:p>
          <w:p w14:paraId="75E5AFB9" w14:textId="77777777" w:rsidR="008F4B01" w:rsidRPr="004176DE" w:rsidRDefault="008F4B01" w:rsidP="008F4B01">
            <w:pPr>
              <w:pStyle w:val="DHHSbody"/>
              <w:numPr>
                <w:ilvl w:val="0"/>
                <w:numId w:val="22"/>
              </w:numPr>
              <w:rPr>
                <w:rFonts w:cs="Arial"/>
              </w:rPr>
            </w:pPr>
            <w:r>
              <w:rPr>
                <w:rFonts w:cs="Arial"/>
              </w:rPr>
              <w:t>Manual records in a Schedule 8 D</w:t>
            </w:r>
            <w:r w:rsidRPr="004176DE">
              <w:rPr>
                <w:rFonts w:cs="Arial"/>
              </w:rPr>
              <w:t xml:space="preserve">rug </w:t>
            </w:r>
            <w:r>
              <w:rPr>
                <w:rFonts w:cs="Arial"/>
              </w:rPr>
              <w:t>R</w:t>
            </w:r>
            <w:r w:rsidRPr="004176DE">
              <w:rPr>
                <w:rFonts w:cs="Arial"/>
              </w:rPr>
              <w:t>egister (practical only for small numbers of patients)</w:t>
            </w:r>
          </w:p>
          <w:p w14:paraId="079355A1" w14:textId="77777777" w:rsidR="008F4B01" w:rsidRPr="004176DE" w:rsidRDefault="008F4B01" w:rsidP="008F4B01">
            <w:pPr>
              <w:pStyle w:val="DHHSbody"/>
              <w:rPr>
                <w:rFonts w:cs="Arial"/>
              </w:rPr>
            </w:pPr>
          </w:p>
        </w:tc>
      </w:tr>
    </w:tbl>
    <w:p w14:paraId="1316B09C" w14:textId="77777777" w:rsidR="008F4B01" w:rsidRPr="004176DE" w:rsidRDefault="008F4B01" w:rsidP="008F4B01">
      <w:pPr>
        <w:pStyle w:val="DHHSbody"/>
        <w:rPr>
          <w:rFonts w:cs="Arial"/>
        </w:rPr>
      </w:pPr>
    </w:p>
    <w:tbl>
      <w:tblPr>
        <w:tblW w:w="5000" w:type="pct"/>
        <w:tblBorders>
          <w:top w:val="single" w:sz="12" w:space="0" w:color="808080"/>
          <w:left w:val="single" w:sz="12" w:space="0" w:color="808080"/>
          <w:bottom w:val="single" w:sz="12" w:space="0" w:color="808080"/>
          <w:right w:val="single" w:sz="12" w:space="0" w:color="808080"/>
          <w:insideV w:val="single" w:sz="6" w:space="0" w:color="C0C0C0"/>
        </w:tblBorders>
        <w:tblLook w:val="0000" w:firstRow="0" w:lastRow="0" w:firstColumn="0" w:lastColumn="0" w:noHBand="0" w:noVBand="0"/>
      </w:tblPr>
      <w:tblGrid>
        <w:gridCol w:w="8442"/>
        <w:gridCol w:w="1732"/>
      </w:tblGrid>
      <w:tr w:rsidR="008F4B01" w:rsidRPr="004176DE" w14:paraId="7B98A270" w14:textId="77777777" w:rsidTr="0029613B">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68821E5F" w14:textId="77777777" w:rsidR="008F4B01" w:rsidRPr="004176DE" w:rsidRDefault="008F4B01" w:rsidP="008F4B01">
            <w:pPr>
              <w:pStyle w:val="DHHSbody"/>
              <w:rPr>
                <w:rFonts w:cs="Arial"/>
              </w:rPr>
            </w:pPr>
            <w:r w:rsidRPr="004176DE">
              <w:rPr>
                <w:rFonts w:cs="Arial"/>
              </w:rPr>
              <w:lastRenderedPageBreak/>
              <w:t>Is the unit of measurement of methadone (mg or mL) clearly recorded to prevent misinterpretation by pharmacists?</w:t>
            </w:r>
          </w:p>
        </w:tc>
        <w:tc>
          <w:tcPr>
            <w:tcW w:w="851" w:type="pct"/>
            <w:tcBorders>
              <w:top w:val="single" w:sz="12" w:space="0" w:color="808080"/>
              <w:left w:val="single" w:sz="6" w:space="0" w:color="C0C0C0"/>
              <w:bottom w:val="single" w:sz="6" w:space="0" w:color="808080"/>
              <w:right w:val="single" w:sz="12" w:space="0" w:color="808080"/>
            </w:tcBorders>
          </w:tcPr>
          <w:p w14:paraId="62D40A36" w14:textId="77777777" w:rsidR="008F4B01" w:rsidRPr="004176DE" w:rsidRDefault="008F4B01" w:rsidP="008F4B01">
            <w:pPr>
              <w:pStyle w:val="DHHSbody"/>
              <w:rPr>
                <w:rFonts w:cs="Arial"/>
                <w:b/>
              </w:rPr>
            </w:pPr>
            <w:r w:rsidRPr="004176DE">
              <w:rPr>
                <w:rFonts w:cs="Arial"/>
                <w:b/>
              </w:rPr>
              <w:t xml:space="preserve">YES / </w:t>
            </w:r>
            <w:r w:rsidRPr="004176DE">
              <w:rPr>
                <w:rFonts w:cs="Arial"/>
              </w:rPr>
              <w:t>No</w:t>
            </w:r>
          </w:p>
        </w:tc>
      </w:tr>
      <w:tr w:rsidR="008F4B01" w:rsidRPr="004176DE" w14:paraId="0C6EED2F" w14:textId="77777777" w:rsidTr="0029613B">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299CA750" w14:textId="77777777" w:rsidR="008F4B01" w:rsidRPr="004176DE" w:rsidRDefault="008F4B01" w:rsidP="008F4B01">
            <w:pPr>
              <w:pStyle w:val="DHHSbody"/>
              <w:rPr>
                <w:rFonts w:cs="Arial"/>
              </w:rPr>
            </w:pPr>
            <w:r w:rsidRPr="004176DE">
              <w:rPr>
                <w:rFonts w:cs="Arial"/>
              </w:rPr>
              <w:t>Is the supply of take-away doses recorded in a consistent and unambiguous manner that may be readily identified by all pharmacists?</w:t>
            </w:r>
          </w:p>
        </w:tc>
        <w:tc>
          <w:tcPr>
            <w:tcW w:w="851" w:type="pct"/>
            <w:tcBorders>
              <w:top w:val="single" w:sz="12" w:space="0" w:color="808080"/>
              <w:left w:val="single" w:sz="6" w:space="0" w:color="C0C0C0"/>
              <w:bottom w:val="single" w:sz="6" w:space="0" w:color="808080"/>
              <w:right w:val="single" w:sz="12" w:space="0" w:color="808080"/>
            </w:tcBorders>
          </w:tcPr>
          <w:p w14:paraId="79CB6F04" w14:textId="77777777" w:rsidR="008F4B01" w:rsidRPr="004176DE" w:rsidRDefault="008F4B01" w:rsidP="008F4B01">
            <w:pPr>
              <w:pStyle w:val="DHHSbody"/>
              <w:rPr>
                <w:rFonts w:cs="Arial"/>
                <w:b/>
              </w:rPr>
            </w:pPr>
            <w:r w:rsidRPr="004176DE">
              <w:rPr>
                <w:rFonts w:cs="Arial"/>
                <w:b/>
              </w:rPr>
              <w:t xml:space="preserve">YES / </w:t>
            </w:r>
            <w:r w:rsidRPr="004176DE">
              <w:rPr>
                <w:rFonts w:cs="Arial"/>
              </w:rPr>
              <w:t>No</w:t>
            </w:r>
          </w:p>
        </w:tc>
      </w:tr>
      <w:tr w:rsidR="008F4B01" w:rsidRPr="004176DE" w14:paraId="1F562016" w14:textId="77777777" w:rsidTr="0029613B">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168DD9F3" w14:textId="77777777" w:rsidR="008F4B01" w:rsidRPr="004176DE" w:rsidRDefault="008F4B01" w:rsidP="008F4B01">
            <w:pPr>
              <w:pStyle w:val="DHHSbody"/>
              <w:rPr>
                <w:rFonts w:cs="Arial"/>
              </w:rPr>
            </w:pPr>
            <w:r w:rsidRPr="004176DE">
              <w:rPr>
                <w:rFonts w:cs="Arial"/>
              </w:rPr>
              <w:br w:type="page"/>
              <w:t>Are administration records kept in a manner that preserves patient confidentiality and ensure</w:t>
            </w:r>
            <w:r>
              <w:rPr>
                <w:rFonts w:cs="Arial"/>
              </w:rPr>
              <w:t>s</w:t>
            </w:r>
            <w:r w:rsidRPr="004176DE">
              <w:rPr>
                <w:rFonts w:cs="Arial"/>
              </w:rPr>
              <w:t xml:space="preserve"> they may not be viewed by other patients?</w:t>
            </w:r>
          </w:p>
        </w:tc>
        <w:tc>
          <w:tcPr>
            <w:tcW w:w="851" w:type="pct"/>
            <w:tcBorders>
              <w:top w:val="single" w:sz="12" w:space="0" w:color="808080"/>
              <w:left w:val="single" w:sz="6" w:space="0" w:color="C0C0C0"/>
              <w:bottom w:val="single" w:sz="6" w:space="0" w:color="808080"/>
              <w:right w:val="single" w:sz="12" w:space="0" w:color="808080"/>
            </w:tcBorders>
          </w:tcPr>
          <w:p w14:paraId="5AEF09C1" w14:textId="77777777" w:rsidR="008F4B01" w:rsidRPr="004176DE" w:rsidRDefault="008F4B01" w:rsidP="008F4B01">
            <w:pPr>
              <w:pStyle w:val="DHHSbody"/>
              <w:rPr>
                <w:rFonts w:cs="Arial"/>
                <w:b/>
              </w:rPr>
            </w:pPr>
            <w:r w:rsidRPr="004176DE">
              <w:rPr>
                <w:rFonts w:cs="Arial"/>
                <w:b/>
              </w:rPr>
              <w:t xml:space="preserve">YES / </w:t>
            </w:r>
            <w:r w:rsidRPr="004176DE">
              <w:rPr>
                <w:rFonts w:cs="Arial"/>
              </w:rPr>
              <w:t>No</w:t>
            </w:r>
          </w:p>
        </w:tc>
      </w:tr>
    </w:tbl>
    <w:p w14:paraId="46199FD8" w14:textId="77777777" w:rsidR="008F4B01" w:rsidRPr="00C400EA" w:rsidRDefault="008F4B01" w:rsidP="007015C5">
      <w:pPr>
        <w:pStyle w:val="Heading2"/>
      </w:pPr>
      <w:r w:rsidRPr="00C400EA">
        <w:t>Recording &amp; reconciling the balance of Schedule 8 poisons</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10188"/>
      </w:tblGrid>
      <w:tr w:rsidR="008F4B01" w:rsidRPr="004176DE" w14:paraId="59A8A9F5" w14:textId="77777777" w:rsidTr="0029613B">
        <w:tc>
          <w:tcPr>
            <w:tcW w:w="5000" w:type="pct"/>
            <w:tcBorders>
              <w:bottom w:val="single" w:sz="12" w:space="0" w:color="008000"/>
            </w:tcBorders>
            <w:shd w:val="clear" w:color="auto" w:fill="D9D9D9" w:themeFill="background1" w:themeFillShade="D9"/>
          </w:tcPr>
          <w:p w14:paraId="6015EF9E" w14:textId="77777777" w:rsidR="008F4B01" w:rsidRPr="004176DE" w:rsidRDefault="008F4B01" w:rsidP="008F4B01">
            <w:pPr>
              <w:pStyle w:val="DHHSbody"/>
              <w:rPr>
                <w:rFonts w:cs="Arial"/>
              </w:rPr>
            </w:pPr>
            <w:r w:rsidRPr="004176DE">
              <w:rPr>
                <w:rFonts w:cs="Arial"/>
              </w:rPr>
              <w:t xml:space="preserve">With Schedule 8 poisons, including </w:t>
            </w:r>
            <w:r w:rsidRPr="004176DE">
              <w:rPr>
                <w:rFonts w:cs="Arial"/>
                <w:b/>
              </w:rPr>
              <w:t>methadone</w:t>
            </w:r>
            <w:r w:rsidRPr="004176DE">
              <w:rPr>
                <w:rFonts w:cs="Arial"/>
              </w:rPr>
              <w:t xml:space="preserve"> and </w:t>
            </w:r>
            <w:r w:rsidRPr="004176DE">
              <w:rPr>
                <w:rFonts w:cs="Arial"/>
                <w:b/>
              </w:rPr>
              <w:t>buprenorphine</w:t>
            </w:r>
            <w:r w:rsidRPr="004176DE">
              <w:rPr>
                <w:rFonts w:cs="Arial"/>
              </w:rPr>
              <w:t xml:space="preserve">, a pharmacist </w:t>
            </w:r>
            <w:r w:rsidR="00381B80" w:rsidRPr="00381B80">
              <w:rPr>
                <w:rFonts w:cs="Arial"/>
                <w:b/>
                <w:color w:val="FF0000"/>
              </w:rPr>
              <w:t>MUST</w:t>
            </w:r>
            <w:r w:rsidR="00381B80" w:rsidRPr="00381B80">
              <w:rPr>
                <w:rFonts w:cs="Arial"/>
                <w:color w:val="FF0000"/>
              </w:rPr>
              <w:t xml:space="preserve"> </w:t>
            </w:r>
            <w:r w:rsidRPr="004176DE">
              <w:rPr>
                <w:rFonts w:cs="Arial"/>
              </w:rPr>
              <w:t>record the balance remaining after each transaction in a manner that ensures the record cannot be altered, obliterated, deleted or removed without detection.</w:t>
            </w:r>
          </w:p>
          <w:p w14:paraId="44966B8C" w14:textId="77777777" w:rsidR="008F4B01" w:rsidRPr="004176DE" w:rsidRDefault="008F4B01" w:rsidP="008F4B01">
            <w:pPr>
              <w:pStyle w:val="DHHSbody"/>
              <w:rPr>
                <w:rFonts w:cs="Arial"/>
              </w:rPr>
            </w:pPr>
            <w:r w:rsidRPr="004176DE">
              <w:rPr>
                <w:rFonts w:cs="Arial"/>
                <w:b/>
              </w:rPr>
              <w:t>NOTE</w:t>
            </w:r>
            <w:r w:rsidRPr="004176DE">
              <w:rPr>
                <w:rFonts w:cs="Arial"/>
              </w:rPr>
              <w:t xml:space="preserve">: The minimum standard required to comply with this requirement involves recording the </w:t>
            </w:r>
            <w:r w:rsidRPr="004176DE">
              <w:rPr>
                <w:rFonts w:cs="Arial"/>
                <w:b/>
              </w:rPr>
              <w:t>calculated</w:t>
            </w:r>
            <w:r w:rsidRPr="004176DE">
              <w:rPr>
                <w:rFonts w:cs="Arial"/>
              </w:rPr>
              <w:t xml:space="preserve"> balance in an appropriate form (e.g. Drug Register) </w:t>
            </w:r>
            <w:r w:rsidRPr="004176DE">
              <w:rPr>
                <w:rFonts w:cs="Arial"/>
                <w:b/>
              </w:rPr>
              <w:t>at least daily</w:t>
            </w:r>
            <w:r w:rsidRPr="004176DE">
              <w:rPr>
                <w:rFonts w:cs="Arial"/>
              </w:rPr>
              <w:t>.</w:t>
            </w:r>
          </w:p>
        </w:tc>
      </w:tr>
      <w:tr w:rsidR="008F4B01" w:rsidRPr="004176DE" w14:paraId="59C005A1" w14:textId="77777777" w:rsidTr="0029613B">
        <w:tblPrEx>
          <w:tblBorders>
            <w:top w:val="single" w:sz="6" w:space="0" w:color="000000"/>
            <w:left w:val="single" w:sz="12" w:space="0" w:color="000000"/>
            <w:bottom w:val="single" w:sz="6" w:space="0" w:color="000000"/>
            <w:right w:val="single" w:sz="12" w:space="0" w:color="000000"/>
            <w:insideH w:val="none" w:sz="0" w:space="0" w:color="auto"/>
            <w:insideV w:val="single" w:sz="6" w:space="0" w:color="000000"/>
          </w:tblBorders>
          <w:tblLook w:val="0000" w:firstRow="0" w:lastRow="0" w:firstColumn="0" w:lastColumn="0" w:noHBand="0" w:noVBand="0"/>
        </w:tblPrEx>
        <w:tc>
          <w:tcPr>
            <w:tcW w:w="5000" w:type="pct"/>
            <w:tcBorders>
              <w:top w:val="single" w:sz="6" w:space="0" w:color="000000"/>
              <w:left w:val="single" w:sz="12" w:space="0" w:color="000000"/>
              <w:bottom w:val="nil"/>
              <w:right w:val="single" w:sz="12" w:space="0" w:color="000000"/>
            </w:tcBorders>
            <w:shd w:val="clear" w:color="auto" w:fill="D9D9D9" w:themeFill="background1" w:themeFillShade="D9"/>
          </w:tcPr>
          <w:p w14:paraId="368CFC83" w14:textId="77777777" w:rsidR="008F4B01" w:rsidRPr="004176DE" w:rsidRDefault="008F4B01" w:rsidP="008F4B01">
            <w:pPr>
              <w:pStyle w:val="DHHSbody"/>
              <w:rPr>
                <w:rFonts w:cs="Arial"/>
              </w:rPr>
            </w:pPr>
            <w:r w:rsidRPr="004176DE">
              <w:rPr>
                <w:rFonts w:cs="Arial"/>
              </w:rPr>
              <w:t xml:space="preserve">Commonly accepted examples: </w:t>
            </w:r>
          </w:p>
        </w:tc>
      </w:tr>
      <w:tr w:rsidR="008F4B01" w:rsidRPr="004176DE" w14:paraId="6FD11E6E" w14:textId="77777777" w:rsidTr="008F4B01">
        <w:tblPrEx>
          <w:tblBorders>
            <w:top w:val="single" w:sz="6" w:space="0" w:color="000000"/>
            <w:left w:val="single" w:sz="12" w:space="0" w:color="000000"/>
            <w:bottom w:val="single" w:sz="6" w:space="0" w:color="000000"/>
            <w:right w:val="single" w:sz="12" w:space="0" w:color="000000"/>
            <w:insideH w:val="none" w:sz="0" w:space="0" w:color="auto"/>
            <w:insideV w:val="single" w:sz="6" w:space="0" w:color="000000"/>
          </w:tblBorders>
          <w:tblLook w:val="0000" w:firstRow="0" w:lastRow="0" w:firstColumn="0" w:lastColumn="0" w:noHBand="0" w:noVBand="0"/>
        </w:tblPrEx>
        <w:tc>
          <w:tcPr>
            <w:tcW w:w="5000" w:type="pct"/>
            <w:tcBorders>
              <w:top w:val="nil"/>
              <w:left w:val="single" w:sz="12" w:space="0" w:color="000000"/>
              <w:bottom w:val="single" w:sz="6" w:space="0" w:color="000000"/>
              <w:right w:val="single" w:sz="12" w:space="0" w:color="000000"/>
            </w:tcBorders>
          </w:tcPr>
          <w:p w14:paraId="36A4DBBD" w14:textId="77777777" w:rsidR="008F4B01" w:rsidRPr="004176DE" w:rsidRDefault="008F4B01" w:rsidP="008F4B01">
            <w:pPr>
              <w:pStyle w:val="DHHSbody"/>
              <w:numPr>
                <w:ilvl w:val="0"/>
                <w:numId w:val="22"/>
              </w:numPr>
              <w:rPr>
                <w:rFonts w:cs="Arial"/>
              </w:rPr>
            </w:pPr>
            <w:r w:rsidRPr="004176DE">
              <w:rPr>
                <w:rFonts w:cs="Arial"/>
              </w:rPr>
              <w:t xml:space="preserve">The cumulative total, of doses administered or supplied during the day, is calculated in the Administration Records and transcribed to a manual Schedule 8 Drug Register with the remaining balance calculated and recorded </w:t>
            </w:r>
            <w:r w:rsidRPr="004176DE">
              <w:rPr>
                <w:rFonts w:cs="Arial"/>
                <w:b/>
                <w:bCs/>
              </w:rPr>
              <w:t>each day.</w:t>
            </w:r>
          </w:p>
          <w:p w14:paraId="6D8EAADD" w14:textId="77777777" w:rsidR="008F4B01" w:rsidRPr="004176DE" w:rsidRDefault="008F4B01" w:rsidP="008F4B01">
            <w:pPr>
              <w:pStyle w:val="DHHSbody"/>
              <w:numPr>
                <w:ilvl w:val="0"/>
                <w:numId w:val="22"/>
              </w:numPr>
              <w:rPr>
                <w:rFonts w:cs="Arial"/>
              </w:rPr>
            </w:pPr>
            <w:r w:rsidRPr="004176DE">
              <w:rPr>
                <w:rFonts w:cs="Arial"/>
              </w:rPr>
              <w:t xml:space="preserve">The computer software automatically calculates the remaining balance as each dose is recorded </w:t>
            </w:r>
            <w:r w:rsidRPr="00896E59">
              <w:rPr>
                <w:rFonts w:cs="Arial"/>
                <w:b/>
              </w:rPr>
              <w:t>and</w:t>
            </w:r>
            <w:r w:rsidRPr="004176DE">
              <w:rPr>
                <w:rFonts w:cs="Arial"/>
              </w:rPr>
              <w:t xml:space="preserve"> records the balance in a computer file, which cannot be altered without making a separate record.</w:t>
            </w:r>
          </w:p>
          <w:p w14:paraId="153DCBE3" w14:textId="77777777" w:rsidR="008F4B01" w:rsidRPr="004176DE" w:rsidRDefault="008F4B01" w:rsidP="008F4B01">
            <w:pPr>
              <w:pStyle w:val="DHHSbody"/>
              <w:numPr>
                <w:ilvl w:val="0"/>
                <w:numId w:val="22"/>
              </w:numPr>
              <w:rPr>
                <w:rFonts w:cs="Arial"/>
              </w:rPr>
            </w:pPr>
            <w:r w:rsidRPr="004176DE">
              <w:rPr>
                <w:rFonts w:cs="Arial"/>
              </w:rPr>
              <w:t xml:space="preserve">The daily total is calculated and recorded in the Administration Records, which are in a bound book with consecutively numbered pages. The remaining balance is calculated </w:t>
            </w:r>
            <w:r w:rsidRPr="004176DE">
              <w:rPr>
                <w:rFonts w:cs="Arial"/>
                <w:b/>
                <w:bCs/>
              </w:rPr>
              <w:t>each day</w:t>
            </w:r>
            <w:r w:rsidRPr="004176DE">
              <w:rPr>
                <w:rFonts w:cs="Arial"/>
              </w:rPr>
              <w:t xml:space="preserve"> and recorded in the same book.</w:t>
            </w:r>
          </w:p>
          <w:p w14:paraId="7EC370A5" w14:textId="77777777" w:rsidR="008F4B01" w:rsidRPr="004176DE" w:rsidRDefault="008F4B01" w:rsidP="008F4B01">
            <w:pPr>
              <w:pStyle w:val="DHHSbody"/>
              <w:numPr>
                <w:ilvl w:val="0"/>
                <w:numId w:val="22"/>
              </w:numPr>
              <w:rPr>
                <w:rFonts w:cs="Arial"/>
              </w:rPr>
            </w:pPr>
            <w:r w:rsidRPr="004176DE">
              <w:rPr>
                <w:rFonts w:cs="Arial"/>
              </w:rPr>
              <w:t>Each dose, administered or supplied during the day, is recorded in the Schedule 8 Drug Register with the remaining balance calculated and recorded after each dose (practical only for small numbers of patients).</w:t>
            </w:r>
          </w:p>
          <w:p w14:paraId="2AC55816" w14:textId="77777777" w:rsidR="008F4B01" w:rsidRPr="004176DE" w:rsidRDefault="008F4B01" w:rsidP="008F4B01">
            <w:pPr>
              <w:pStyle w:val="DHHSbody"/>
              <w:rPr>
                <w:rFonts w:cs="Arial"/>
              </w:rPr>
            </w:pPr>
          </w:p>
        </w:tc>
      </w:tr>
    </w:tbl>
    <w:p w14:paraId="44894504" w14:textId="77777777" w:rsidR="008F4B01" w:rsidRPr="004176DE" w:rsidRDefault="008F4B01" w:rsidP="008F4B01">
      <w:pPr>
        <w:pStyle w:val="DHHSbody"/>
        <w:rPr>
          <w:rFonts w:cs="Arial"/>
        </w:rPr>
      </w:pPr>
    </w:p>
    <w:tbl>
      <w:tblPr>
        <w:tblW w:w="5000" w:type="pct"/>
        <w:tblBorders>
          <w:top w:val="single" w:sz="6" w:space="0" w:color="000000"/>
          <w:left w:val="single" w:sz="12" w:space="0" w:color="000000"/>
          <w:bottom w:val="single" w:sz="6" w:space="0" w:color="000000"/>
          <w:right w:val="single" w:sz="12" w:space="0" w:color="000000"/>
          <w:insideV w:val="single" w:sz="6" w:space="0" w:color="000000"/>
        </w:tblBorders>
        <w:tblLook w:val="0000" w:firstRow="0" w:lastRow="0" w:firstColumn="0" w:lastColumn="0" w:noHBand="0" w:noVBand="0"/>
      </w:tblPr>
      <w:tblGrid>
        <w:gridCol w:w="10174"/>
      </w:tblGrid>
      <w:tr w:rsidR="008F4B01" w:rsidRPr="004176DE" w14:paraId="11887A20" w14:textId="77777777" w:rsidTr="0029613B">
        <w:tc>
          <w:tcPr>
            <w:tcW w:w="5000" w:type="pct"/>
            <w:tcBorders>
              <w:top w:val="single" w:sz="6" w:space="0" w:color="000000"/>
              <w:left w:val="single" w:sz="12" w:space="0" w:color="000000"/>
              <w:bottom w:val="nil"/>
              <w:right w:val="single" w:sz="12" w:space="0" w:color="000000"/>
            </w:tcBorders>
            <w:shd w:val="clear" w:color="auto" w:fill="D9D9D9" w:themeFill="background1" w:themeFillShade="D9"/>
          </w:tcPr>
          <w:p w14:paraId="61298963" w14:textId="77777777" w:rsidR="008F4B01" w:rsidRPr="004176DE" w:rsidRDefault="008F4B01" w:rsidP="008F4B01">
            <w:pPr>
              <w:pStyle w:val="DHHSbody"/>
              <w:rPr>
                <w:rFonts w:cs="Arial"/>
              </w:rPr>
            </w:pPr>
            <w:r w:rsidRPr="004176DE">
              <w:rPr>
                <w:rFonts w:cs="Arial"/>
              </w:rPr>
              <w:t xml:space="preserve">To ensure the </w:t>
            </w:r>
            <w:r w:rsidRPr="004176DE">
              <w:rPr>
                <w:rFonts w:cs="Arial"/>
                <w:b/>
              </w:rPr>
              <w:t>recorded</w:t>
            </w:r>
            <w:r w:rsidRPr="004176DE">
              <w:rPr>
                <w:rFonts w:cs="Arial"/>
              </w:rPr>
              <w:t xml:space="preserve"> balance is </w:t>
            </w:r>
            <w:r w:rsidRPr="004176DE">
              <w:rPr>
                <w:rFonts w:cs="Arial"/>
                <w:b/>
              </w:rPr>
              <w:t>true</w:t>
            </w:r>
            <w:r w:rsidRPr="004176DE">
              <w:rPr>
                <w:rFonts w:cs="Arial"/>
              </w:rPr>
              <w:t xml:space="preserve"> and </w:t>
            </w:r>
            <w:r w:rsidRPr="004176DE">
              <w:rPr>
                <w:rFonts w:cs="Arial"/>
                <w:b/>
              </w:rPr>
              <w:t>accurate</w:t>
            </w:r>
            <w:r w:rsidRPr="004176DE">
              <w:rPr>
                <w:rFonts w:cs="Arial"/>
              </w:rPr>
              <w:t xml:space="preserve">, it should be reconciled with the </w:t>
            </w:r>
            <w:r w:rsidRPr="004176DE">
              <w:rPr>
                <w:rFonts w:cs="Arial"/>
                <w:b/>
              </w:rPr>
              <w:t>actual</w:t>
            </w:r>
            <w:r w:rsidRPr="004176DE">
              <w:rPr>
                <w:rFonts w:cs="Arial"/>
              </w:rPr>
              <w:t xml:space="preserve"> balance on a regular basis.</w:t>
            </w:r>
          </w:p>
        </w:tc>
      </w:tr>
      <w:tr w:rsidR="008F4B01" w:rsidRPr="004176DE" w14:paraId="196DB6DB" w14:textId="77777777" w:rsidTr="0029613B">
        <w:tc>
          <w:tcPr>
            <w:tcW w:w="5000" w:type="pct"/>
            <w:tcBorders>
              <w:top w:val="single" w:sz="6" w:space="0" w:color="000000"/>
              <w:left w:val="single" w:sz="12" w:space="0" w:color="000000"/>
              <w:bottom w:val="nil"/>
              <w:right w:val="single" w:sz="12" w:space="0" w:color="000000"/>
            </w:tcBorders>
            <w:shd w:val="clear" w:color="auto" w:fill="D9D9D9" w:themeFill="background1" w:themeFillShade="D9"/>
          </w:tcPr>
          <w:p w14:paraId="3BC1EB54" w14:textId="77777777" w:rsidR="008F4B01" w:rsidRPr="004176DE" w:rsidRDefault="008F4B01" w:rsidP="008F4B01">
            <w:pPr>
              <w:pStyle w:val="DHHSbody"/>
              <w:rPr>
                <w:rFonts w:cs="Arial"/>
              </w:rPr>
            </w:pPr>
            <w:r w:rsidRPr="004176DE">
              <w:rPr>
                <w:rFonts w:cs="Arial"/>
              </w:rPr>
              <w:t>Commonly accepted examples:</w:t>
            </w:r>
          </w:p>
        </w:tc>
      </w:tr>
      <w:tr w:rsidR="008F4B01" w:rsidRPr="004176DE" w14:paraId="3AD51B68" w14:textId="77777777" w:rsidTr="008F4B01">
        <w:tc>
          <w:tcPr>
            <w:tcW w:w="5000" w:type="pct"/>
            <w:tcBorders>
              <w:top w:val="nil"/>
              <w:left w:val="single" w:sz="12" w:space="0" w:color="000000"/>
              <w:bottom w:val="single" w:sz="6" w:space="0" w:color="000000"/>
              <w:right w:val="single" w:sz="12" w:space="0" w:color="000000"/>
            </w:tcBorders>
          </w:tcPr>
          <w:p w14:paraId="210CB206" w14:textId="77777777" w:rsidR="008F4B01" w:rsidRPr="004176DE" w:rsidRDefault="008F4B01" w:rsidP="008F4B01">
            <w:pPr>
              <w:pStyle w:val="DHHSbody"/>
              <w:numPr>
                <w:ilvl w:val="0"/>
                <w:numId w:val="22"/>
              </w:numPr>
              <w:rPr>
                <w:rFonts w:cs="Arial"/>
              </w:rPr>
            </w:pPr>
            <w:r w:rsidRPr="004176DE">
              <w:rPr>
                <w:rFonts w:cs="Arial"/>
              </w:rPr>
              <w:t>Weekly or fortnightly physical stock checks are performed, with a separate entry made when it is necessary to adjust the recorded balance to show the actual balance.</w:t>
            </w:r>
          </w:p>
          <w:p w14:paraId="7F164813" w14:textId="77777777" w:rsidR="008F4B01" w:rsidRPr="004176DE" w:rsidRDefault="008F4B01" w:rsidP="008F4B01">
            <w:pPr>
              <w:pStyle w:val="DHHSbody"/>
              <w:numPr>
                <w:ilvl w:val="0"/>
                <w:numId w:val="22"/>
              </w:numPr>
              <w:rPr>
                <w:rFonts w:cs="Arial"/>
              </w:rPr>
            </w:pPr>
            <w:r w:rsidRPr="004176DE">
              <w:rPr>
                <w:rFonts w:cs="Arial"/>
              </w:rPr>
              <w:t>Physical stock checks are conducted when new stock is received, with a separate entry made when it is necessary to adjust the recorded balance to show the actual balance.</w:t>
            </w:r>
          </w:p>
          <w:p w14:paraId="14D7EE13" w14:textId="77777777" w:rsidR="008F4B01" w:rsidRPr="004176DE" w:rsidRDefault="008F4B01" w:rsidP="00050BC7">
            <w:pPr>
              <w:pStyle w:val="DHHSbody"/>
              <w:rPr>
                <w:rFonts w:cs="Arial"/>
              </w:rPr>
            </w:pPr>
            <w:r w:rsidRPr="004176DE">
              <w:rPr>
                <w:rFonts w:cs="Arial"/>
                <w:b/>
              </w:rPr>
              <w:t>NOTE</w:t>
            </w:r>
            <w:r w:rsidRPr="004176DE">
              <w:rPr>
                <w:rFonts w:cs="Arial"/>
              </w:rPr>
              <w:t xml:space="preserve">: Any discrepancies in a Schedule 8 poison </w:t>
            </w:r>
            <w:r w:rsidR="007A7051" w:rsidRPr="00381B80">
              <w:rPr>
                <w:rFonts w:cs="Arial"/>
                <w:b/>
                <w:color w:val="FF0000"/>
              </w:rPr>
              <w:t>MUST</w:t>
            </w:r>
            <w:r w:rsidR="007A7051" w:rsidRPr="00381B80">
              <w:rPr>
                <w:rFonts w:cs="Arial"/>
                <w:color w:val="FF0000"/>
              </w:rPr>
              <w:t xml:space="preserve"> </w:t>
            </w:r>
            <w:r w:rsidRPr="004176DE">
              <w:rPr>
                <w:rFonts w:cs="Arial"/>
              </w:rPr>
              <w:t xml:space="preserve">be investigated immediately with any unresolved discrepancies reported promptly to </w:t>
            </w:r>
            <w:r w:rsidR="00050BC7">
              <w:rPr>
                <w:rFonts w:cs="Arial"/>
              </w:rPr>
              <w:t>MPR</w:t>
            </w:r>
            <w:r w:rsidRPr="004176DE">
              <w:rPr>
                <w:rFonts w:cs="Arial"/>
              </w:rPr>
              <w:t>.</w:t>
            </w:r>
          </w:p>
        </w:tc>
      </w:tr>
    </w:tbl>
    <w:p w14:paraId="1C8929B8" w14:textId="77777777" w:rsidR="008F4B01" w:rsidRDefault="008F4B01" w:rsidP="007015C5">
      <w:pPr>
        <w:pStyle w:val="Heading1"/>
        <w:rPr>
          <w:lang w:val="it-IT"/>
        </w:rPr>
      </w:pPr>
      <w:r w:rsidRPr="00C400EA">
        <w:rPr>
          <w:lang w:val="it-IT"/>
        </w:rPr>
        <w:t>Prescriptions</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76A7AF8E" w14:textId="77777777" w:rsidTr="0029613B">
        <w:tc>
          <w:tcPr>
            <w:tcW w:w="5000" w:type="pct"/>
            <w:gridSpan w:val="2"/>
            <w:tcBorders>
              <w:bottom w:val="single" w:sz="12" w:space="0" w:color="008000"/>
            </w:tcBorders>
            <w:shd w:val="clear" w:color="auto" w:fill="D9D9D9" w:themeFill="background1" w:themeFillShade="D9"/>
          </w:tcPr>
          <w:p w14:paraId="55122F84" w14:textId="77777777" w:rsidR="002334E2" w:rsidRDefault="008F4B01" w:rsidP="002334E2">
            <w:pPr>
              <w:pStyle w:val="DHHSbody"/>
              <w:rPr>
                <w:rFonts w:cs="Arial"/>
              </w:rPr>
            </w:pPr>
            <w:bookmarkStart w:id="2" w:name="_Hlk34146476"/>
            <w:r w:rsidRPr="004176DE">
              <w:rPr>
                <w:rFonts w:cs="Arial"/>
              </w:rPr>
              <w:t xml:space="preserve">A pharmacist </w:t>
            </w:r>
            <w:r w:rsidR="007A7051" w:rsidRPr="00381B80">
              <w:rPr>
                <w:rFonts w:cs="Arial"/>
                <w:b/>
                <w:color w:val="FF0000"/>
              </w:rPr>
              <w:t>MUST</w:t>
            </w:r>
            <w:r w:rsidR="007A7051" w:rsidRPr="00381B80">
              <w:rPr>
                <w:rFonts w:cs="Arial"/>
                <w:color w:val="FF0000"/>
              </w:rPr>
              <w:t xml:space="preserve"> </w:t>
            </w:r>
            <w:r w:rsidRPr="004176DE">
              <w:rPr>
                <w:rFonts w:cs="Arial"/>
              </w:rPr>
              <w:t xml:space="preserve">have lawful instructions from a </w:t>
            </w:r>
            <w:r>
              <w:rPr>
                <w:rFonts w:cs="Arial"/>
              </w:rPr>
              <w:t>prescriber</w:t>
            </w:r>
            <w:r w:rsidRPr="004176DE">
              <w:rPr>
                <w:rFonts w:cs="Arial"/>
              </w:rPr>
              <w:t xml:space="preserve"> before administering a Schedule 8 poison. </w:t>
            </w:r>
          </w:p>
          <w:p w14:paraId="16A94423" w14:textId="4CA3ACB1" w:rsidR="008F4B01" w:rsidRPr="004176DE" w:rsidRDefault="002334E2" w:rsidP="002334E2">
            <w:pPr>
              <w:pStyle w:val="DHHSbody"/>
              <w:rPr>
                <w:rFonts w:cs="Arial"/>
              </w:rPr>
            </w:pPr>
            <w:r>
              <w:rPr>
                <w:rFonts w:cs="Arial"/>
              </w:rPr>
              <w:lastRenderedPageBreak/>
              <w:t>T</w:t>
            </w:r>
            <w:r w:rsidR="008F4B01" w:rsidRPr="004176DE">
              <w:rPr>
                <w:rFonts w:cs="Arial"/>
              </w:rPr>
              <w:t xml:space="preserve">he prescriber </w:t>
            </w:r>
            <w:r w:rsidR="007A7051" w:rsidRPr="00381B80">
              <w:rPr>
                <w:rFonts w:cs="Arial"/>
                <w:b/>
                <w:color w:val="FF0000"/>
              </w:rPr>
              <w:t>MUST</w:t>
            </w:r>
            <w:r w:rsidR="007A7051" w:rsidRPr="00381B80">
              <w:rPr>
                <w:rFonts w:cs="Arial"/>
                <w:color w:val="FF0000"/>
              </w:rPr>
              <w:t xml:space="preserve"> </w:t>
            </w:r>
            <w:r w:rsidR="008F4B01" w:rsidRPr="004176DE">
              <w:rPr>
                <w:rFonts w:cs="Arial"/>
              </w:rPr>
              <w:t>provide instructions in writing</w:t>
            </w:r>
            <w:r w:rsidR="0038459A">
              <w:rPr>
                <w:rFonts w:cs="Arial"/>
              </w:rPr>
              <w:t xml:space="preserve"> (in the form of a prescription)</w:t>
            </w:r>
            <w:r w:rsidR="009C1A4E">
              <w:rPr>
                <w:rFonts w:cs="Arial"/>
              </w:rPr>
              <w:t>. I</w:t>
            </w:r>
            <w:r w:rsidR="008F4B01" w:rsidRPr="004176DE">
              <w:rPr>
                <w:rFonts w:cs="Arial"/>
              </w:rPr>
              <w:t>n an emergency</w:t>
            </w:r>
            <w:r w:rsidR="009C1A4E">
              <w:rPr>
                <w:rFonts w:cs="Arial"/>
              </w:rPr>
              <w:t>, a prescriber may provide</w:t>
            </w:r>
            <w:r w:rsidR="008F4B01" w:rsidRPr="004176DE">
              <w:rPr>
                <w:rFonts w:cs="Arial"/>
              </w:rPr>
              <w:t xml:space="preserve"> verbal</w:t>
            </w:r>
            <w:r w:rsidR="009C1A4E">
              <w:rPr>
                <w:rFonts w:cs="Arial"/>
              </w:rPr>
              <w:t xml:space="preserve"> instructions or transmit a digital image of a prescription,</w:t>
            </w:r>
            <w:r w:rsidR="008F4B01" w:rsidRPr="004176DE">
              <w:rPr>
                <w:rFonts w:cs="Arial"/>
              </w:rPr>
              <w:t xml:space="preserve"> with written confirmation to be </w:t>
            </w:r>
            <w:r w:rsidR="009C1A4E">
              <w:rPr>
                <w:rFonts w:cs="Arial"/>
              </w:rPr>
              <w:t>sent</w:t>
            </w:r>
            <w:r w:rsidR="008F4B01" w:rsidRPr="004176DE">
              <w:rPr>
                <w:rFonts w:cs="Arial"/>
              </w:rPr>
              <w:t xml:space="preserve"> as soon as practicable</w:t>
            </w:r>
            <w:r w:rsidR="009C1A4E">
              <w:rPr>
                <w:rFonts w:cs="Arial"/>
              </w:rPr>
              <w:t xml:space="preserve"> or within 72 hours depending on the circumstances.</w:t>
            </w:r>
          </w:p>
        </w:tc>
      </w:tr>
      <w:tr w:rsidR="008F4B01" w:rsidRPr="004176DE" w14:paraId="03F2CBC7"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1A06C74F" w14:textId="77777777" w:rsidR="008F4B01" w:rsidRPr="004176DE" w:rsidRDefault="008F4B01" w:rsidP="008F4B01">
            <w:pPr>
              <w:pStyle w:val="DHHSbody"/>
              <w:rPr>
                <w:rFonts w:cs="Arial"/>
              </w:rPr>
            </w:pPr>
            <w:r w:rsidRPr="004176DE">
              <w:rPr>
                <w:rFonts w:cs="Arial"/>
              </w:rPr>
              <w:t xml:space="preserve">When receiving verbal instructions from a prescriber (to authorise administration in an emergency), is it your pharmacy’s policy to request that </w:t>
            </w:r>
            <w:r>
              <w:rPr>
                <w:rFonts w:cs="Arial"/>
              </w:rPr>
              <w:t>the</w:t>
            </w:r>
            <w:r w:rsidRPr="004176DE">
              <w:rPr>
                <w:rFonts w:cs="Arial"/>
              </w:rPr>
              <w:t xml:space="preserve"> prescription is faxed to confirm those instructions?</w:t>
            </w:r>
          </w:p>
        </w:tc>
        <w:tc>
          <w:tcPr>
            <w:tcW w:w="851" w:type="pct"/>
            <w:tcBorders>
              <w:top w:val="single" w:sz="12" w:space="0" w:color="808080"/>
              <w:left w:val="single" w:sz="6" w:space="0" w:color="C0C0C0"/>
              <w:bottom w:val="single" w:sz="6" w:space="0" w:color="808080"/>
              <w:right w:val="single" w:sz="12" w:space="0" w:color="808080"/>
            </w:tcBorders>
          </w:tcPr>
          <w:p w14:paraId="1118EAC2" w14:textId="77777777" w:rsidR="008F4B01" w:rsidRPr="004176DE" w:rsidRDefault="008F4B01" w:rsidP="008F4B01">
            <w:pPr>
              <w:pStyle w:val="DHHSbody"/>
              <w:rPr>
                <w:rFonts w:cs="Arial"/>
                <w:b/>
              </w:rPr>
            </w:pPr>
            <w:r w:rsidRPr="004176DE">
              <w:rPr>
                <w:rFonts w:cs="Arial"/>
                <w:b/>
              </w:rPr>
              <w:t xml:space="preserve">YES / </w:t>
            </w:r>
            <w:r w:rsidRPr="004176DE">
              <w:rPr>
                <w:rFonts w:cs="Arial"/>
              </w:rPr>
              <w:t>No</w:t>
            </w:r>
          </w:p>
        </w:tc>
      </w:tr>
      <w:bookmarkEnd w:id="2"/>
      <w:tr w:rsidR="008F4B01" w:rsidRPr="004176DE" w14:paraId="7C71BDB4"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148046B8" w14:textId="77777777" w:rsidR="008F4B01" w:rsidRPr="004176DE" w:rsidRDefault="008F4B01" w:rsidP="008F4B01">
            <w:pPr>
              <w:pStyle w:val="DHHSbody"/>
              <w:rPr>
                <w:rFonts w:cs="Arial"/>
              </w:rPr>
            </w:pPr>
            <w:r w:rsidRPr="004176DE">
              <w:rPr>
                <w:rFonts w:cs="Arial"/>
              </w:rPr>
              <w:t>Following verbal instructions, is it your pharmacy’s policy to seek further instructions from the prescriber, before administering further doses, if a prescription is not provided promptly?</w:t>
            </w:r>
          </w:p>
        </w:tc>
        <w:tc>
          <w:tcPr>
            <w:tcW w:w="851" w:type="pct"/>
            <w:tcBorders>
              <w:top w:val="single" w:sz="12" w:space="0" w:color="808080"/>
              <w:left w:val="single" w:sz="6" w:space="0" w:color="C0C0C0"/>
              <w:bottom w:val="single" w:sz="6" w:space="0" w:color="808080"/>
              <w:right w:val="single" w:sz="12" w:space="0" w:color="808080"/>
            </w:tcBorders>
          </w:tcPr>
          <w:p w14:paraId="1825C7E1" w14:textId="77777777" w:rsidR="008F4B01" w:rsidRPr="004176DE" w:rsidRDefault="008F4B01" w:rsidP="008F4B01">
            <w:pPr>
              <w:pStyle w:val="DHHSbody"/>
              <w:rPr>
                <w:rFonts w:cs="Arial"/>
                <w:b/>
              </w:rPr>
            </w:pPr>
            <w:r w:rsidRPr="004176DE">
              <w:rPr>
                <w:rFonts w:cs="Arial"/>
                <w:b/>
              </w:rPr>
              <w:t xml:space="preserve">YES / </w:t>
            </w:r>
            <w:r w:rsidRPr="004176DE">
              <w:rPr>
                <w:rFonts w:cs="Arial"/>
              </w:rPr>
              <w:t>No</w:t>
            </w:r>
          </w:p>
        </w:tc>
      </w:tr>
    </w:tbl>
    <w:p w14:paraId="3287A0B9" w14:textId="77777777" w:rsidR="008F4B01" w:rsidRDefault="008F4B01" w:rsidP="008F4B01">
      <w:pPr>
        <w:pStyle w:val="DHHSbody"/>
        <w:rPr>
          <w:rFonts w:cs="Arial"/>
          <w:u w:val="single"/>
        </w:rPr>
      </w:pP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F748E5" w:rsidRPr="004176DE" w14:paraId="27EAD6B2" w14:textId="77777777" w:rsidTr="00A66E1A">
        <w:tc>
          <w:tcPr>
            <w:tcW w:w="5000" w:type="pct"/>
            <w:gridSpan w:val="2"/>
            <w:tcBorders>
              <w:bottom w:val="single" w:sz="12" w:space="0" w:color="008000"/>
            </w:tcBorders>
            <w:shd w:val="clear" w:color="auto" w:fill="D9D9D9" w:themeFill="background1" w:themeFillShade="D9"/>
          </w:tcPr>
          <w:p w14:paraId="182D9647" w14:textId="77777777" w:rsidR="00F748E5" w:rsidRPr="00334323" w:rsidRDefault="00F748E5" w:rsidP="00A66E1A">
            <w:pPr>
              <w:pStyle w:val="DHHSbody"/>
              <w:rPr>
                <w:rFonts w:cs="Arial"/>
              </w:rPr>
            </w:pPr>
            <w:r w:rsidRPr="00334323">
              <w:rPr>
                <w:rFonts w:cs="Arial"/>
              </w:rPr>
              <w:t>If a prescriber fails to endorse prescriptions with the unambiguous name of the dosing pharmacy, it creates a possibility that the patient might present the prescription at a different pharmacy and that the patient might be able to obtain doses concurrently from multiple pharmacies. This has occurred; it is not merely a theoretical possibility.</w:t>
            </w:r>
          </w:p>
        </w:tc>
      </w:tr>
      <w:tr w:rsidR="00F748E5" w:rsidRPr="004176DE" w14:paraId="56EA41CD" w14:textId="77777777" w:rsidTr="00A66E1A">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773B2747" w14:textId="77777777" w:rsidR="00F748E5" w:rsidRPr="00334323" w:rsidRDefault="00F748E5" w:rsidP="00A66E1A">
            <w:pPr>
              <w:pStyle w:val="DHHSbody"/>
              <w:rPr>
                <w:rFonts w:cs="Arial"/>
              </w:rPr>
            </w:pPr>
            <w:r w:rsidRPr="00334323">
              <w:rPr>
                <w:rFonts w:cs="Arial"/>
              </w:rPr>
              <w:t>Have pharmacists been made aware that they should contact prescribers</w:t>
            </w:r>
            <w:r w:rsidR="009E4B88" w:rsidRPr="00334323">
              <w:rPr>
                <w:rFonts w:cs="Arial"/>
              </w:rPr>
              <w:t>,</w:t>
            </w:r>
            <w:r w:rsidRPr="00334323">
              <w:rPr>
                <w:rFonts w:cs="Arial"/>
              </w:rPr>
              <w:t xml:space="preserve"> </w:t>
            </w:r>
            <w:r w:rsidR="009E4B88" w:rsidRPr="00334323">
              <w:rPr>
                <w:rFonts w:cs="Arial"/>
              </w:rPr>
              <w:t xml:space="preserve">to inform them of this responsibility, </w:t>
            </w:r>
            <w:r w:rsidRPr="00334323">
              <w:rPr>
                <w:rFonts w:cs="Arial"/>
              </w:rPr>
              <w:t xml:space="preserve">if they fail to </w:t>
            </w:r>
            <w:r w:rsidR="009E4B88" w:rsidRPr="00334323">
              <w:rPr>
                <w:rFonts w:cs="Arial"/>
              </w:rPr>
              <w:t>endorse prescriptions in a manner that unambiguously identifies the dosing pharmacy</w:t>
            </w:r>
            <w:r w:rsidRPr="00334323">
              <w:rPr>
                <w:rFonts w:cs="Arial"/>
              </w:rPr>
              <w:t>?</w:t>
            </w:r>
          </w:p>
        </w:tc>
        <w:tc>
          <w:tcPr>
            <w:tcW w:w="851" w:type="pct"/>
            <w:tcBorders>
              <w:top w:val="single" w:sz="12" w:space="0" w:color="808080"/>
              <w:left w:val="single" w:sz="6" w:space="0" w:color="C0C0C0"/>
              <w:bottom w:val="single" w:sz="6" w:space="0" w:color="808080"/>
              <w:right w:val="single" w:sz="12" w:space="0" w:color="808080"/>
            </w:tcBorders>
          </w:tcPr>
          <w:p w14:paraId="335ECCF9" w14:textId="77777777" w:rsidR="00F748E5" w:rsidRPr="004176DE" w:rsidRDefault="00F748E5" w:rsidP="00A66E1A">
            <w:pPr>
              <w:pStyle w:val="DHHSbody"/>
              <w:rPr>
                <w:rFonts w:cs="Arial"/>
                <w:b/>
              </w:rPr>
            </w:pPr>
            <w:r w:rsidRPr="004176DE">
              <w:rPr>
                <w:rFonts w:cs="Arial"/>
                <w:b/>
              </w:rPr>
              <w:t xml:space="preserve">YES / </w:t>
            </w:r>
            <w:r w:rsidRPr="004176DE">
              <w:rPr>
                <w:rFonts w:cs="Arial"/>
              </w:rPr>
              <w:t>No</w:t>
            </w:r>
          </w:p>
        </w:tc>
      </w:tr>
    </w:tbl>
    <w:p w14:paraId="73EB2B0A" w14:textId="77777777" w:rsidR="00F748E5" w:rsidRDefault="00F748E5" w:rsidP="008F4B01">
      <w:pPr>
        <w:pStyle w:val="DHHSbody"/>
        <w:rPr>
          <w:rFonts w:cs="Arial"/>
          <w:u w:val="single"/>
        </w:rPr>
      </w:pP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3D544B" w:rsidRPr="004176DE" w14:paraId="41BCEC9A" w14:textId="77777777" w:rsidTr="00F55B25">
        <w:tc>
          <w:tcPr>
            <w:tcW w:w="5000" w:type="pct"/>
            <w:gridSpan w:val="2"/>
            <w:tcBorders>
              <w:bottom w:val="single" w:sz="12" w:space="0" w:color="008000"/>
            </w:tcBorders>
            <w:shd w:val="clear" w:color="auto" w:fill="FFFF00"/>
          </w:tcPr>
          <w:p w14:paraId="1FDF091C" w14:textId="77777777" w:rsidR="003D544B" w:rsidRDefault="003D544B" w:rsidP="00F55B25">
            <w:pPr>
              <w:pStyle w:val="DHHSbody"/>
              <w:rPr>
                <w:rFonts w:cs="Arial"/>
              </w:rPr>
            </w:pPr>
            <w:r w:rsidRPr="00032699">
              <w:rPr>
                <w:rFonts w:cs="Arial"/>
              </w:rPr>
              <w:t>Pharmacists are required to us</w:t>
            </w:r>
            <w:r>
              <w:rPr>
                <w:rFonts w:cs="Arial"/>
              </w:rPr>
              <w:t>e</w:t>
            </w:r>
            <w:r w:rsidRPr="00032699">
              <w:rPr>
                <w:rFonts w:cs="Arial"/>
              </w:rPr>
              <w:t xml:space="preserve"> their everyday dispensing software (e.g. FRED, LOTS)</w:t>
            </w:r>
            <w:r>
              <w:rPr>
                <w:rFonts w:cs="Arial"/>
              </w:rPr>
              <w:t xml:space="preserve"> to </w:t>
            </w:r>
            <w:r w:rsidRPr="00032699">
              <w:rPr>
                <w:rFonts w:cs="Arial"/>
              </w:rPr>
              <w:t xml:space="preserve">record details of </w:t>
            </w:r>
            <w:r w:rsidRPr="00FF42FD">
              <w:rPr>
                <w:rFonts w:cs="Arial"/>
                <w:b/>
              </w:rPr>
              <w:t>each ORT prescription</w:t>
            </w:r>
            <w:r>
              <w:rPr>
                <w:rFonts w:cs="Arial"/>
              </w:rPr>
              <w:t xml:space="preserve"> </w:t>
            </w:r>
            <w:r w:rsidRPr="00032699">
              <w:rPr>
                <w:rFonts w:cs="Arial"/>
              </w:rPr>
              <w:t xml:space="preserve">– in order to ensure that </w:t>
            </w:r>
            <w:r>
              <w:rPr>
                <w:rFonts w:cs="Arial"/>
              </w:rPr>
              <w:t xml:space="preserve">basic information relating to provision of </w:t>
            </w:r>
            <w:r w:rsidRPr="00032699">
              <w:rPr>
                <w:rFonts w:cs="Arial"/>
              </w:rPr>
              <w:t xml:space="preserve">ORT will be </w:t>
            </w:r>
            <w:r>
              <w:rPr>
                <w:rFonts w:cs="Arial"/>
              </w:rPr>
              <w:t>transmitted to Victoria’s monitored poisons database (</w:t>
            </w:r>
            <w:r w:rsidRPr="00032699">
              <w:rPr>
                <w:rFonts w:cs="Arial"/>
              </w:rPr>
              <w:t>SafeScript</w:t>
            </w:r>
            <w:r>
              <w:rPr>
                <w:rFonts w:cs="Arial"/>
              </w:rPr>
              <w:t>)</w:t>
            </w:r>
            <w:r w:rsidRPr="00032699">
              <w:rPr>
                <w:rFonts w:cs="Arial"/>
              </w:rPr>
              <w:t xml:space="preserve"> – </w:t>
            </w:r>
            <w:r w:rsidRPr="00032699">
              <w:rPr>
                <w:rFonts w:cs="Arial"/>
                <w:b/>
              </w:rPr>
              <w:t>regardless</w:t>
            </w:r>
            <w:r w:rsidRPr="00032699">
              <w:rPr>
                <w:rFonts w:cs="Arial"/>
              </w:rPr>
              <w:t xml:space="preserve"> of whether similar information is recorded using software</w:t>
            </w:r>
            <w:r w:rsidR="00AF3EC6">
              <w:rPr>
                <w:rFonts w:cs="Arial"/>
              </w:rPr>
              <w:t xml:space="preserve"> that is specific to the recording of ORT doses</w:t>
            </w:r>
            <w:r w:rsidRPr="00032699">
              <w:rPr>
                <w:rFonts w:cs="Arial"/>
              </w:rPr>
              <w:t xml:space="preserve"> (e.g. Methsof, MethDA).</w:t>
            </w:r>
          </w:p>
          <w:p w14:paraId="4A6D2EFE" w14:textId="77777777" w:rsidR="003D544B" w:rsidRDefault="003D544B" w:rsidP="00F55B25">
            <w:pPr>
              <w:pStyle w:val="DHHSbody"/>
              <w:rPr>
                <w:rFonts w:cs="Arial"/>
              </w:rPr>
            </w:pPr>
            <w:r w:rsidRPr="00032699">
              <w:rPr>
                <w:rFonts w:cs="Arial"/>
                <w:b/>
              </w:rPr>
              <w:t>Note</w:t>
            </w:r>
            <w:r>
              <w:rPr>
                <w:rFonts w:cs="Arial"/>
              </w:rPr>
              <w:t xml:space="preserve">: </w:t>
            </w:r>
          </w:p>
          <w:p w14:paraId="59B0AC79" w14:textId="77777777" w:rsidR="003D544B" w:rsidRDefault="003D544B" w:rsidP="00F55B25">
            <w:pPr>
              <w:pStyle w:val="DHHSbody"/>
              <w:numPr>
                <w:ilvl w:val="0"/>
                <w:numId w:val="29"/>
              </w:numPr>
              <w:rPr>
                <w:rFonts w:cs="Arial"/>
              </w:rPr>
            </w:pPr>
            <w:r>
              <w:rPr>
                <w:rFonts w:cs="Arial"/>
              </w:rPr>
              <w:t xml:space="preserve">This requirement relates to each prescription; </w:t>
            </w:r>
            <w:r w:rsidRPr="00FF42FD">
              <w:rPr>
                <w:rFonts w:cs="Arial"/>
                <w:b/>
              </w:rPr>
              <w:t>not</w:t>
            </w:r>
            <w:r>
              <w:rPr>
                <w:rFonts w:cs="Arial"/>
              </w:rPr>
              <w:t xml:space="preserve"> to each dose that is administered or supplied.</w:t>
            </w:r>
          </w:p>
          <w:p w14:paraId="69D594DE" w14:textId="77777777" w:rsidR="003D544B" w:rsidRPr="004176DE" w:rsidRDefault="003D544B" w:rsidP="00F55B25">
            <w:pPr>
              <w:pStyle w:val="DHHSbody"/>
              <w:numPr>
                <w:ilvl w:val="0"/>
                <w:numId w:val="29"/>
              </w:numPr>
              <w:rPr>
                <w:rFonts w:cs="Arial"/>
              </w:rPr>
            </w:pPr>
            <w:r>
              <w:rPr>
                <w:rFonts w:cs="Arial"/>
              </w:rPr>
              <w:t xml:space="preserve">The patient’s </w:t>
            </w:r>
            <w:r w:rsidRPr="00DF16E5">
              <w:rPr>
                <w:rFonts w:cs="Arial"/>
                <w:b/>
              </w:rPr>
              <w:t>date of birth</w:t>
            </w:r>
            <w:r>
              <w:rPr>
                <w:rFonts w:cs="Arial"/>
              </w:rPr>
              <w:t xml:space="preserve"> </w:t>
            </w:r>
            <w:r w:rsidRPr="00381B80">
              <w:rPr>
                <w:rFonts w:cs="Arial"/>
                <w:b/>
                <w:color w:val="FF0000"/>
              </w:rPr>
              <w:t>MUST</w:t>
            </w:r>
            <w:r w:rsidRPr="00381B80">
              <w:rPr>
                <w:rFonts w:cs="Arial"/>
                <w:color w:val="FF0000"/>
              </w:rPr>
              <w:t xml:space="preserve"> </w:t>
            </w:r>
            <w:r>
              <w:rPr>
                <w:rFonts w:cs="Arial"/>
              </w:rPr>
              <w:t>also be recorded.</w:t>
            </w:r>
          </w:p>
        </w:tc>
      </w:tr>
      <w:tr w:rsidR="003D544B" w:rsidRPr="004176DE" w14:paraId="76149B69" w14:textId="77777777" w:rsidTr="00F55B25">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FFFF00"/>
          </w:tcPr>
          <w:p w14:paraId="07CDB5A0" w14:textId="77777777" w:rsidR="003D544B" w:rsidRPr="004176DE" w:rsidRDefault="003D544B" w:rsidP="00F55B25">
            <w:pPr>
              <w:pStyle w:val="DHHSbody"/>
              <w:rPr>
                <w:rFonts w:cs="Arial"/>
              </w:rPr>
            </w:pPr>
            <w:r>
              <w:rPr>
                <w:rFonts w:cs="Arial"/>
              </w:rPr>
              <w:t xml:space="preserve">Have all pharmacists been informed about this new requirement? </w:t>
            </w:r>
          </w:p>
        </w:tc>
        <w:tc>
          <w:tcPr>
            <w:tcW w:w="851" w:type="pct"/>
            <w:tcBorders>
              <w:top w:val="single" w:sz="12" w:space="0" w:color="808080"/>
              <w:left w:val="single" w:sz="6" w:space="0" w:color="C0C0C0"/>
              <w:bottom w:val="single" w:sz="6" w:space="0" w:color="808080"/>
              <w:right w:val="single" w:sz="12" w:space="0" w:color="808080"/>
            </w:tcBorders>
          </w:tcPr>
          <w:p w14:paraId="79BD8141" w14:textId="77777777" w:rsidR="003D544B" w:rsidRPr="004176DE" w:rsidRDefault="003D544B" w:rsidP="00F55B25">
            <w:pPr>
              <w:pStyle w:val="DHHSbody"/>
              <w:rPr>
                <w:rFonts w:cs="Arial"/>
                <w:b/>
              </w:rPr>
            </w:pPr>
            <w:r w:rsidRPr="004176DE">
              <w:rPr>
                <w:rFonts w:cs="Arial"/>
                <w:b/>
              </w:rPr>
              <w:t xml:space="preserve">YES / </w:t>
            </w:r>
            <w:r w:rsidRPr="004176DE">
              <w:rPr>
                <w:rFonts w:cs="Arial"/>
              </w:rPr>
              <w:t>No</w:t>
            </w:r>
          </w:p>
        </w:tc>
      </w:tr>
    </w:tbl>
    <w:p w14:paraId="0F9B14A4" w14:textId="77777777" w:rsidR="003D544B" w:rsidRPr="004176DE" w:rsidRDefault="003D544B" w:rsidP="008F4B01">
      <w:pPr>
        <w:pStyle w:val="DHHSbody"/>
        <w:rPr>
          <w:rFonts w:cs="Arial"/>
          <w:u w:val="single"/>
        </w:rPr>
      </w:pP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10188"/>
      </w:tblGrid>
      <w:tr w:rsidR="008F4B01" w:rsidRPr="004176DE" w14:paraId="2C765511" w14:textId="77777777" w:rsidTr="0029613B">
        <w:tc>
          <w:tcPr>
            <w:tcW w:w="5000" w:type="pct"/>
            <w:tcBorders>
              <w:bottom w:val="single" w:sz="12" w:space="0" w:color="008000"/>
            </w:tcBorders>
            <w:shd w:val="clear" w:color="auto" w:fill="D9D9D9" w:themeFill="background1" w:themeFillShade="D9"/>
          </w:tcPr>
          <w:p w14:paraId="4B73970B" w14:textId="77777777" w:rsidR="008F4B01" w:rsidRPr="004176DE" w:rsidRDefault="008F4B01" w:rsidP="008F4B01">
            <w:pPr>
              <w:pStyle w:val="DHHSbody"/>
              <w:rPr>
                <w:rFonts w:cs="Arial"/>
              </w:rPr>
            </w:pPr>
            <w:r w:rsidRPr="004176DE">
              <w:rPr>
                <w:rFonts w:cs="Arial"/>
              </w:rPr>
              <w:t xml:space="preserve">It is an offence for a pharmacist to administer a Schedule 8 poison without lawful instructions from a </w:t>
            </w:r>
            <w:r>
              <w:rPr>
                <w:rFonts w:cs="Arial"/>
              </w:rPr>
              <w:t>prescriber</w:t>
            </w:r>
            <w:r w:rsidRPr="004176DE">
              <w:rPr>
                <w:rFonts w:cs="Arial"/>
              </w:rPr>
              <w:t xml:space="preserve"> but such occurrences are not rare. In some cases, pharmacists have been found to have administered ORT for months after </w:t>
            </w:r>
            <w:r>
              <w:rPr>
                <w:rFonts w:cs="Arial"/>
              </w:rPr>
              <w:t>the</w:t>
            </w:r>
            <w:r w:rsidRPr="004176DE">
              <w:rPr>
                <w:rFonts w:cs="Arial"/>
              </w:rPr>
              <w:t xml:space="preserve"> prescription had expired and in circumstances where the patient had ceased consulting the prescriber. </w:t>
            </w:r>
          </w:p>
        </w:tc>
      </w:tr>
      <w:tr w:rsidR="008F4B01" w:rsidRPr="004176DE" w14:paraId="684E0350" w14:textId="77777777" w:rsidTr="0029613B">
        <w:tblPrEx>
          <w:tblBorders>
            <w:top w:val="single" w:sz="6" w:space="0" w:color="000000"/>
            <w:left w:val="single" w:sz="12" w:space="0" w:color="000000"/>
            <w:bottom w:val="single" w:sz="6" w:space="0" w:color="000000"/>
            <w:right w:val="single" w:sz="12" w:space="0" w:color="000000"/>
            <w:insideH w:val="none" w:sz="0" w:space="0" w:color="auto"/>
            <w:insideV w:val="single" w:sz="6" w:space="0" w:color="000000"/>
          </w:tblBorders>
          <w:tblLook w:val="0000" w:firstRow="0" w:lastRow="0" w:firstColumn="0" w:lastColumn="0" w:noHBand="0" w:noVBand="0"/>
        </w:tblPrEx>
        <w:tc>
          <w:tcPr>
            <w:tcW w:w="5000" w:type="pct"/>
            <w:tcBorders>
              <w:top w:val="single" w:sz="6" w:space="0" w:color="000000"/>
              <w:left w:val="single" w:sz="12" w:space="0" w:color="000000"/>
              <w:bottom w:val="nil"/>
              <w:right w:val="single" w:sz="12" w:space="0" w:color="000000"/>
            </w:tcBorders>
            <w:shd w:val="clear" w:color="auto" w:fill="D9D9D9" w:themeFill="background1" w:themeFillShade="D9"/>
          </w:tcPr>
          <w:p w14:paraId="52AA3F5F" w14:textId="77777777" w:rsidR="008F4B01" w:rsidRPr="004176DE" w:rsidRDefault="008F4B01" w:rsidP="008F4B01">
            <w:pPr>
              <w:pStyle w:val="DHHSbody"/>
              <w:rPr>
                <w:rFonts w:cs="Arial"/>
              </w:rPr>
            </w:pPr>
            <w:r w:rsidRPr="004176DE">
              <w:rPr>
                <w:rFonts w:cs="Arial"/>
              </w:rPr>
              <w:t xml:space="preserve">Common examples of how prescription expiry dates are </w:t>
            </w:r>
            <w:r w:rsidRPr="004176DE">
              <w:rPr>
                <w:rFonts w:cs="Arial"/>
                <w:b/>
              </w:rPr>
              <w:t>prominently</w:t>
            </w:r>
            <w:r w:rsidRPr="004176DE">
              <w:rPr>
                <w:rFonts w:cs="Arial"/>
              </w:rPr>
              <w:t xml:space="preserve"> recorded so</w:t>
            </w:r>
            <w:r>
              <w:rPr>
                <w:rFonts w:cs="Arial"/>
              </w:rPr>
              <w:t xml:space="preserve"> that</w:t>
            </w:r>
            <w:r w:rsidRPr="004176DE">
              <w:rPr>
                <w:rFonts w:cs="Arial"/>
              </w:rPr>
              <w:t xml:space="preserve"> pharmacists and/or patients are aware of the need to obtain new prescriptions in a timely manner:</w:t>
            </w:r>
          </w:p>
        </w:tc>
      </w:tr>
      <w:tr w:rsidR="008F4B01" w:rsidRPr="004176DE" w14:paraId="611FFB40" w14:textId="77777777" w:rsidTr="008F4B01">
        <w:tblPrEx>
          <w:tblBorders>
            <w:top w:val="single" w:sz="6" w:space="0" w:color="000000"/>
            <w:left w:val="single" w:sz="12" w:space="0" w:color="000000"/>
            <w:bottom w:val="single" w:sz="6" w:space="0" w:color="000000"/>
            <w:right w:val="single" w:sz="12" w:space="0" w:color="000000"/>
            <w:insideH w:val="none" w:sz="0" w:space="0" w:color="auto"/>
            <w:insideV w:val="single" w:sz="6" w:space="0" w:color="000000"/>
          </w:tblBorders>
          <w:tblLook w:val="0000" w:firstRow="0" w:lastRow="0" w:firstColumn="0" w:lastColumn="0" w:noHBand="0" w:noVBand="0"/>
        </w:tblPrEx>
        <w:tc>
          <w:tcPr>
            <w:tcW w:w="5000" w:type="pct"/>
            <w:tcBorders>
              <w:top w:val="nil"/>
              <w:left w:val="single" w:sz="12" w:space="0" w:color="000000"/>
              <w:bottom w:val="single" w:sz="6" w:space="0" w:color="000000"/>
              <w:right w:val="single" w:sz="12" w:space="0" w:color="000000"/>
            </w:tcBorders>
          </w:tcPr>
          <w:p w14:paraId="13E2122B" w14:textId="77777777" w:rsidR="008F4B01" w:rsidRPr="004176DE" w:rsidRDefault="008F4B01" w:rsidP="008F4B01">
            <w:pPr>
              <w:pStyle w:val="DHHSbody"/>
              <w:numPr>
                <w:ilvl w:val="0"/>
                <w:numId w:val="22"/>
              </w:numPr>
              <w:rPr>
                <w:rFonts w:cs="Arial"/>
              </w:rPr>
            </w:pPr>
            <w:r w:rsidRPr="004176DE">
              <w:rPr>
                <w:rFonts w:cs="Arial"/>
              </w:rPr>
              <w:t>The expiry date of the current prescription is prominently highlighted in the patient’s attendance record so that both patient and pharmacist are aware that the expiry date is approaching.</w:t>
            </w:r>
          </w:p>
          <w:p w14:paraId="62DFC9FF" w14:textId="77777777" w:rsidR="008F4B01" w:rsidRPr="004176DE" w:rsidRDefault="008F4B01" w:rsidP="008F4B01">
            <w:pPr>
              <w:pStyle w:val="DHHSbody"/>
              <w:numPr>
                <w:ilvl w:val="0"/>
                <w:numId w:val="22"/>
              </w:numPr>
              <w:rPr>
                <w:rFonts w:cs="Arial"/>
              </w:rPr>
            </w:pPr>
            <w:r w:rsidRPr="004176DE">
              <w:rPr>
                <w:rFonts w:cs="Arial"/>
              </w:rPr>
              <w:t>The current prescription is attached to the patient’s attendance record with the expiry date prominently recorded. Pharmacists routinely remind patients that the expiry date is approaching (and make a note that they have done so), to allow the patient ample time to obtain a new prescription.</w:t>
            </w:r>
          </w:p>
          <w:p w14:paraId="3E551554" w14:textId="77777777" w:rsidR="008F4B01" w:rsidRPr="002B5DE4" w:rsidRDefault="008F4B01" w:rsidP="008F4B01">
            <w:pPr>
              <w:pStyle w:val="DHHSbody"/>
              <w:numPr>
                <w:ilvl w:val="0"/>
                <w:numId w:val="22"/>
              </w:numPr>
              <w:rPr>
                <w:rFonts w:cs="Arial"/>
              </w:rPr>
            </w:pPr>
            <w:r w:rsidRPr="004176DE">
              <w:rPr>
                <w:rFonts w:cs="Arial"/>
              </w:rPr>
              <w:t>The expiry date of the current prescription is prominently displayed on the computer screen when a patient attends. Pharmacists routinely remind patients that the expiry date is approaching (and make a note that they have done so), to allow the patient ample time to obtain a new prescription.</w:t>
            </w:r>
          </w:p>
        </w:tc>
      </w:tr>
    </w:tbl>
    <w:p w14:paraId="22F6A7E2" w14:textId="77777777" w:rsidR="008F4B01" w:rsidRPr="004176DE" w:rsidRDefault="008F4B01" w:rsidP="008F4B01">
      <w:pPr>
        <w:pStyle w:val="DHHSbody"/>
        <w:rPr>
          <w:rFonts w:cs="Arial"/>
        </w:rPr>
      </w:pP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10188"/>
      </w:tblGrid>
      <w:tr w:rsidR="008F4B01" w:rsidRPr="004176DE" w14:paraId="0E6D3E91" w14:textId="77777777" w:rsidTr="0029613B">
        <w:tc>
          <w:tcPr>
            <w:tcW w:w="5000" w:type="pct"/>
            <w:tcBorders>
              <w:bottom w:val="single" w:sz="12" w:space="0" w:color="008000"/>
            </w:tcBorders>
            <w:shd w:val="clear" w:color="auto" w:fill="D9D9D9" w:themeFill="background1" w:themeFillShade="D9"/>
          </w:tcPr>
          <w:p w14:paraId="6B935693" w14:textId="77777777" w:rsidR="008F4B01" w:rsidRPr="004176DE" w:rsidRDefault="008F4B01" w:rsidP="008F4B01">
            <w:pPr>
              <w:pStyle w:val="DHHSbody"/>
              <w:rPr>
                <w:rFonts w:cs="Arial"/>
                <w:bCs/>
              </w:rPr>
            </w:pPr>
            <w:r w:rsidRPr="004176DE">
              <w:rPr>
                <w:rFonts w:cs="Arial"/>
              </w:rPr>
              <w:lastRenderedPageBreak/>
              <w:t xml:space="preserve">All prescriptions for Schedule 8 poisons </w:t>
            </w:r>
            <w:r w:rsidR="007A7051" w:rsidRPr="00381B80">
              <w:rPr>
                <w:rFonts w:cs="Arial"/>
                <w:b/>
                <w:color w:val="FF0000"/>
              </w:rPr>
              <w:t>MUST</w:t>
            </w:r>
            <w:r w:rsidR="007A7051" w:rsidRPr="00381B80">
              <w:rPr>
                <w:rFonts w:cs="Arial"/>
                <w:color w:val="FF0000"/>
              </w:rPr>
              <w:t xml:space="preserve"> </w:t>
            </w:r>
            <w:r w:rsidRPr="004176DE">
              <w:rPr>
                <w:rFonts w:cs="Arial"/>
              </w:rPr>
              <w:t>be retained for 3 years in a manner that enables them to be produced on demand.</w:t>
            </w:r>
          </w:p>
        </w:tc>
      </w:tr>
      <w:tr w:rsidR="008F4B01" w:rsidRPr="004176DE" w14:paraId="4DD0A0B9" w14:textId="77777777" w:rsidTr="002961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00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05E937" w14:textId="77777777" w:rsidR="008F4B01" w:rsidRPr="004176DE" w:rsidRDefault="008F4B01" w:rsidP="008F4B01">
            <w:pPr>
              <w:pStyle w:val="DHHSbody"/>
              <w:rPr>
                <w:rFonts w:cs="Arial"/>
                <w:bCs/>
              </w:rPr>
            </w:pPr>
            <w:r w:rsidRPr="004176DE">
              <w:rPr>
                <w:rFonts w:cs="Arial"/>
                <w:bCs/>
              </w:rPr>
              <w:t>Commonly accepted examples:</w:t>
            </w:r>
          </w:p>
        </w:tc>
      </w:tr>
      <w:tr w:rsidR="008F4B01" w:rsidRPr="004176DE" w14:paraId="13117FAB" w14:textId="77777777" w:rsidTr="008F4B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000" w:type="pct"/>
            <w:tcBorders>
              <w:top w:val="single" w:sz="6" w:space="0" w:color="auto"/>
              <w:left w:val="single" w:sz="6" w:space="0" w:color="auto"/>
              <w:bottom w:val="single" w:sz="6" w:space="0" w:color="auto"/>
              <w:right w:val="single" w:sz="6" w:space="0" w:color="auto"/>
            </w:tcBorders>
          </w:tcPr>
          <w:p w14:paraId="57B2A675" w14:textId="77777777" w:rsidR="008F4B01" w:rsidRPr="004176DE" w:rsidRDefault="008F4B01" w:rsidP="008F4B01">
            <w:pPr>
              <w:pStyle w:val="DHHSbody"/>
              <w:numPr>
                <w:ilvl w:val="0"/>
                <w:numId w:val="22"/>
              </w:numPr>
              <w:rPr>
                <w:rFonts w:cs="Arial"/>
              </w:rPr>
            </w:pPr>
            <w:r w:rsidRPr="004176DE">
              <w:rPr>
                <w:rFonts w:cs="Arial"/>
              </w:rPr>
              <w:t xml:space="preserve">Prescriptions that have expired (or that have been superseded by a subsequent prescription) are filed in clearly marked bundles on a regular basis </w:t>
            </w:r>
            <w:r w:rsidRPr="004176DE">
              <w:rPr>
                <w:rFonts w:cs="Arial"/>
                <w:iCs/>
              </w:rPr>
              <w:t xml:space="preserve">(e.g. monthly) </w:t>
            </w:r>
            <w:r w:rsidRPr="004176DE">
              <w:rPr>
                <w:rFonts w:cs="Arial"/>
              </w:rPr>
              <w:t>and are kept separate from prescriptions for other Schedule 8 poisons</w:t>
            </w:r>
            <w:r>
              <w:rPr>
                <w:rFonts w:cs="Arial"/>
              </w:rPr>
              <w:t xml:space="preserve"> so that they are easier to locate if required</w:t>
            </w:r>
            <w:r w:rsidRPr="004176DE">
              <w:rPr>
                <w:rFonts w:cs="Arial"/>
              </w:rPr>
              <w:t>.</w:t>
            </w:r>
          </w:p>
          <w:p w14:paraId="7BA8BAC1" w14:textId="77777777" w:rsidR="008F4B01" w:rsidRPr="002B5DE4" w:rsidRDefault="008F4B01" w:rsidP="008F4B01">
            <w:pPr>
              <w:pStyle w:val="DHHSbody"/>
              <w:numPr>
                <w:ilvl w:val="0"/>
                <w:numId w:val="22"/>
              </w:numPr>
              <w:rPr>
                <w:rFonts w:cs="Arial"/>
              </w:rPr>
            </w:pPr>
            <w:r w:rsidRPr="004176DE">
              <w:rPr>
                <w:rFonts w:cs="Arial"/>
              </w:rPr>
              <w:t>Prescriptions that have expired (or that have been superseded by a subsequent prescription) are retained in the designated file or drop folder for the corresponding patient; care is taken to ensure that the current prescription is clearly distinguished from earlier prescriptions.</w:t>
            </w:r>
          </w:p>
        </w:tc>
      </w:tr>
    </w:tbl>
    <w:p w14:paraId="215B78D9" w14:textId="77777777" w:rsidR="008F4B01" w:rsidRPr="00C400EA" w:rsidRDefault="008F4B01" w:rsidP="007015C5">
      <w:pPr>
        <w:pStyle w:val="Heading1"/>
        <w:rPr>
          <w:lang w:val="it-IT"/>
        </w:rPr>
      </w:pPr>
      <w:r w:rsidRPr="00C400EA">
        <w:rPr>
          <w:lang w:val="it-IT"/>
        </w:rPr>
        <w:t>Storage</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729B08B8" w14:textId="77777777" w:rsidTr="0029613B">
        <w:tc>
          <w:tcPr>
            <w:tcW w:w="5000" w:type="pct"/>
            <w:gridSpan w:val="2"/>
            <w:tcBorders>
              <w:bottom w:val="single" w:sz="12" w:space="0" w:color="008000"/>
            </w:tcBorders>
            <w:shd w:val="clear" w:color="auto" w:fill="D9D9D9" w:themeFill="background1" w:themeFillShade="D9"/>
          </w:tcPr>
          <w:p w14:paraId="4D37D960" w14:textId="77777777" w:rsidR="008F4B01" w:rsidRPr="004176DE" w:rsidRDefault="008F4B01" w:rsidP="008F4B01">
            <w:pPr>
              <w:pStyle w:val="DHHSbody"/>
              <w:rPr>
                <w:rFonts w:cs="Arial"/>
              </w:rPr>
            </w:pPr>
            <w:r w:rsidRPr="004176DE">
              <w:rPr>
                <w:rFonts w:cs="Arial"/>
                <w:b/>
              </w:rPr>
              <w:t>ALL</w:t>
            </w:r>
            <w:r w:rsidRPr="004176DE">
              <w:rPr>
                <w:rFonts w:cs="Arial"/>
              </w:rPr>
              <w:t xml:space="preserve"> methadone and buprenorphine </w:t>
            </w:r>
            <w:r w:rsidR="007A7051" w:rsidRPr="00381B80">
              <w:rPr>
                <w:rFonts w:cs="Arial"/>
                <w:b/>
                <w:color w:val="FF0000"/>
              </w:rPr>
              <w:t>MUST</w:t>
            </w:r>
            <w:r w:rsidR="007A7051" w:rsidRPr="00381B80">
              <w:rPr>
                <w:rFonts w:cs="Arial"/>
                <w:color w:val="FF0000"/>
              </w:rPr>
              <w:t xml:space="preserve"> </w:t>
            </w:r>
            <w:r w:rsidRPr="004176DE">
              <w:rPr>
                <w:rFonts w:cs="Arial"/>
              </w:rPr>
              <w:t xml:space="preserve">be stored in a safe or Schedule 8 drug cabinet when not actually required for administration and </w:t>
            </w:r>
            <w:r w:rsidRPr="004176DE">
              <w:rPr>
                <w:rFonts w:cs="Arial"/>
                <w:b/>
              </w:rPr>
              <w:t>always</w:t>
            </w:r>
            <w:r w:rsidRPr="004176DE">
              <w:rPr>
                <w:rFonts w:cs="Arial"/>
              </w:rPr>
              <w:t xml:space="preserve"> at the end of the day.</w:t>
            </w:r>
          </w:p>
        </w:tc>
      </w:tr>
      <w:tr w:rsidR="008F4B01" w:rsidRPr="004176DE" w14:paraId="5B20B395"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40AA7AAC" w14:textId="77777777" w:rsidR="008F4B01" w:rsidRPr="004176DE" w:rsidRDefault="008F4B01" w:rsidP="008F4B01">
            <w:pPr>
              <w:pStyle w:val="DHHSbody"/>
              <w:rPr>
                <w:rFonts w:cs="Arial"/>
              </w:rPr>
            </w:pPr>
            <w:r w:rsidRPr="004176DE">
              <w:rPr>
                <w:rFonts w:cs="Arial"/>
              </w:rPr>
              <w:t xml:space="preserve">Does your pharmacy have sufficient storage capacity to accommodate all ORT drugs – including the </w:t>
            </w:r>
            <w:r w:rsidR="007A7051">
              <w:rPr>
                <w:rFonts w:cs="Arial"/>
              </w:rPr>
              <w:t xml:space="preserve">‘in-use’ </w:t>
            </w:r>
            <w:r w:rsidRPr="004176DE">
              <w:rPr>
                <w:rFonts w:cs="Arial"/>
              </w:rPr>
              <w:t>methadone-dispensing container?</w:t>
            </w:r>
          </w:p>
        </w:tc>
        <w:tc>
          <w:tcPr>
            <w:tcW w:w="851" w:type="pct"/>
            <w:tcBorders>
              <w:top w:val="single" w:sz="12" w:space="0" w:color="808080"/>
              <w:left w:val="single" w:sz="6" w:space="0" w:color="C0C0C0"/>
              <w:bottom w:val="single" w:sz="6" w:space="0" w:color="808080"/>
              <w:right w:val="single" w:sz="12" w:space="0" w:color="808080"/>
            </w:tcBorders>
          </w:tcPr>
          <w:p w14:paraId="6730EDD3"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bl>
    <w:p w14:paraId="1096459B" w14:textId="77777777" w:rsidR="008F4B01" w:rsidRPr="004176DE" w:rsidRDefault="008F4B01" w:rsidP="008F4B01">
      <w:pPr>
        <w:pStyle w:val="DHHSbody"/>
        <w:rPr>
          <w:rFonts w:cs="Arial"/>
        </w:rPr>
      </w:pP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3EF70F52" w14:textId="77777777" w:rsidTr="0029613B">
        <w:tc>
          <w:tcPr>
            <w:tcW w:w="5000" w:type="pct"/>
            <w:gridSpan w:val="2"/>
            <w:tcBorders>
              <w:bottom w:val="single" w:sz="12" w:space="0" w:color="008000"/>
            </w:tcBorders>
            <w:shd w:val="clear" w:color="auto" w:fill="D9D9D9" w:themeFill="background1" w:themeFillShade="D9"/>
          </w:tcPr>
          <w:p w14:paraId="6FF9030D" w14:textId="77777777" w:rsidR="008F4B01" w:rsidRPr="004176DE" w:rsidRDefault="008F4B01" w:rsidP="008F4B01">
            <w:pPr>
              <w:pStyle w:val="DHHSbody"/>
              <w:rPr>
                <w:rFonts w:cs="Arial"/>
              </w:rPr>
            </w:pPr>
            <w:r w:rsidRPr="004176DE">
              <w:rPr>
                <w:rFonts w:cs="Arial"/>
              </w:rPr>
              <w:t>Some pharmacies have experienced situations where a person has reached over or around a dispensary barrier to snatch a bottle of methadone solution or packets of buprenorphine preparations.</w:t>
            </w:r>
          </w:p>
        </w:tc>
      </w:tr>
      <w:tr w:rsidR="008F4B01" w:rsidRPr="004176DE" w14:paraId="39AAA6F5"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27139189" w14:textId="77777777" w:rsidR="00AF3EC6" w:rsidRPr="00334323" w:rsidRDefault="008F4B01" w:rsidP="008F4B01">
            <w:pPr>
              <w:pStyle w:val="DHHSbody"/>
              <w:rPr>
                <w:rFonts w:cs="Arial"/>
              </w:rPr>
            </w:pPr>
            <w:r w:rsidRPr="00334323">
              <w:rPr>
                <w:rFonts w:cs="Arial"/>
              </w:rPr>
              <w:t xml:space="preserve">During the working day, </w:t>
            </w:r>
            <w:r w:rsidR="007A7051" w:rsidRPr="00334323">
              <w:rPr>
                <w:rFonts w:cs="Arial"/>
              </w:rPr>
              <w:t>are</w:t>
            </w:r>
            <w:r w:rsidR="00DD4CF0" w:rsidRPr="00334323">
              <w:rPr>
                <w:rFonts w:cs="Arial"/>
              </w:rPr>
              <w:t xml:space="preserve"> the methadone</w:t>
            </w:r>
            <w:r w:rsidRPr="00334323">
              <w:rPr>
                <w:rFonts w:cs="Arial"/>
              </w:rPr>
              <w:t xml:space="preserve"> dispensing container and the </w:t>
            </w:r>
            <w:r w:rsidR="007A7051" w:rsidRPr="00334323">
              <w:rPr>
                <w:rFonts w:cs="Arial"/>
              </w:rPr>
              <w:t>‘</w:t>
            </w:r>
            <w:r w:rsidRPr="00334323">
              <w:rPr>
                <w:rFonts w:cs="Arial"/>
              </w:rPr>
              <w:t>in-use</w:t>
            </w:r>
            <w:r w:rsidR="007A7051" w:rsidRPr="00334323">
              <w:rPr>
                <w:rFonts w:cs="Arial"/>
              </w:rPr>
              <w:t>’</w:t>
            </w:r>
            <w:r w:rsidRPr="00334323">
              <w:rPr>
                <w:rFonts w:cs="Arial"/>
              </w:rPr>
              <w:t xml:space="preserve"> buprenorphine preparations located</w:t>
            </w:r>
            <w:r w:rsidR="007A7051" w:rsidRPr="00334323">
              <w:rPr>
                <w:rFonts w:cs="Arial"/>
              </w:rPr>
              <w:t xml:space="preserve"> </w:t>
            </w:r>
            <w:r w:rsidR="00AF3EC6" w:rsidRPr="00334323">
              <w:rPr>
                <w:rFonts w:cs="Arial"/>
              </w:rPr>
              <w:t>(</w:t>
            </w:r>
            <w:r w:rsidR="007A7051" w:rsidRPr="00334323">
              <w:rPr>
                <w:rFonts w:cs="Arial"/>
              </w:rPr>
              <w:t>or secured)</w:t>
            </w:r>
            <w:r w:rsidRPr="00334323">
              <w:rPr>
                <w:rFonts w:cs="Arial"/>
              </w:rPr>
              <w:t xml:space="preserve"> where a person cannot reach them or walk to them without obstruction </w:t>
            </w:r>
            <w:r w:rsidR="007A7051" w:rsidRPr="00334323">
              <w:rPr>
                <w:rFonts w:cs="Arial"/>
              </w:rPr>
              <w:t>in order to misappropriate the drugs</w:t>
            </w:r>
            <w:r w:rsidRPr="00334323">
              <w:rPr>
                <w:rFonts w:cs="Arial"/>
              </w:rPr>
              <w:t>?</w:t>
            </w:r>
            <w:r w:rsidR="00AF3EC6" w:rsidRPr="00334323">
              <w:rPr>
                <w:rFonts w:cs="Arial"/>
              </w:rPr>
              <w:t xml:space="preserve">  </w:t>
            </w:r>
          </w:p>
          <w:p w14:paraId="34C2F8F5" w14:textId="77777777" w:rsidR="008F4B01" w:rsidRPr="00334323" w:rsidRDefault="00AF3EC6" w:rsidP="008F4B01">
            <w:pPr>
              <w:pStyle w:val="DHHSbody"/>
              <w:rPr>
                <w:rFonts w:cs="Arial"/>
              </w:rPr>
            </w:pPr>
            <w:r w:rsidRPr="00334323">
              <w:rPr>
                <w:rFonts w:cs="Arial"/>
              </w:rPr>
              <w:t xml:space="preserve">Some pharmacies have </w:t>
            </w:r>
            <w:r w:rsidR="00334323">
              <w:rPr>
                <w:rFonts w:cs="Arial"/>
              </w:rPr>
              <w:t>had</w:t>
            </w:r>
            <w:r w:rsidRPr="00334323">
              <w:rPr>
                <w:rFonts w:cs="Arial"/>
              </w:rPr>
              <w:t xml:space="preserve"> to address this risk by having the methadone dispensing container fitted with a collar that enables it to be chained to a fixture.</w:t>
            </w:r>
          </w:p>
        </w:tc>
        <w:tc>
          <w:tcPr>
            <w:tcW w:w="851" w:type="pct"/>
            <w:tcBorders>
              <w:top w:val="single" w:sz="12" w:space="0" w:color="808080"/>
              <w:left w:val="single" w:sz="6" w:space="0" w:color="C0C0C0"/>
              <w:bottom w:val="single" w:sz="6" w:space="0" w:color="808080"/>
              <w:right w:val="single" w:sz="12" w:space="0" w:color="808080"/>
            </w:tcBorders>
          </w:tcPr>
          <w:p w14:paraId="36D58DB8"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bl>
    <w:p w14:paraId="62D3DA0C" w14:textId="77777777" w:rsidR="008F4B01" w:rsidRPr="00C400EA" w:rsidRDefault="008F4B01" w:rsidP="00D7793F">
      <w:pPr>
        <w:pStyle w:val="Heading3"/>
        <w:rPr>
          <w:lang w:val="it-IT"/>
        </w:rPr>
      </w:pPr>
      <w:r w:rsidRPr="00C400EA">
        <w:rPr>
          <w:lang w:val="it-IT"/>
        </w:rPr>
        <w:t>Stability of buprenorphine preparations</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43418377" w14:textId="77777777" w:rsidTr="0029613B">
        <w:tc>
          <w:tcPr>
            <w:tcW w:w="5000" w:type="pct"/>
            <w:gridSpan w:val="2"/>
            <w:tcBorders>
              <w:bottom w:val="single" w:sz="12" w:space="0" w:color="008000"/>
            </w:tcBorders>
            <w:shd w:val="clear" w:color="auto" w:fill="D9D9D9" w:themeFill="background1" w:themeFillShade="D9"/>
          </w:tcPr>
          <w:p w14:paraId="7460DE6A" w14:textId="77777777" w:rsidR="008F4B01" w:rsidRPr="004176DE" w:rsidRDefault="008F4B01" w:rsidP="008F4B01">
            <w:pPr>
              <w:pStyle w:val="DHHSbody"/>
              <w:rPr>
                <w:rFonts w:cs="Arial"/>
              </w:rPr>
            </w:pPr>
            <w:r w:rsidRPr="004176DE">
              <w:rPr>
                <w:rFonts w:cs="Arial"/>
              </w:rPr>
              <w:t>Buprenorphine sublingual preparations are packed under nitrogen, to ensure the stability and integrity of the drug. Tablets and Films should remain in the manufacturer’s immediate packaging until immediately prior to administration.</w:t>
            </w:r>
          </w:p>
        </w:tc>
      </w:tr>
      <w:tr w:rsidR="008F4B01" w:rsidRPr="004176DE" w14:paraId="16AD92DB"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435D48EB" w14:textId="77777777" w:rsidR="008F4B01" w:rsidRPr="004176DE" w:rsidRDefault="008F4B01" w:rsidP="008F4B01">
            <w:pPr>
              <w:pStyle w:val="DHHSbody"/>
              <w:rPr>
                <w:rFonts w:cs="Arial"/>
              </w:rPr>
            </w:pPr>
            <w:r w:rsidRPr="004176DE">
              <w:rPr>
                <w:rFonts w:cs="Arial"/>
              </w:rPr>
              <w:t>Are buprenorphine preparations left in the manufacturer’s immediate packaging until it is time to prepare a dose for administration?</w:t>
            </w:r>
          </w:p>
        </w:tc>
        <w:tc>
          <w:tcPr>
            <w:tcW w:w="851" w:type="pct"/>
            <w:tcBorders>
              <w:top w:val="single" w:sz="12" w:space="0" w:color="808080"/>
              <w:left w:val="single" w:sz="6" w:space="0" w:color="C0C0C0"/>
              <w:bottom w:val="single" w:sz="6" w:space="0" w:color="808080"/>
              <w:right w:val="single" w:sz="12" w:space="0" w:color="808080"/>
            </w:tcBorders>
          </w:tcPr>
          <w:p w14:paraId="6CC32D4B"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bl>
    <w:p w14:paraId="1BE791BC" w14:textId="77777777" w:rsidR="008F4B01" w:rsidRPr="00C400EA" w:rsidRDefault="008F4B01" w:rsidP="00D7793F">
      <w:pPr>
        <w:pStyle w:val="Heading3"/>
        <w:rPr>
          <w:lang w:val="it-IT"/>
        </w:rPr>
      </w:pPr>
      <w:r w:rsidRPr="00C400EA">
        <w:rPr>
          <w:lang w:val="it-IT"/>
        </w:rPr>
        <w:t>Methadone dispensing container</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19DB6402" w14:textId="77777777" w:rsidTr="0029613B">
        <w:tc>
          <w:tcPr>
            <w:tcW w:w="5000" w:type="pct"/>
            <w:gridSpan w:val="2"/>
            <w:tcBorders>
              <w:bottom w:val="single" w:sz="12" w:space="0" w:color="008000"/>
            </w:tcBorders>
            <w:shd w:val="clear" w:color="auto" w:fill="D9D9D9" w:themeFill="background1" w:themeFillShade="D9"/>
          </w:tcPr>
          <w:p w14:paraId="1DCE994A" w14:textId="77777777" w:rsidR="008F4B01" w:rsidRPr="004176DE" w:rsidRDefault="008F4B01" w:rsidP="008F4B01">
            <w:pPr>
              <w:pStyle w:val="DHHSbody"/>
              <w:rPr>
                <w:rFonts w:cs="Arial"/>
              </w:rPr>
            </w:pPr>
            <w:r w:rsidRPr="004176DE">
              <w:rPr>
                <w:rFonts w:cs="Arial"/>
              </w:rPr>
              <w:t xml:space="preserve">Where pharmacies dispense </w:t>
            </w:r>
            <w:r w:rsidRPr="004176DE">
              <w:rPr>
                <w:rFonts w:cs="Arial"/>
                <w:b/>
              </w:rPr>
              <w:t xml:space="preserve">methadone </w:t>
            </w:r>
            <w:r w:rsidRPr="004176DE">
              <w:rPr>
                <w:rFonts w:cs="Arial"/>
              </w:rPr>
              <w:t>doses from a container other than the manufacturer’s original container, most use the solution in its original 5</w:t>
            </w:r>
            <w:r>
              <w:rPr>
                <w:rFonts w:cs="Arial"/>
              </w:rPr>
              <w:t xml:space="preserve"> </w:t>
            </w:r>
            <w:r w:rsidRPr="004176DE">
              <w:rPr>
                <w:rFonts w:cs="Arial"/>
              </w:rPr>
              <w:t>mg/mL concentration; some choose to dilute the solution to</w:t>
            </w:r>
            <w:r>
              <w:rPr>
                <w:rFonts w:cs="Arial"/>
              </w:rPr>
              <w:t xml:space="preserve"> a</w:t>
            </w:r>
            <w:r w:rsidRPr="004176DE">
              <w:rPr>
                <w:rFonts w:cs="Arial"/>
              </w:rPr>
              <w:t xml:space="preserve"> 1</w:t>
            </w:r>
            <w:r>
              <w:rPr>
                <w:rFonts w:cs="Arial"/>
              </w:rPr>
              <w:t xml:space="preserve"> </w:t>
            </w:r>
            <w:r w:rsidRPr="004176DE">
              <w:rPr>
                <w:rFonts w:cs="Arial"/>
              </w:rPr>
              <w:t xml:space="preserve">mg/mL concentration. To avoid errors, it is essential that the dispensing container is labelled to identify its contents </w:t>
            </w:r>
            <w:r>
              <w:rPr>
                <w:rFonts w:cs="Arial"/>
              </w:rPr>
              <w:t>plus</w:t>
            </w:r>
            <w:r w:rsidRPr="004176DE">
              <w:rPr>
                <w:rFonts w:cs="Arial"/>
              </w:rPr>
              <w:t xml:space="preserve"> the strength of those contents accurately and prominently.</w:t>
            </w:r>
          </w:p>
        </w:tc>
      </w:tr>
      <w:tr w:rsidR="008F4B01" w:rsidRPr="004176DE" w14:paraId="6F4564F7"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10985614" w14:textId="77777777" w:rsidR="008F4B01" w:rsidRPr="004176DE" w:rsidRDefault="008F4B01" w:rsidP="008F4B01">
            <w:pPr>
              <w:pStyle w:val="DHHSbody"/>
              <w:rPr>
                <w:rFonts w:cs="Arial"/>
              </w:rPr>
            </w:pPr>
            <w:r w:rsidRPr="004176DE">
              <w:rPr>
                <w:rFonts w:cs="Arial"/>
                <w:b/>
              </w:rPr>
              <w:t>IF</w:t>
            </w:r>
            <w:r w:rsidRPr="004176DE">
              <w:rPr>
                <w:rFonts w:cs="Arial"/>
              </w:rPr>
              <w:t xml:space="preserve"> dispensed from other than its original container, is the container labelled to identify its contents </w:t>
            </w:r>
            <w:r w:rsidRPr="004176DE">
              <w:rPr>
                <w:rFonts w:cs="Arial"/>
                <w:b/>
              </w:rPr>
              <w:t>prominently</w:t>
            </w:r>
            <w:r w:rsidRPr="004176DE">
              <w:rPr>
                <w:rFonts w:cs="Arial"/>
              </w:rPr>
              <w:t xml:space="preserve"> - </w:t>
            </w:r>
            <w:r w:rsidRPr="004176DE">
              <w:rPr>
                <w:rFonts w:cs="Arial"/>
                <w:b/>
              </w:rPr>
              <w:t>including</w:t>
            </w:r>
            <w:r w:rsidRPr="004176DE">
              <w:rPr>
                <w:rFonts w:cs="Arial"/>
              </w:rPr>
              <w:t xml:space="preserve"> the concentration of the methadone solution?</w:t>
            </w:r>
          </w:p>
        </w:tc>
        <w:tc>
          <w:tcPr>
            <w:tcW w:w="851" w:type="pct"/>
            <w:tcBorders>
              <w:top w:val="single" w:sz="12" w:space="0" w:color="808080"/>
              <w:left w:val="single" w:sz="6" w:space="0" w:color="C0C0C0"/>
              <w:bottom w:val="single" w:sz="6" w:space="0" w:color="808080"/>
              <w:right w:val="single" w:sz="12" w:space="0" w:color="808080"/>
            </w:tcBorders>
          </w:tcPr>
          <w:p w14:paraId="3F2AFD54"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bl>
    <w:p w14:paraId="543F55AF" w14:textId="77777777" w:rsidR="008F4B01" w:rsidRPr="00C400EA" w:rsidRDefault="008F4B01" w:rsidP="007015C5">
      <w:pPr>
        <w:pStyle w:val="Heading2"/>
      </w:pPr>
      <w:r w:rsidRPr="00C400EA">
        <w:lastRenderedPageBreak/>
        <w:t>Doses prepared in advance (if applicable)</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198F81AE" w14:textId="77777777" w:rsidTr="0029613B">
        <w:tc>
          <w:tcPr>
            <w:tcW w:w="5000" w:type="pct"/>
            <w:gridSpan w:val="2"/>
            <w:tcBorders>
              <w:bottom w:val="single" w:sz="12" w:space="0" w:color="008000"/>
            </w:tcBorders>
            <w:shd w:val="clear" w:color="auto" w:fill="D9D9D9" w:themeFill="background1" w:themeFillShade="D9"/>
          </w:tcPr>
          <w:p w14:paraId="1CC70174" w14:textId="77777777" w:rsidR="008F4B01" w:rsidRPr="004176DE" w:rsidRDefault="008F4B01" w:rsidP="008F4B01">
            <w:pPr>
              <w:pStyle w:val="DHHSbody"/>
              <w:rPr>
                <w:rFonts w:cs="Arial"/>
              </w:rPr>
            </w:pPr>
            <w:r w:rsidRPr="004176DE">
              <w:rPr>
                <w:rFonts w:cs="Arial"/>
              </w:rPr>
              <w:t>The department recommends that each ORT dose is prepared by the pharmacist who is to administer the dose when the patient attends to receive the dose.</w:t>
            </w:r>
          </w:p>
        </w:tc>
      </w:tr>
      <w:tr w:rsidR="008F4B01" w:rsidRPr="004176DE" w14:paraId="5EAAE171"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316EAF14" w14:textId="77777777" w:rsidR="008F4B01" w:rsidRPr="004176DE" w:rsidRDefault="008F4B01" w:rsidP="008F4B01">
            <w:pPr>
              <w:pStyle w:val="DHHSbody"/>
              <w:rPr>
                <w:rFonts w:cs="Arial"/>
              </w:rPr>
            </w:pPr>
            <w:r w:rsidRPr="004176DE">
              <w:rPr>
                <w:rFonts w:cs="Arial"/>
              </w:rPr>
              <w:t xml:space="preserve">Do pharmacists at your pharmacy prepare doses prior to patients’ attendance? </w:t>
            </w:r>
            <w:r w:rsidRPr="004176DE">
              <w:rPr>
                <w:rFonts w:cs="Arial"/>
                <w:iCs/>
              </w:rPr>
              <w:t>(If the answer is ‘no’, you need not complete the rest of this sub-section)</w:t>
            </w:r>
          </w:p>
        </w:tc>
        <w:tc>
          <w:tcPr>
            <w:tcW w:w="851" w:type="pct"/>
            <w:tcBorders>
              <w:top w:val="single" w:sz="12" w:space="0" w:color="808080"/>
              <w:left w:val="single" w:sz="6" w:space="0" w:color="C0C0C0"/>
              <w:bottom w:val="single" w:sz="6" w:space="0" w:color="808080"/>
              <w:right w:val="single" w:sz="12" w:space="0" w:color="808080"/>
            </w:tcBorders>
          </w:tcPr>
          <w:p w14:paraId="7E3F54F3" w14:textId="77777777" w:rsidR="008F4B01" w:rsidRPr="004176DE" w:rsidRDefault="008F4B01" w:rsidP="008F4B01">
            <w:pPr>
              <w:pStyle w:val="DHHSbody"/>
              <w:rPr>
                <w:rFonts w:cs="Arial"/>
              </w:rPr>
            </w:pPr>
            <w:r w:rsidRPr="004176DE">
              <w:rPr>
                <w:rFonts w:cs="Arial"/>
              </w:rPr>
              <w:t xml:space="preserve">Yes / </w:t>
            </w:r>
            <w:r w:rsidRPr="004176DE">
              <w:rPr>
                <w:rFonts w:cs="Arial"/>
                <w:b/>
              </w:rPr>
              <w:t>NO</w:t>
            </w:r>
          </w:p>
        </w:tc>
      </w:tr>
    </w:tbl>
    <w:p w14:paraId="5C978CEF" w14:textId="77777777" w:rsidR="008F4B01" w:rsidRPr="004176DE" w:rsidRDefault="008F4B01" w:rsidP="008F4B01">
      <w:pPr>
        <w:pStyle w:val="DHHSbody"/>
        <w:rPr>
          <w:rFonts w:cs="Arial"/>
        </w:rPr>
      </w:pP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3D9CE29D" w14:textId="77777777" w:rsidTr="0029613B">
        <w:tc>
          <w:tcPr>
            <w:tcW w:w="5000" w:type="pct"/>
            <w:gridSpan w:val="2"/>
            <w:tcBorders>
              <w:bottom w:val="single" w:sz="12" w:space="0" w:color="008000"/>
            </w:tcBorders>
            <w:shd w:val="clear" w:color="auto" w:fill="D9D9D9" w:themeFill="background1" w:themeFillShade="D9"/>
          </w:tcPr>
          <w:p w14:paraId="3D068158" w14:textId="77777777" w:rsidR="008F4B01" w:rsidRPr="004176DE" w:rsidRDefault="008F4B01" w:rsidP="008F4B01">
            <w:pPr>
              <w:pStyle w:val="DHHSbody"/>
              <w:rPr>
                <w:rFonts w:cs="Arial"/>
              </w:rPr>
            </w:pPr>
            <w:r w:rsidRPr="004176DE">
              <w:rPr>
                <w:rFonts w:cs="Arial"/>
              </w:rPr>
              <w:t>Where a pharmacy chooses to prepare doses in advance of patients’ attendance, additional matters should be considered to minimise the risk of errors.</w:t>
            </w:r>
          </w:p>
        </w:tc>
      </w:tr>
      <w:tr w:rsidR="008F4B01" w:rsidRPr="004176DE" w14:paraId="567AEA4A"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46AE6C1D" w14:textId="77777777" w:rsidR="008F4B01" w:rsidRPr="004176DE" w:rsidRDefault="008F4B01" w:rsidP="008F4B01">
            <w:pPr>
              <w:pStyle w:val="DHHSbody"/>
              <w:rPr>
                <w:rFonts w:cs="Arial"/>
              </w:rPr>
            </w:pPr>
            <w:r w:rsidRPr="004176DE">
              <w:rPr>
                <w:rFonts w:cs="Arial"/>
              </w:rPr>
              <w:t>Are pre-prepared doses placed in containers that have a secure closure?</w:t>
            </w:r>
          </w:p>
        </w:tc>
        <w:tc>
          <w:tcPr>
            <w:tcW w:w="851" w:type="pct"/>
            <w:tcBorders>
              <w:top w:val="single" w:sz="12" w:space="0" w:color="808080"/>
              <w:left w:val="single" w:sz="6" w:space="0" w:color="C0C0C0"/>
              <w:bottom w:val="single" w:sz="6" w:space="0" w:color="808080"/>
              <w:right w:val="single" w:sz="12" w:space="0" w:color="808080"/>
            </w:tcBorders>
          </w:tcPr>
          <w:p w14:paraId="2C766E87"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r w:rsidR="008F4B01" w:rsidRPr="004176DE" w14:paraId="1CAEB9D0"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447AEA08" w14:textId="77777777" w:rsidR="008F4B01" w:rsidRPr="004176DE" w:rsidRDefault="008F4B01" w:rsidP="008F4B01">
            <w:pPr>
              <w:pStyle w:val="DHHSbody"/>
              <w:rPr>
                <w:rFonts w:cs="Arial"/>
              </w:rPr>
            </w:pPr>
            <w:r w:rsidRPr="004176DE">
              <w:rPr>
                <w:rFonts w:cs="Arial"/>
              </w:rPr>
              <w:t xml:space="preserve">Are pre-prepared doses placed in containers that are clearly </w:t>
            </w:r>
            <w:r w:rsidR="007A7051">
              <w:rPr>
                <w:rFonts w:cs="Arial"/>
              </w:rPr>
              <w:t>and</w:t>
            </w:r>
            <w:r w:rsidRPr="004176DE">
              <w:rPr>
                <w:rFonts w:cs="Arial"/>
              </w:rPr>
              <w:t xml:space="preserve"> unambiguously labelled with the identity of the patient?</w:t>
            </w:r>
          </w:p>
        </w:tc>
        <w:tc>
          <w:tcPr>
            <w:tcW w:w="851" w:type="pct"/>
            <w:tcBorders>
              <w:top w:val="single" w:sz="12" w:space="0" w:color="808080"/>
              <w:left w:val="single" w:sz="6" w:space="0" w:color="C0C0C0"/>
              <w:bottom w:val="single" w:sz="6" w:space="0" w:color="808080"/>
              <w:right w:val="single" w:sz="12" w:space="0" w:color="808080"/>
            </w:tcBorders>
          </w:tcPr>
          <w:p w14:paraId="3A7103E2"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r w:rsidR="008F4B01" w:rsidRPr="004176DE" w14:paraId="31D63534"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761B29B1" w14:textId="77777777" w:rsidR="008F4B01" w:rsidRPr="004176DE" w:rsidRDefault="008F4B01" w:rsidP="008F4B01">
            <w:pPr>
              <w:pStyle w:val="DHHSbody"/>
              <w:rPr>
                <w:rFonts w:cs="Arial"/>
              </w:rPr>
            </w:pPr>
            <w:r w:rsidRPr="004176DE">
              <w:rPr>
                <w:rFonts w:cs="Arial"/>
              </w:rPr>
              <w:t>Do the pharmacy records clearly identify the pharmacist who prepared the dose in addition to the pharmacist who administer</w:t>
            </w:r>
            <w:r>
              <w:rPr>
                <w:rFonts w:cs="Arial"/>
              </w:rPr>
              <w:t>s</w:t>
            </w:r>
            <w:r w:rsidRPr="004176DE">
              <w:rPr>
                <w:rFonts w:cs="Arial"/>
              </w:rPr>
              <w:t xml:space="preserve"> the dose?</w:t>
            </w:r>
          </w:p>
        </w:tc>
        <w:tc>
          <w:tcPr>
            <w:tcW w:w="851" w:type="pct"/>
            <w:tcBorders>
              <w:top w:val="single" w:sz="12" w:space="0" w:color="808080"/>
              <w:left w:val="single" w:sz="6" w:space="0" w:color="C0C0C0"/>
              <w:bottom w:val="single" w:sz="6" w:space="0" w:color="808080"/>
              <w:right w:val="single" w:sz="12" w:space="0" w:color="808080"/>
            </w:tcBorders>
          </w:tcPr>
          <w:p w14:paraId="0B1B4FEF"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r w:rsidR="008F4B01" w:rsidRPr="004176DE" w14:paraId="7EAEB26D"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01C3DA45" w14:textId="77777777" w:rsidR="008F4B01" w:rsidRPr="004176DE" w:rsidRDefault="008F4B01" w:rsidP="008F4B01">
            <w:pPr>
              <w:pStyle w:val="DHHSbody"/>
              <w:rPr>
                <w:rFonts w:cs="Arial"/>
              </w:rPr>
            </w:pPr>
            <w:r w:rsidRPr="004176DE">
              <w:rPr>
                <w:rFonts w:cs="Arial"/>
              </w:rPr>
              <w:t xml:space="preserve">Are pre-prepared doses of </w:t>
            </w:r>
            <w:r w:rsidRPr="004176DE">
              <w:rPr>
                <w:rFonts w:cs="Arial"/>
                <w:b/>
              </w:rPr>
              <w:t>methadone</w:t>
            </w:r>
            <w:r w:rsidRPr="004176DE">
              <w:rPr>
                <w:rFonts w:cs="Arial"/>
              </w:rPr>
              <w:t xml:space="preserve"> diluted prior to the patient’s attendance? (This practice is not recommended because it precludes the possibility of the dose</w:t>
            </w:r>
            <w:r w:rsidR="007A7051">
              <w:rPr>
                <w:rFonts w:cs="Arial"/>
              </w:rPr>
              <w:t xml:space="preserve"> being re-checked</w:t>
            </w:r>
            <w:r w:rsidRPr="004176DE">
              <w:rPr>
                <w:rFonts w:cs="Arial"/>
              </w:rPr>
              <w:t>)</w:t>
            </w:r>
          </w:p>
        </w:tc>
        <w:tc>
          <w:tcPr>
            <w:tcW w:w="851" w:type="pct"/>
            <w:tcBorders>
              <w:top w:val="single" w:sz="12" w:space="0" w:color="808080"/>
              <w:left w:val="single" w:sz="6" w:space="0" w:color="C0C0C0"/>
              <w:bottom w:val="single" w:sz="6" w:space="0" w:color="808080"/>
              <w:right w:val="single" w:sz="12" w:space="0" w:color="808080"/>
            </w:tcBorders>
          </w:tcPr>
          <w:p w14:paraId="51993C64" w14:textId="77777777" w:rsidR="008F4B01" w:rsidRPr="004176DE" w:rsidRDefault="008F4B01" w:rsidP="008F4B01">
            <w:pPr>
              <w:pStyle w:val="DHHSbody"/>
              <w:rPr>
                <w:rFonts w:cs="Arial"/>
              </w:rPr>
            </w:pPr>
            <w:r w:rsidRPr="004176DE">
              <w:rPr>
                <w:rFonts w:cs="Arial"/>
              </w:rPr>
              <w:t xml:space="preserve">Yes / </w:t>
            </w:r>
            <w:r w:rsidRPr="004176DE">
              <w:rPr>
                <w:rFonts w:cs="Arial"/>
                <w:b/>
              </w:rPr>
              <w:t>NO</w:t>
            </w:r>
          </w:p>
        </w:tc>
      </w:tr>
    </w:tbl>
    <w:p w14:paraId="0EFFF83C" w14:textId="77777777" w:rsidR="008F4B01" w:rsidRPr="00BB370E" w:rsidRDefault="008F4B01" w:rsidP="007015C5">
      <w:pPr>
        <w:pStyle w:val="Heading2"/>
        <w:rPr>
          <w:lang w:val="it-IT"/>
        </w:rPr>
      </w:pPr>
      <w:r w:rsidRPr="00BB370E">
        <w:rPr>
          <w:lang w:val="it-IT"/>
        </w:rPr>
        <w:t>Administering methadone &amp; anti-diversion strategies</w:t>
      </w:r>
    </w:p>
    <w:tbl>
      <w:tblPr>
        <w:tblW w:w="5000" w:type="pct"/>
        <w:tblBorders>
          <w:top w:val="single" w:sz="12" w:space="0" w:color="808080"/>
          <w:left w:val="single" w:sz="12" w:space="0" w:color="808080"/>
          <w:bottom w:val="single" w:sz="12" w:space="0" w:color="808080"/>
          <w:right w:val="single" w:sz="12" w:space="0" w:color="808080"/>
          <w:insideV w:val="single" w:sz="6" w:space="0" w:color="C0C0C0"/>
        </w:tblBorders>
        <w:tblLook w:val="0000" w:firstRow="0" w:lastRow="0" w:firstColumn="0" w:lastColumn="0" w:noHBand="0" w:noVBand="0"/>
      </w:tblPr>
      <w:tblGrid>
        <w:gridCol w:w="8442"/>
        <w:gridCol w:w="1732"/>
      </w:tblGrid>
      <w:tr w:rsidR="008F4B01" w:rsidRPr="004176DE" w14:paraId="226D91E8" w14:textId="77777777" w:rsidTr="0029613B">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0CE2DA5C" w14:textId="77777777" w:rsidR="008F4B01" w:rsidRPr="004176DE" w:rsidRDefault="008F4B01" w:rsidP="008F4B01">
            <w:pPr>
              <w:pStyle w:val="DHHSbody"/>
              <w:rPr>
                <w:rFonts w:cs="Arial"/>
              </w:rPr>
            </w:pPr>
            <w:r w:rsidRPr="004176DE">
              <w:rPr>
                <w:rFonts w:cs="Arial"/>
              </w:rPr>
              <w:t>Is each supervised dose of methadone diluted with water or cordial before administration?</w:t>
            </w:r>
          </w:p>
        </w:tc>
        <w:tc>
          <w:tcPr>
            <w:tcW w:w="851" w:type="pct"/>
            <w:tcBorders>
              <w:top w:val="single" w:sz="12" w:space="0" w:color="808080"/>
              <w:left w:val="single" w:sz="6" w:space="0" w:color="C0C0C0"/>
              <w:bottom w:val="single" w:sz="6" w:space="0" w:color="808080"/>
              <w:right w:val="single" w:sz="12" w:space="0" w:color="808080"/>
            </w:tcBorders>
          </w:tcPr>
          <w:p w14:paraId="75DFB69D"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r w:rsidR="008F4B01" w:rsidRPr="004176DE" w14:paraId="540DB35E" w14:textId="77777777" w:rsidTr="0029613B">
        <w:tc>
          <w:tcPr>
            <w:tcW w:w="4149" w:type="pct"/>
            <w:tcBorders>
              <w:top w:val="single" w:sz="12" w:space="0" w:color="808080"/>
              <w:left w:val="single" w:sz="12" w:space="0" w:color="808080"/>
              <w:bottom w:val="single" w:sz="12" w:space="0" w:color="808080"/>
              <w:right w:val="single" w:sz="6" w:space="0" w:color="C0C0C0"/>
            </w:tcBorders>
            <w:shd w:val="clear" w:color="auto" w:fill="D9D9D9" w:themeFill="background1" w:themeFillShade="D9"/>
          </w:tcPr>
          <w:p w14:paraId="60834845" w14:textId="77777777" w:rsidR="008F4B01" w:rsidRPr="004176DE" w:rsidRDefault="008F4B01" w:rsidP="008F4B01">
            <w:pPr>
              <w:pStyle w:val="DHHSbody"/>
              <w:rPr>
                <w:rFonts w:cs="Arial"/>
              </w:rPr>
            </w:pPr>
            <w:r w:rsidRPr="004176DE">
              <w:rPr>
                <w:rFonts w:cs="Arial"/>
              </w:rPr>
              <w:t>Is the administration of each methadone dose supervised to ensure that the patient has consumed the dose?</w:t>
            </w:r>
          </w:p>
        </w:tc>
        <w:tc>
          <w:tcPr>
            <w:tcW w:w="851" w:type="pct"/>
            <w:tcBorders>
              <w:top w:val="single" w:sz="12" w:space="0" w:color="808080"/>
              <w:left w:val="single" w:sz="6" w:space="0" w:color="C0C0C0"/>
              <w:bottom w:val="single" w:sz="12" w:space="0" w:color="808080"/>
              <w:right w:val="single" w:sz="12" w:space="0" w:color="808080"/>
            </w:tcBorders>
          </w:tcPr>
          <w:p w14:paraId="27787ADA"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r w:rsidR="008F4B01" w:rsidRPr="004176DE" w14:paraId="50F75642" w14:textId="77777777" w:rsidTr="0029613B">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2CA70381" w14:textId="77777777" w:rsidR="008F4B01" w:rsidRPr="004176DE" w:rsidRDefault="008F4B01" w:rsidP="008F4B01">
            <w:pPr>
              <w:pStyle w:val="DHHSbody"/>
              <w:rPr>
                <w:rFonts w:cs="Arial"/>
              </w:rPr>
            </w:pPr>
            <w:r w:rsidRPr="004176DE">
              <w:rPr>
                <w:rFonts w:cs="Arial"/>
              </w:rPr>
              <w:t>Are all pharmacists aware that methadone is fully absorbed within 20 to 30 minutes of ingestion and that a dose might have been substantially absorbed if a patient claims to have vomited a dose after leaving the pharmacy?</w:t>
            </w:r>
          </w:p>
        </w:tc>
        <w:tc>
          <w:tcPr>
            <w:tcW w:w="851" w:type="pct"/>
            <w:tcBorders>
              <w:top w:val="single" w:sz="12" w:space="0" w:color="808080"/>
              <w:left w:val="single" w:sz="6" w:space="0" w:color="C0C0C0"/>
              <w:bottom w:val="single" w:sz="6" w:space="0" w:color="808080"/>
              <w:right w:val="single" w:sz="12" w:space="0" w:color="808080"/>
            </w:tcBorders>
          </w:tcPr>
          <w:p w14:paraId="1E3E23FD"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bl>
    <w:p w14:paraId="3BB50867" w14:textId="77777777" w:rsidR="008F4B01" w:rsidRPr="00BB370E" w:rsidRDefault="008F4B01" w:rsidP="007015C5">
      <w:pPr>
        <w:pStyle w:val="Heading2"/>
        <w:rPr>
          <w:lang w:val="it-IT"/>
        </w:rPr>
      </w:pPr>
      <w:r w:rsidRPr="00BB370E">
        <w:rPr>
          <w:lang w:val="it-IT"/>
        </w:rPr>
        <w:t>Administering buprenorphine &amp; anti-diversion strategies</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68C910BF" w14:textId="77777777" w:rsidTr="0029613B">
        <w:tc>
          <w:tcPr>
            <w:tcW w:w="5000" w:type="pct"/>
            <w:gridSpan w:val="2"/>
            <w:tcBorders>
              <w:bottom w:val="single" w:sz="12" w:space="0" w:color="008000"/>
            </w:tcBorders>
            <w:shd w:val="clear" w:color="auto" w:fill="D9D9D9" w:themeFill="background1" w:themeFillShade="D9"/>
          </w:tcPr>
          <w:p w14:paraId="2B103CDF" w14:textId="77777777" w:rsidR="008F4B01" w:rsidRPr="004176DE" w:rsidRDefault="008F4B01" w:rsidP="008F4B01">
            <w:pPr>
              <w:pStyle w:val="DHHSbody"/>
              <w:rPr>
                <w:rFonts w:cs="Arial"/>
              </w:rPr>
            </w:pPr>
            <w:r w:rsidRPr="004176DE">
              <w:rPr>
                <w:rFonts w:cs="Arial"/>
              </w:rPr>
              <w:t>To address widespread reports of diversion and injection of Subutex</w:t>
            </w:r>
            <w:r w:rsidRPr="004176DE">
              <w:rPr>
                <w:rFonts w:cs="Arial"/>
                <w:vertAlign w:val="superscript"/>
              </w:rPr>
              <w:t>®</w:t>
            </w:r>
            <w:r w:rsidRPr="004176DE">
              <w:rPr>
                <w:rFonts w:cs="Arial"/>
              </w:rPr>
              <w:t>, naloxone was added to the formulation to deter injection and pharmacists were instructed to break tablets into smaller pieces to reduce the times required for absorption and supervision. Suboxone</w:t>
            </w:r>
            <w:r w:rsidRPr="004176DE">
              <w:rPr>
                <w:rFonts w:cs="Arial"/>
                <w:vertAlign w:val="superscript"/>
              </w:rPr>
              <w:t>®</w:t>
            </w:r>
            <w:r w:rsidRPr="004176DE">
              <w:rPr>
                <w:rFonts w:cs="Arial"/>
              </w:rPr>
              <w:t xml:space="preserve"> Films were subsequently developed to further reduce the times of absorption and supervision.</w:t>
            </w:r>
          </w:p>
          <w:p w14:paraId="28FC0E9B" w14:textId="77777777" w:rsidR="008F4B01" w:rsidRPr="004176DE" w:rsidRDefault="008F4B01" w:rsidP="008F4B01">
            <w:pPr>
              <w:pStyle w:val="DHHSbody"/>
              <w:rPr>
                <w:rFonts w:cs="Arial"/>
              </w:rPr>
            </w:pPr>
            <w:r w:rsidRPr="004176DE">
              <w:rPr>
                <w:rFonts w:cs="Arial"/>
              </w:rPr>
              <w:t xml:space="preserve">For administration of </w:t>
            </w:r>
            <w:r w:rsidRPr="006B0B13">
              <w:rPr>
                <w:rFonts w:cs="Arial"/>
                <w:b/>
              </w:rPr>
              <w:t>Suboxone</w:t>
            </w:r>
            <w:r w:rsidRPr="006B0B13">
              <w:rPr>
                <w:rFonts w:cs="Arial"/>
                <w:b/>
                <w:vertAlign w:val="superscript"/>
              </w:rPr>
              <w:t>®</w:t>
            </w:r>
            <w:r w:rsidRPr="006B0B13">
              <w:rPr>
                <w:rFonts w:cs="Arial"/>
                <w:b/>
              </w:rPr>
              <w:t xml:space="preserve"> Films</w:t>
            </w:r>
            <w:r w:rsidRPr="004176DE">
              <w:rPr>
                <w:rFonts w:cs="Arial"/>
              </w:rPr>
              <w:t>, each sachet should be torn to allow the patient to remove (peel off) the strips and place one strip under each side of the tongue without overlapping. Some patients will be able to administer four doses concurrently, with the extra two Films being administered in the buccal cavities.</w:t>
            </w:r>
          </w:p>
        </w:tc>
      </w:tr>
      <w:tr w:rsidR="008F4B01" w:rsidRPr="004176DE" w14:paraId="324C899B"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04945152" w14:textId="77777777" w:rsidR="008F4B01" w:rsidRPr="004176DE" w:rsidRDefault="008F4B01" w:rsidP="008F4B01">
            <w:pPr>
              <w:pStyle w:val="DHHSbody"/>
              <w:rPr>
                <w:rFonts w:cs="Arial"/>
              </w:rPr>
            </w:pPr>
            <w:r w:rsidRPr="004176DE">
              <w:rPr>
                <w:rFonts w:cs="Arial"/>
              </w:rPr>
              <w:t>Have all pharmacists and patients been advised that buprenorphine preparations are to be administered sublingually and that Suboxone</w:t>
            </w:r>
            <w:r w:rsidRPr="004176DE">
              <w:rPr>
                <w:rFonts w:cs="Arial"/>
                <w:vertAlign w:val="superscript"/>
              </w:rPr>
              <w:t>®</w:t>
            </w:r>
            <w:r w:rsidRPr="004176DE">
              <w:rPr>
                <w:rFonts w:cs="Arial"/>
              </w:rPr>
              <w:t xml:space="preserve"> Films should not overlap?</w:t>
            </w:r>
          </w:p>
        </w:tc>
        <w:tc>
          <w:tcPr>
            <w:tcW w:w="851" w:type="pct"/>
            <w:tcBorders>
              <w:top w:val="single" w:sz="12" w:space="0" w:color="808080"/>
              <w:left w:val="single" w:sz="6" w:space="0" w:color="C0C0C0"/>
              <w:bottom w:val="single" w:sz="6" w:space="0" w:color="808080"/>
              <w:right w:val="single" w:sz="12" w:space="0" w:color="808080"/>
            </w:tcBorders>
          </w:tcPr>
          <w:p w14:paraId="490079C6" w14:textId="77777777" w:rsidR="008F4B01" w:rsidRPr="004176DE" w:rsidRDefault="008F4B01" w:rsidP="008F4B01">
            <w:pPr>
              <w:pStyle w:val="DHHSbody"/>
              <w:rPr>
                <w:rFonts w:cs="Arial"/>
                <w:b/>
              </w:rPr>
            </w:pPr>
            <w:r w:rsidRPr="004176DE">
              <w:rPr>
                <w:rFonts w:cs="Arial"/>
                <w:b/>
              </w:rPr>
              <w:t xml:space="preserve">YES / </w:t>
            </w:r>
            <w:r w:rsidRPr="006B0B13">
              <w:rPr>
                <w:rFonts w:cs="Arial"/>
              </w:rPr>
              <w:t>No</w:t>
            </w:r>
          </w:p>
        </w:tc>
      </w:tr>
      <w:tr w:rsidR="00AF3EC6" w:rsidRPr="004176DE" w14:paraId="0AFA9199" w14:textId="77777777" w:rsidTr="00A66E1A">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3D47CFA2" w14:textId="77777777" w:rsidR="00AF3EC6" w:rsidRPr="00334323" w:rsidRDefault="00AF3EC6" w:rsidP="00A66E1A">
            <w:pPr>
              <w:pStyle w:val="DHHSbody"/>
              <w:rPr>
                <w:rFonts w:cs="Arial"/>
              </w:rPr>
            </w:pPr>
            <w:r w:rsidRPr="00334323">
              <w:rPr>
                <w:rFonts w:cs="Arial"/>
              </w:rPr>
              <w:t>Are patients supervised to ensure that Suboxone</w:t>
            </w:r>
            <w:r w:rsidRPr="00334323">
              <w:rPr>
                <w:rFonts w:cs="Arial"/>
                <w:vertAlign w:val="superscript"/>
              </w:rPr>
              <w:t>®</w:t>
            </w:r>
            <w:r w:rsidRPr="00334323">
              <w:rPr>
                <w:rFonts w:cs="Arial"/>
              </w:rPr>
              <w:t xml:space="preserve"> Films are actually </w:t>
            </w:r>
            <w:r w:rsidR="00110867" w:rsidRPr="00334323">
              <w:rPr>
                <w:rFonts w:cs="Arial"/>
              </w:rPr>
              <w:t>applied</w:t>
            </w:r>
            <w:r w:rsidRPr="00334323">
              <w:rPr>
                <w:rFonts w:cs="Arial"/>
              </w:rPr>
              <w:t xml:space="preserve"> within the mouth and not palmed for diversion?</w:t>
            </w:r>
          </w:p>
        </w:tc>
        <w:tc>
          <w:tcPr>
            <w:tcW w:w="851" w:type="pct"/>
            <w:tcBorders>
              <w:top w:val="single" w:sz="12" w:space="0" w:color="808080"/>
              <w:left w:val="single" w:sz="6" w:space="0" w:color="C0C0C0"/>
              <w:bottom w:val="single" w:sz="6" w:space="0" w:color="808080"/>
              <w:right w:val="single" w:sz="12" w:space="0" w:color="808080"/>
            </w:tcBorders>
          </w:tcPr>
          <w:p w14:paraId="06F548E8" w14:textId="77777777" w:rsidR="00AF3EC6" w:rsidRPr="004176DE" w:rsidRDefault="00AF3EC6" w:rsidP="00A66E1A">
            <w:pPr>
              <w:pStyle w:val="DHHSbody"/>
              <w:rPr>
                <w:rFonts w:cs="Arial"/>
                <w:b/>
              </w:rPr>
            </w:pPr>
            <w:r w:rsidRPr="004176DE">
              <w:rPr>
                <w:rFonts w:cs="Arial"/>
                <w:b/>
              </w:rPr>
              <w:t xml:space="preserve">YES / </w:t>
            </w:r>
            <w:r w:rsidRPr="006B0B13">
              <w:rPr>
                <w:rFonts w:cs="Arial"/>
              </w:rPr>
              <w:t>No</w:t>
            </w:r>
          </w:p>
        </w:tc>
      </w:tr>
      <w:tr w:rsidR="008F4B01" w:rsidRPr="004176DE" w14:paraId="2F70B411"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49B05F97" w14:textId="77777777" w:rsidR="008F4B01" w:rsidRPr="004176DE" w:rsidRDefault="008F4B01" w:rsidP="008F4B01">
            <w:pPr>
              <w:pStyle w:val="DHHSbody"/>
              <w:rPr>
                <w:rFonts w:cs="Arial"/>
              </w:rPr>
            </w:pPr>
            <w:r w:rsidRPr="004176DE">
              <w:rPr>
                <w:rFonts w:cs="Arial"/>
              </w:rPr>
              <w:t>Are patients supervised until the sublingual dose of buprenorphine tablets has been substantially absorbed or Suboxone</w:t>
            </w:r>
            <w:r w:rsidRPr="004176DE">
              <w:rPr>
                <w:rFonts w:cs="Arial"/>
                <w:vertAlign w:val="superscript"/>
              </w:rPr>
              <w:t>®</w:t>
            </w:r>
            <w:r w:rsidRPr="004176DE">
              <w:rPr>
                <w:rFonts w:cs="Arial"/>
              </w:rPr>
              <w:t xml:space="preserve"> Films have adhered to the mucous membrane?</w:t>
            </w:r>
          </w:p>
        </w:tc>
        <w:tc>
          <w:tcPr>
            <w:tcW w:w="851" w:type="pct"/>
            <w:tcBorders>
              <w:top w:val="single" w:sz="12" w:space="0" w:color="808080"/>
              <w:left w:val="single" w:sz="6" w:space="0" w:color="C0C0C0"/>
              <w:bottom w:val="single" w:sz="6" w:space="0" w:color="808080"/>
              <w:right w:val="single" w:sz="12" w:space="0" w:color="808080"/>
            </w:tcBorders>
          </w:tcPr>
          <w:p w14:paraId="0E5008DD" w14:textId="77777777" w:rsidR="008F4B01" w:rsidRPr="004176DE" w:rsidRDefault="008F4B01" w:rsidP="008F4B01">
            <w:pPr>
              <w:pStyle w:val="DHHSbody"/>
              <w:rPr>
                <w:rFonts w:cs="Arial"/>
                <w:b/>
              </w:rPr>
            </w:pPr>
            <w:r w:rsidRPr="004176DE">
              <w:rPr>
                <w:rFonts w:cs="Arial"/>
                <w:b/>
              </w:rPr>
              <w:t xml:space="preserve">YES / </w:t>
            </w:r>
            <w:r w:rsidRPr="006B0B13">
              <w:rPr>
                <w:rFonts w:cs="Arial"/>
              </w:rPr>
              <w:t>No</w:t>
            </w:r>
          </w:p>
        </w:tc>
      </w:tr>
    </w:tbl>
    <w:p w14:paraId="11B8C958" w14:textId="77777777" w:rsidR="008F4B01" w:rsidRPr="004176DE" w:rsidRDefault="008F4B01" w:rsidP="008F4B01">
      <w:pPr>
        <w:pStyle w:val="DHHSbody"/>
        <w:rPr>
          <w:rFonts w:cs="Arial"/>
        </w:rPr>
      </w:pP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20397BDB" w14:textId="77777777" w:rsidTr="0029613B">
        <w:tc>
          <w:tcPr>
            <w:tcW w:w="5000" w:type="pct"/>
            <w:gridSpan w:val="2"/>
            <w:tcBorders>
              <w:bottom w:val="single" w:sz="12" w:space="0" w:color="008000"/>
            </w:tcBorders>
            <w:shd w:val="clear" w:color="auto" w:fill="D9D9D9" w:themeFill="background1" w:themeFillShade="D9"/>
          </w:tcPr>
          <w:p w14:paraId="7910EE49" w14:textId="77777777" w:rsidR="008F4B01" w:rsidRPr="004176DE" w:rsidRDefault="008F4B01" w:rsidP="008F4B01">
            <w:pPr>
              <w:pStyle w:val="DHHSbody"/>
              <w:rPr>
                <w:rFonts w:cs="Arial"/>
              </w:rPr>
            </w:pPr>
            <w:r w:rsidRPr="004176DE">
              <w:rPr>
                <w:rFonts w:cs="Arial"/>
              </w:rPr>
              <w:lastRenderedPageBreak/>
              <w:t xml:space="preserve">The Policy states that </w:t>
            </w:r>
            <w:r w:rsidRPr="006B0B13">
              <w:rPr>
                <w:rFonts w:cs="Arial"/>
                <w:b/>
              </w:rPr>
              <w:t>Subutex</w:t>
            </w:r>
            <w:r w:rsidRPr="006B0B13">
              <w:rPr>
                <w:rFonts w:cs="Arial"/>
                <w:b/>
                <w:vertAlign w:val="superscript"/>
              </w:rPr>
              <w:t>®</w:t>
            </w:r>
            <w:r w:rsidRPr="006B0B13">
              <w:rPr>
                <w:rFonts w:cs="Arial"/>
                <w:b/>
              </w:rPr>
              <w:t xml:space="preserve"> tablets</w:t>
            </w:r>
            <w:r w:rsidRPr="004176DE">
              <w:rPr>
                <w:rFonts w:cs="Arial"/>
              </w:rPr>
              <w:t xml:space="preserve"> should be broken into small pieces (resembling granules) and administered directly under the patient’s tongue. </w:t>
            </w:r>
            <w:r w:rsidRPr="004176DE">
              <w:rPr>
                <w:rFonts w:cs="Arial"/>
                <w:b/>
              </w:rPr>
              <w:t>Note</w:t>
            </w:r>
            <w:r w:rsidRPr="004176DE">
              <w:rPr>
                <w:rFonts w:cs="Arial"/>
              </w:rPr>
              <w:t xml:space="preserve">: Crushing tablets into a fine powder may cause pasting in the mouth and actually slow absorption.  </w:t>
            </w:r>
          </w:p>
          <w:p w14:paraId="19926500" w14:textId="77777777" w:rsidR="008F4B01" w:rsidRPr="004176DE" w:rsidRDefault="00050BC7" w:rsidP="008F4B01">
            <w:pPr>
              <w:pStyle w:val="DHHSbody"/>
              <w:rPr>
                <w:rFonts w:cs="Arial"/>
              </w:rPr>
            </w:pPr>
            <w:r>
              <w:rPr>
                <w:rFonts w:cs="Arial"/>
              </w:rPr>
              <w:t>MPR</w:t>
            </w:r>
            <w:r w:rsidR="008F4B01" w:rsidRPr="004176DE">
              <w:rPr>
                <w:rFonts w:cs="Arial"/>
              </w:rPr>
              <w:t xml:space="preserve"> recommends providing the dose of broken tablets to the patient in a dry disposable cup. If patients complain about the taste, bread is reported to be quite effective in eliminating the taste and, if it is a particular concern, patients can be advised to bring a slice of bread to eat once the tablets have been absorbed.</w:t>
            </w:r>
          </w:p>
        </w:tc>
      </w:tr>
      <w:tr w:rsidR="008F4B01" w:rsidRPr="004176DE" w14:paraId="5B5B413F"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585145A4" w14:textId="77777777" w:rsidR="008F4B01" w:rsidRPr="004176DE" w:rsidRDefault="008F4B01" w:rsidP="008F4B01">
            <w:pPr>
              <w:pStyle w:val="DHHSbody"/>
              <w:rPr>
                <w:rFonts w:cs="Arial"/>
              </w:rPr>
            </w:pPr>
            <w:r w:rsidRPr="004176DE">
              <w:rPr>
                <w:rFonts w:cs="Arial"/>
              </w:rPr>
              <w:t>To minimise the possibility that Subutex</w:t>
            </w:r>
            <w:r w:rsidRPr="004176DE">
              <w:rPr>
                <w:rFonts w:cs="Arial"/>
                <w:vertAlign w:val="superscript"/>
              </w:rPr>
              <w:t xml:space="preserve">® </w:t>
            </w:r>
            <w:r w:rsidRPr="004176DE">
              <w:rPr>
                <w:rFonts w:cs="Arial"/>
              </w:rPr>
              <w:t>tablets might be diverted, are the tablets routinely broken into small pieces or granules before administration to each patient?</w:t>
            </w:r>
          </w:p>
        </w:tc>
        <w:tc>
          <w:tcPr>
            <w:tcW w:w="851" w:type="pct"/>
            <w:tcBorders>
              <w:top w:val="single" w:sz="12" w:space="0" w:color="808080"/>
              <w:left w:val="single" w:sz="6" w:space="0" w:color="C0C0C0"/>
              <w:bottom w:val="single" w:sz="6" w:space="0" w:color="808080"/>
              <w:right w:val="single" w:sz="6" w:space="0" w:color="C0C0C0"/>
            </w:tcBorders>
          </w:tcPr>
          <w:p w14:paraId="40E9908D"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bl>
    <w:p w14:paraId="56E2E76D" w14:textId="77777777" w:rsidR="008F4B01" w:rsidRPr="004176DE" w:rsidRDefault="008F4B01" w:rsidP="008F4B01">
      <w:pPr>
        <w:pStyle w:val="DHHSbody"/>
        <w:rPr>
          <w:rFonts w:cs="Arial"/>
        </w:rPr>
      </w:pP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10188"/>
      </w:tblGrid>
      <w:tr w:rsidR="008F4B01" w:rsidRPr="004176DE" w14:paraId="5FBD2859" w14:textId="77777777" w:rsidTr="0029613B">
        <w:tc>
          <w:tcPr>
            <w:tcW w:w="5000" w:type="pct"/>
            <w:tcBorders>
              <w:bottom w:val="single" w:sz="12" w:space="0" w:color="008000"/>
            </w:tcBorders>
            <w:shd w:val="clear" w:color="auto" w:fill="D9D9D9" w:themeFill="background1" w:themeFillShade="D9"/>
          </w:tcPr>
          <w:p w14:paraId="59D51CC2" w14:textId="77777777" w:rsidR="008F4B01" w:rsidRPr="004176DE" w:rsidRDefault="008F4B01" w:rsidP="008F4B01">
            <w:pPr>
              <w:pStyle w:val="DHHSbody"/>
              <w:rPr>
                <w:rFonts w:cs="Arial"/>
                <w:bCs/>
                <w:iCs/>
              </w:rPr>
            </w:pPr>
            <w:r w:rsidRPr="004176DE">
              <w:rPr>
                <w:rFonts w:cs="Arial"/>
              </w:rPr>
              <w:t xml:space="preserve">Some prescribers have directed pharmacists </w:t>
            </w:r>
            <w:r w:rsidRPr="004176DE">
              <w:rPr>
                <w:rFonts w:cs="Arial"/>
                <w:b/>
              </w:rPr>
              <w:t>not</w:t>
            </w:r>
            <w:r w:rsidRPr="004176DE">
              <w:rPr>
                <w:rFonts w:cs="Arial"/>
              </w:rPr>
              <w:t xml:space="preserve"> to crush </w:t>
            </w:r>
            <w:r w:rsidRPr="006B0B13">
              <w:rPr>
                <w:rFonts w:cs="Arial"/>
                <w:b/>
              </w:rPr>
              <w:t>Subutex</w:t>
            </w:r>
            <w:r w:rsidRPr="006B0B13">
              <w:rPr>
                <w:rFonts w:cs="Arial"/>
                <w:b/>
                <w:vertAlign w:val="superscript"/>
              </w:rPr>
              <w:t xml:space="preserve">® </w:t>
            </w:r>
            <w:r w:rsidRPr="006B0B13">
              <w:rPr>
                <w:rFonts w:cs="Arial"/>
                <w:b/>
              </w:rPr>
              <w:t>tablets</w:t>
            </w:r>
            <w:r w:rsidRPr="004176DE">
              <w:rPr>
                <w:rFonts w:cs="Arial"/>
              </w:rPr>
              <w:t xml:space="preserve"> for specific patients. The department advises that this instruction is probably best interpreted as an instruction to not crush the tablets into a fine powder, an action that might affect the extent to which a dose is absorbed.</w:t>
            </w:r>
          </w:p>
        </w:tc>
      </w:tr>
      <w:tr w:rsidR="008F4B01" w:rsidRPr="004176DE" w14:paraId="048BF614" w14:textId="77777777" w:rsidTr="002961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00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C1D16B" w14:textId="77777777" w:rsidR="008F4B01" w:rsidRPr="004176DE" w:rsidRDefault="008F4B01" w:rsidP="008F4B01">
            <w:pPr>
              <w:pStyle w:val="DHHSbody"/>
              <w:rPr>
                <w:rFonts w:cs="Arial"/>
                <w:bCs/>
              </w:rPr>
            </w:pPr>
            <w:r w:rsidRPr="004176DE">
              <w:rPr>
                <w:rFonts w:cs="Arial"/>
                <w:bCs/>
              </w:rPr>
              <w:t>Commonly accepted options:</w:t>
            </w:r>
          </w:p>
        </w:tc>
      </w:tr>
      <w:tr w:rsidR="008F4B01" w:rsidRPr="004176DE" w14:paraId="3DC6296A" w14:textId="77777777" w:rsidTr="008F4B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000" w:type="pct"/>
            <w:tcBorders>
              <w:top w:val="single" w:sz="6" w:space="0" w:color="auto"/>
              <w:left w:val="single" w:sz="6" w:space="0" w:color="auto"/>
              <w:bottom w:val="single" w:sz="6" w:space="0" w:color="auto"/>
              <w:right w:val="single" w:sz="6" w:space="0" w:color="auto"/>
            </w:tcBorders>
          </w:tcPr>
          <w:p w14:paraId="086C08A7" w14:textId="77777777" w:rsidR="008F4B01" w:rsidRPr="004176DE" w:rsidRDefault="008F4B01" w:rsidP="008F4B01">
            <w:pPr>
              <w:pStyle w:val="DHHSbody"/>
              <w:numPr>
                <w:ilvl w:val="0"/>
                <w:numId w:val="22"/>
              </w:numPr>
              <w:rPr>
                <w:rFonts w:cs="Arial"/>
              </w:rPr>
            </w:pPr>
            <w:r w:rsidRPr="004176DE">
              <w:rPr>
                <w:rFonts w:cs="Arial"/>
                <w:bCs/>
              </w:rPr>
              <w:t>If the pharmacist agrees that it is safe and appropriate to vary from the recommended process in relation to an individual patient, the reasons for the variation should be documented in the patient’s records. In such cases, the sublingual tablets should be broken into smaller pieces and additional time should be allotted to supervise the patient in order to prevent diversion.</w:t>
            </w:r>
          </w:p>
          <w:p w14:paraId="3394A8AA" w14:textId="77777777" w:rsidR="008F4B01" w:rsidRPr="004176DE" w:rsidRDefault="008F4B01" w:rsidP="008F4B01">
            <w:pPr>
              <w:pStyle w:val="DHHSbody"/>
              <w:numPr>
                <w:ilvl w:val="0"/>
                <w:numId w:val="22"/>
              </w:numPr>
              <w:rPr>
                <w:rFonts w:cs="Arial"/>
              </w:rPr>
            </w:pPr>
            <w:r w:rsidRPr="004176DE">
              <w:rPr>
                <w:rFonts w:cs="Arial"/>
                <w:bCs/>
              </w:rPr>
              <w:t xml:space="preserve">If a prescriber is unable to satisfy the pharmacist that it is safe and appropriate to vary from the recommended process in relation to an individual patient, the pharmacist should inform the prescriber that he/she is not willing to agree to the variation. In such cases, </w:t>
            </w:r>
            <w:r w:rsidRPr="004176DE">
              <w:rPr>
                <w:rFonts w:cs="Arial"/>
              </w:rPr>
              <w:t xml:space="preserve">the prescriber and the patient could be invited to transfer to another pharmacy. </w:t>
            </w:r>
          </w:p>
          <w:p w14:paraId="69174BDC" w14:textId="77777777" w:rsidR="008F4B01" w:rsidRPr="00AF3EC6" w:rsidRDefault="008F4B01" w:rsidP="008F4B01">
            <w:pPr>
              <w:pStyle w:val="DHHSbody"/>
              <w:numPr>
                <w:ilvl w:val="0"/>
                <w:numId w:val="22"/>
              </w:numPr>
              <w:rPr>
                <w:rFonts w:cs="Arial"/>
              </w:rPr>
            </w:pPr>
            <w:r w:rsidRPr="004176DE">
              <w:rPr>
                <w:rFonts w:cs="Arial"/>
              </w:rPr>
              <w:t>Suboxone</w:t>
            </w:r>
            <w:r w:rsidRPr="004176DE">
              <w:rPr>
                <w:rFonts w:cs="Arial"/>
                <w:vertAlign w:val="superscript"/>
              </w:rPr>
              <w:t>®</w:t>
            </w:r>
            <w:r w:rsidRPr="004176DE">
              <w:rPr>
                <w:rFonts w:cs="Arial"/>
              </w:rPr>
              <w:t xml:space="preserve"> sublingual films may be suggested to the prescriber as an alternative formulation.</w:t>
            </w:r>
          </w:p>
        </w:tc>
      </w:tr>
    </w:tbl>
    <w:p w14:paraId="762F8FF6" w14:textId="77777777" w:rsidR="008F4B01" w:rsidRPr="00BB370E" w:rsidRDefault="008F4B01" w:rsidP="00D7793F">
      <w:pPr>
        <w:pStyle w:val="Heading3"/>
        <w:rPr>
          <w:lang w:val="it-IT"/>
        </w:rPr>
      </w:pPr>
      <w:r w:rsidRPr="00BB370E">
        <w:rPr>
          <w:lang w:val="it-IT"/>
        </w:rPr>
        <w:t>Administration containers</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10188"/>
      </w:tblGrid>
      <w:tr w:rsidR="008F4B01" w:rsidRPr="004176DE" w14:paraId="79EFFA44" w14:textId="77777777" w:rsidTr="0029613B">
        <w:tc>
          <w:tcPr>
            <w:tcW w:w="5000" w:type="pct"/>
            <w:tcBorders>
              <w:bottom w:val="single" w:sz="12" w:space="0" w:color="008000"/>
            </w:tcBorders>
            <w:shd w:val="clear" w:color="auto" w:fill="D9D9D9" w:themeFill="background1" w:themeFillShade="D9"/>
          </w:tcPr>
          <w:p w14:paraId="19B2C303" w14:textId="77777777" w:rsidR="008F4B01" w:rsidRPr="00E93843" w:rsidRDefault="008F4B01" w:rsidP="008F4B01">
            <w:pPr>
              <w:pStyle w:val="DHHSbody"/>
              <w:rPr>
                <w:rFonts w:cs="Arial"/>
              </w:rPr>
            </w:pPr>
            <w:r w:rsidRPr="004176DE">
              <w:rPr>
                <w:rFonts w:cs="Arial"/>
              </w:rPr>
              <w:t>For reasons of hygiene, it is recommended that disposable containers are used for the administration of both methadone and buprenorphine.</w:t>
            </w:r>
          </w:p>
        </w:tc>
      </w:tr>
      <w:tr w:rsidR="008F4B01" w:rsidRPr="004176DE" w14:paraId="518B7DAE" w14:textId="77777777" w:rsidTr="002961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00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60FB0B" w14:textId="77777777" w:rsidR="008F4B01" w:rsidRPr="004176DE" w:rsidRDefault="008F4B01" w:rsidP="008F4B01">
            <w:pPr>
              <w:pStyle w:val="DHHSbody"/>
              <w:rPr>
                <w:rFonts w:cs="Arial"/>
              </w:rPr>
            </w:pPr>
            <w:r w:rsidRPr="004176DE">
              <w:rPr>
                <w:rFonts w:cs="Arial"/>
              </w:rPr>
              <w:t>Commonly accepted options:</w:t>
            </w:r>
          </w:p>
        </w:tc>
      </w:tr>
      <w:tr w:rsidR="008F4B01" w:rsidRPr="004176DE" w14:paraId="3D5350D7" w14:textId="77777777" w:rsidTr="008F4B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000" w:type="pct"/>
            <w:tcBorders>
              <w:top w:val="single" w:sz="6" w:space="0" w:color="auto"/>
              <w:left w:val="single" w:sz="6" w:space="0" w:color="auto"/>
              <w:bottom w:val="single" w:sz="6" w:space="0" w:color="auto"/>
              <w:right w:val="single" w:sz="6" w:space="0" w:color="auto"/>
            </w:tcBorders>
          </w:tcPr>
          <w:p w14:paraId="6F616E40" w14:textId="77777777" w:rsidR="008F4B01" w:rsidRPr="004176DE" w:rsidRDefault="008F4B01" w:rsidP="008F4B01">
            <w:pPr>
              <w:pStyle w:val="DHHSbody"/>
              <w:numPr>
                <w:ilvl w:val="0"/>
                <w:numId w:val="22"/>
              </w:numPr>
              <w:rPr>
                <w:rFonts w:cs="Arial"/>
              </w:rPr>
            </w:pPr>
            <w:r w:rsidRPr="004176DE">
              <w:rPr>
                <w:rFonts w:cs="Arial"/>
              </w:rPr>
              <w:t xml:space="preserve">Disposable containers are used and are discarded into a designated waste container.   </w:t>
            </w:r>
          </w:p>
          <w:p w14:paraId="07CF78A0" w14:textId="77777777" w:rsidR="008F4B01" w:rsidRPr="002B5DE4" w:rsidRDefault="008F4B01" w:rsidP="008F4B01">
            <w:pPr>
              <w:pStyle w:val="DHHSbody"/>
              <w:numPr>
                <w:ilvl w:val="0"/>
                <w:numId w:val="22"/>
              </w:numPr>
              <w:rPr>
                <w:rFonts w:cs="Arial"/>
              </w:rPr>
            </w:pPr>
            <w:r w:rsidRPr="004176DE">
              <w:rPr>
                <w:rFonts w:cs="Arial"/>
              </w:rPr>
              <w:t>Re-usable containers, labelled for specific patients, are thoroughly cleaned and sanitised after each use.</w:t>
            </w:r>
          </w:p>
        </w:tc>
      </w:tr>
    </w:tbl>
    <w:p w14:paraId="40512338" w14:textId="77777777" w:rsidR="008F4B01" w:rsidRPr="00BB370E" w:rsidRDefault="008F4B01" w:rsidP="007015C5">
      <w:pPr>
        <w:pStyle w:val="Heading2"/>
        <w:rPr>
          <w:lang w:val="it-IT"/>
        </w:rPr>
      </w:pPr>
      <w:r w:rsidRPr="00BB370E">
        <w:rPr>
          <w:lang w:val="it-IT"/>
        </w:rPr>
        <w:t>Authorisation of take-away doses</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0F029030" w14:textId="77777777" w:rsidTr="0029613B">
        <w:tc>
          <w:tcPr>
            <w:tcW w:w="5000" w:type="pct"/>
            <w:gridSpan w:val="2"/>
            <w:tcBorders>
              <w:bottom w:val="single" w:sz="12" w:space="0" w:color="008000"/>
            </w:tcBorders>
            <w:shd w:val="clear" w:color="auto" w:fill="D9D9D9" w:themeFill="background1" w:themeFillShade="D9"/>
          </w:tcPr>
          <w:p w14:paraId="03C0F064" w14:textId="3350FE45" w:rsidR="008F4B01" w:rsidRPr="00E626EB" w:rsidRDefault="008F4B01" w:rsidP="008F4B01">
            <w:pPr>
              <w:pStyle w:val="DHHSbody"/>
              <w:rPr>
                <w:rFonts w:cs="Arial"/>
              </w:rPr>
            </w:pPr>
            <w:r w:rsidRPr="00E626EB">
              <w:rPr>
                <w:rFonts w:cs="Arial"/>
              </w:rPr>
              <w:t xml:space="preserve">The supply of take-away doses is a significant clinical decision that requires thorough consideration of the risks and benefits of a patient having the privilege of take-away doses; </w:t>
            </w:r>
            <w:r w:rsidRPr="003D544B">
              <w:rPr>
                <w:rFonts w:cs="Arial"/>
                <w:shd w:val="clear" w:color="auto" w:fill="D9D9D9" w:themeFill="background1" w:themeFillShade="D9"/>
              </w:rPr>
              <w:t xml:space="preserve">see pages </w:t>
            </w:r>
            <w:r w:rsidR="00B63AEC">
              <w:rPr>
                <w:rFonts w:cs="Arial"/>
                <w:shd w:val="clear" w:color="auto" w:fill="D9D9D9" w:themeFill="background1" w:themeFillShade="D9"/>
              </w:rPr>
              <w:t>32</w:t>
            </w:r>
            <w:r w:rsidRPr="003D544B">
              <w:rPr>
                <w:rFonts w:cs="Arial"/>
                <w:shd w:val="clear" w:color="auto" w:fill="D9D9D9" w:themeFill="background1" w:themeFillShade="D9"/>
              </w:rPr>
              <w:t xml:space="preserve"> to </w:t>
            </w:r>
            <w:r w:rsidR="00B63AEC">
              <w:rPr>
                <w:rFonts w:cs="Arial"/>
                <w:shd w:val="clear" w:color="auto" w:fill="D9D9D9" w:themeFill="background1" w:themeFillShade="D9"/>
              </w:rPr>
              <w:t>42</w:t>
            </w:r>
            <w:r w:rsidRPr="003D544B">
              <w:rPr>
                <w:rFonts w:cs="Arial"/>
                <w:shd w:val="clear" w:color="auto" w:fill="D9D9D9" w:themeFill="background1" w:themeFillShade="D9"/>
              </w:rPr>
              <w:t xml:space="preserve"> of the Policy</w:t>
            </w:r>
            <w:r w:rsidRPr="00E626EB">
              <w:rPr>
                <w:rFonts w:cs="Arial"/>
              </w:rPr>
              <w:t xml:space="preserve"> for a broad discussion of the many variables that should be assessed and considered.</w:t>
            </w:r>
          </w:p>
          <w:p w14:paraId="1BD2E607" w14:textId="77777777" w:rsidR="008F4B01" w:rsidRPr="00E626EB" w:rsidRDefault="008F4B01" w:rsidP="008F4B01">
            <w:pPr>
              <w:pStyle w:val="DHHSbody"/>
              <w:rPr>
                <w:rFonts w:cs="Arial"/>
              </w:rPr>
            </w:pPr>
            <w:r w:rsidRPr="000D1E72">
              <w:rPr>
                <w:rFonts w:cs="Arial"/>
              </w:rPr>
              <w:t>Appendix 4 contains</w:t>
            </w:r>
            <w:r w:rsidRPr="00E626EB">
              <w:rPr>
                <w:rFonts w:cs="Arial"/>
              </w:rPr>
              <w:t xml:space="preserve"> a check list to assist prescribers in assessing whether authorisation for take-away doses might be considered; it divides the numerous issues into four categories:</w:t>
            </w:r>
          </w:p>
          <w:p w14:paraId="04CF48C7" w14:textId="77777777" w:rsidR="008F4B01" w:rsidRPr="00E626EB" w:rsidRDefault="008F4B01" w:rsidP="008F4B01">
            <w:pPr>
              <w:pStyle w:val="DHHSbody"/>
              <w:numPr>
                <w:ilvl w:val="0"/>
                <w:numId w:val="24"/>
              </w:numPr>
              <w:rPr>
                <w:rFonts w:cs="Arial"/>
              </w:rPr>
            </w:pPr>
            <w:r w:rsidRPr="00E626EB">
              <w:rPr>
                <w:rFonts w:cs="Arial"/>
                <w:b/>
              </w:rPr>
              <w:t>Absolute contra-indications:</w:t>
            </w:r>
            <w:r w:rsidRPr="00E626EB">
              <w:rPr>
                <w:rFonts w:cs="Arial"/>
              </w:rPr>
              <w:t xml:space="preserve"> Take-away doses should </w:t>
            </w:r>
            <w:r w:rsidRPr="00E626EB">
              <w:rPr>
                <w:rFonts w:cs="Arial"/>
                <w:b/>
              </w:rPr>
              <w:t>not</w:t>
            </w:r>
            <w:r w:rsidRPr="00E626EB">
              <w:rPr>
                <w:rFonts w:cs="Arial"/>
              </w:rPr>
              <w:t xml:space="preserve"> be supplied</w:t>
            </w:r>
          </w:p>
          <w:p w14:paraId="1F27B08B" w14:textId="77777777" w:rsidR="008F4B01" w:rsidRPr="00E626EB" w:rsidRDefault="008F4B01" w:rsidP="008F4B01">
            <w:pPr>
              <w:pStyle w:val="DHHSbody"/>
              <w:numPr>
                <w:ilvl w:val="0"/>
                <w:numId w:val="24"/>
              </w:numPr>
              <w:rPr>
                <w:rFonts w:cs="Arial"/>
                <w:b/>
              </w:rPr>
            </w:pPr>
            <w:r w:rsidRPr="00E626EB">
              <w:rPr>
                <w:rFonts w:cs="Arial"/>
                <w:b/>
              </w:rPr>
              <w:t xml:space="preserve">Relative contra-indications </w:t>
            </w:r>
          </w:p>
          <w:p w14:paraId="50AC8B74" w14:textId="77777777" w:rsidR="008F4B01" w:rsidRPr="00E626EB" w:rsidRDefault="008F4B01" w:rsidP="008F4B01">
            <w:pPr>
              <w:pStyle w:val="DHHSbody"/>
              <w:numPr>
                <w:ilvl w:val="0"/>
                <w:numId w:val="24"/>
              </w:numPr>
              <w:rPr>
                <w:rFonts w:cs="Arial"/>
                <w:b/>
              </w:rPr>
            </w:pPr>
            <w:r w:rsidRPr="00E626EB">
              <w:rPr>
                <w:rFonts w:cs="Arial"/>
                <w:b/>
              </w:rPr>
              <w:t>Reasonable need</w:t>
            </w:r>
          </w:p>
          <w:p w14:paraId="066EBB82" w14:textId="77777777" w:rsidR="008F4B01" w:rsidRPr="00E626EB" w:rsidRDefault="008F4B01" w:rsidP="008F4B01">
            <w:pPr>
              <w:pStyle w:val="DHHSbody"/>
              <w:numPr>
                <w:ilvl w:val="0"/>
                <w:numId w:val="24"/>
              </w:numPr>
              <w:rPr>
                <w:rFonts w:cs="Arial"/>
                <w:b/>
              </w:rPr>
            </w:pPr>
            <w:r w:rsidRPr="00E626EB">
              <w:rPr>
                <w:rFonts w:cs="Arial"/>
                <w:b/>
              </w:rPr>
              <w:t>Continuous period of stability</w:t>
            </w:r>
          </w:p>
          <w:p w14:paraId="611C1FF3" w14:textId="77777777" w:rsidR="008F4B01" w:rsidRPr="00E626EB" w:rsidRDefault="008F4B01" w:rsidP="008F4B01">
            <w:pPr>
              <w:pStyle w:val="DHHSbody"/>
              <w:rPr>
                <w:rFonts w:cs="Arial"/>
                <w:bCs/>
              </w:rPr>
            </w:pPr>
            <w:r w:rsidRPr="00E626EB">
              <w:rPr>
                <w:rFonts w:cs="Arial"/>
                <w:b/>
                <w:bCs/>
              </w:rPr>
              <w:lastRenderedPageBreak/>
              <w:t>Note</w:t>
            </w:r>
            <w:r w:rsidRPr="00E626EB">
              <w:rPr>
                <w:rFonts w:cs="Arial"/>
                <w:bCs/>
              </w:rPr>
              <w:t xml:space="preserve">: Before authorising take-away doses, prescribers should communicate with pharmacists to confirm that patients fulfil the criteria for the supply of take-away doses; to ensure that pharmacists are not aware of any contra-indications; and to confirm or establish the duration of continuous, stable treatment – a key factor in determining the </w:t>
            </w:r>
            <w:r w:rsidR="005F4CFF">
              <w:rPr>
                <w:rFonts w:cs="Arial"/>
                <w:bCs/>
              </w:rPr>
              <w:t xml:space="preserve">number and </w:t>
            </w:r>
            <w:r w:rsidRPr="00E626EB">
              <w:rPr>
                <w:rFonts w:cs="Arial"/>
                <w:bCs/>
              </w:rPr>
              <w:t>frequency with which take-away doses may be supplied.</w:t>
            </w:r>
          </w:p>
        </w:tc>
      </w:tr>
      <w:tr w:rsidR="008F4B01" w:rsidRPr="004176DE" w14:paraId="0092B95C"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70622BEB" w14:textId="77777777" w:rsidR="008F4B01" w:rsidRDefault="008F4B01" w:rsidP="008F4B01">
            <w:pPr>
              <w:pStyle w:val="DHHSbody"/>
              <w:rPr>
                <w:rFonts w:cs="Arial"/>
                <w:bCs/>
              </w:rPr>
            </w:pPr>
            <w:r w:rsidRPr="004176DE">
              <w:rPr>
                <w:rFonts w:cs="Arial"/>
                <w:bCs/>
              </w:rPr>
              <w:t xml:space="preserve">Have all pharmacists been made aware of the </w:t>
            </w:r>
            <w:r>
              <w:rPr>
                <w:rFonts w:cs="Arial"/>
                <w:bCs/>
              </w:rPr>
              <w:t xml:space="preserve">relative </w:t>
            </w:r>
            <w:r w:rsidRPr="004176DE">
              <w:rPr>
                <w:rFonts w:cs="Arial"/>
                <w:bCs/>
              </w:rPr>
              <w:t>importance of the four categories that are associated with the supply of take-away doses?</w:t>
            </w:r>
          </w:p>
          <w:p w14:paraId="013BD634" w14:textId="77777777" w:rsidR="008F4B01" w:rsidRPr="004176DE" w:rsidRDefault="008F4B01" w:rsidP="008F4B01">
            <w:pPr>
              <w:pStyle w:val="DHHSbody"/>
              <w:rPr>
                <w:rFonts w:cs="Arial"/>
                <w:bCs/>
              </w:rPr>
            </w:pPr>
            <w:r w:rsidRPr="00850970">
              <w:rPr>
                <w:rFonts w:cs="Arial"/>
                <w:bCs/>
              </w:rPr>
              <w:t xml:space="preserve">Is a </w:t>
            </w:r>
            <w:r w:rsidRPr="000D1E72">
              <w:rPr>
                <w:rFonts w:cs="Arial"/>
                <w:bCs/>
              </w:rPr>
              <w:t>copy of Appendix 4 readily</w:t>
            </w:r>
            <w:r w:rsidRPr="009F6D96">
              <w:rPr>
                <w:rFonts w:cs="Arial"/>
                <w:bCs/>
              </w:rPr>
              <w:t xml:space="preserve"> available (hard copy or bookmarked) for ready reference by pharmacists?</w:t>
            </w:r>
          </w:p>
        </w:tc>
        <w:tc>
          <w:tcPr>
            <w:tcW w:w="851" w:type="pct"/>
            <w:tcBorders>
              <w:top w:val="single" w:sz="12" w:space="0" w:color="808080"/>
              <w:left w:val="single" w:sz="6" w:space="0" w:color="C0C0C0"/>
              <w:bottom w:val="single" w:sz="6" w:space="0" w:color="808080"/>
              <w:right w:val="single" w:sz="12" w:space="0" w:color="808080"/>
            </w:tcBorders>
          </w:tcPr>
          <w:p w14:paraId="6F9537DE" w14:textId="77777777" w:rsidR="008F4B01" w:rsidRDefault="008F4B01" w:rsidP="008F4B01">
            <w:pPr>
              <w:pStyle w:val="DHHSbody"/>
              <w:rPr>
                <w:rFonts w:cs="Arial"/>
              </w:rPr>
            </w:pPr>
            <w:r w:rsidRPr="004176DE">
              <w:rPr>
                <w:rFonts w:cs="Arial"/>
                <w:b/>
              </w:rPr>
              <w:t>YES</w:t>
            </w:r>
            <w:r w:rsidRPr="004176DE">
              <w:rPr>
                <w:rFonts w:cs="Arial"/>
              </w:rPr>
              <w:t xml:space="preserve"> / No</w:t>
            </w:r>
          </w:p>
          <w:p w14:paraId="4A8D3B95" w14:textId="77777777" w:rsidR="008F4B01" w:rsidRDefault="008F4B01" w:rsidP="008F4B01">
            <w:pPr>
              <w:pStyle w:val="DHHSbody"/>
              <w:rPr>
                <w:rFonts w:cs="Arial"/>
              </w:rPr>
            </w:pPr>
          </w:p>
          <w:p w14:paraId="273392C8"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r w:rsidR="008F4B01" w:rsidRPr="004176DE" w14:paraId="3B2CDE7C"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17DDA277" w14:textId="77777777" w:rsidR="008F4B01" w:rsidRPr="004176DE" w:rsidRDefault="008F4B01" w:rsidP="008F4B01">
            <w:pPr>
              <w:pStyle w:val="DHHSbody"/>
              <w:rPr>
                <w:rFonts w:cs="Arial"/>
                <w:bCs/>
              </w:rPr>
            </w:pPr>
            <w:r w:rsidRPr="004176DE">
              <w:rPr>
                <w:rFonts w:cs="Arial"/>
                <w:bCs/>
              </w:rPr>
              <w:t>Have all pharmacists been informed of the need to alert prescribers if the conduct of patients who have been receiving take-away doses, represents a contra-indication to the ongoing supply of take-away doses?</w:t>
            </w:r>
          </w:p>
        </w:tc>
        <w:tc>
          <w:tcPr>
            <w:tcW w:w="851" w:type="pct"/>
            <w:tcBorders>
              <w:top w:val="single" w:sz="12" w:space="0" w:color="808080"/>
              <w:left w:val="single" w:sz="6" w:space="0" w:color="C0C0C0"/>
              <w:bottom w:val="single" w:sz="6" w:space="0" w:color="808080"/>
              <w:right w:val="single" w:sz="12" w:space="0" w:color="808080"/>
            </w:tcBorders>
          </w:tcPr>
          <w:p w14:paraId="2CAE70DF"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r w:rsidR="008F4B01" w:rsidRPr="004176DE" w14:paraId="0C895F66"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12" w:space="0" w:color="808080"/>
              <w:right w:val="single" w:sz="6" w:space="0" w:color="C0C0C0"/>
            </w:tcBorders>
            <w:shd w:val="clear" w:color="auto" w:fill="D9D9D9" w:themeFill="background1" w:themeFillShade="D9"/>
          </w:tcPr>
          <w:p w14:paraId="43601779" w14:textId="77777777" w:rsidR="008F4B01" w:rsidRPr="004176DE" w:rsidRDefault="008F4B01" w:rsidP="008F4B01">
            <w:pPr>
              <w:pStyle w:val="DHHSbody"/>
              <w:rPr>
                <w:rFonts w:cs="Arial"/>
                <w:bCs/>
              </w:rPr>
            </w:pPr>
            <w:r w:rsidRPr="004176DE">
              <w:rPr>
                <w:rFonts w:cs="Arial"/>
                <w:bCs/>
              </w:rPr>
              <w:t>Have all pharmacists been informed that, where a prescriber requests or directs them to provide take-away doses other than in accordance with the Policy, the pharmacist is also required to make a professional judgement about the safety and appropriateness of the variation?</w:t>
            </w:r>
          </w:p>
        </w:tc>
        <w:tc>
          <w:tcPr>
            <w:tcW w:w="851" w:type="pct"/>
            <w:tcBorders>
              <w:top w:val="single" w:sz="12" w:space="0" w:color="808080"/>
              <w:left w:val="single" w:sz="6" w:space="0" w:color="C0C0C0"/>
              <w:bottom w:val="single" w:sz="12" w:space="0" w:color="808080"/>
              <w:right w:val="single" w:sz="12" w:space="0" w:color="808080"/>
            </w:tcBorders>
          </w:tcPr>
          <w:p w14:paraId="587145A3"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r w:rsidR="008F4B01" w:rsidRPr="004176DE" w14:paraId="606797BE"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0D1D9616" w14:textId="77777777" w:rsidR="008F4B01" w:rsidRPr="004176DE" w:rsidRDefault="008F4B01" w:rsidP="00422D4A">
            <w:pPr>
              <w:pStyle w:val="DHHSbody"/>
              <w:rPr>
                <w:rFonts w:cs="Arial"/>
              </w:rPr>
            </w:pPr>
            <w:r w:rsidRPr="004176DE">
              <w:rPr>
                <w:rFonts w:cs="Arial"/>
              </w:rPr>
              <w:t xml:space="preserve">Have all pharmacists been advised that take-away doses that are claimed to have been lost or stolen </w:t>
            </w:r>
            <w:r w:rsidR="00422D4A">
              <w:rPr>
                <w:rFonts w:cs="Arial"/>
              </w:rPr>
              <w:t>are not to</w:t>
            </w:r>
            <w:r w:rsidRPr="004176DE">
              <w:rPr>
                <w:rFonts w:cs="Arial"/>
              </w:rPr>
              <w:t xml:space="preserve"> be replaced unless the prescriber’s authorisation has been obtained</w:t>
            </w:r>
            <w:r>
              <w:rPr>
                <w:rFonts w:cs="Arial"/>
              </w:rPr>
              <w:t>;</w:t>
            </w:r>
            <w:r w:rsidRPr="004176DE">
              <w:rPr>
                <w:rFonts w:cs="Arial"/>
              </w:rPr>
              <w:t xml:space="preserve"> and that pharmacists should exercise professional judgment about the safety and appropriateness of providing replacement doses even if authorised to do so? </w:t>
            </w:r>
          </w:p>
        </w:tc>
        <w:tc>
          <w:tcPr>
            <w:tcW w:w="851" w:type="pct"/>
            <w:tcBorders>
              <w:top w:val="single" w:sz="12" w:space="0" w:color="808080"/>
              <w:left w:val="single" w:sz="6" w:space="0" w:color="C0C0C0"/>
              <w:bottom w:val="single" w:sz="6" w:space="0" w:color="808080"/>
              <w:right w:val="single" w:sz="12" w:space="0" w:color="808080"/>
            </w:tcBorders>
          </w:tcPr>
          <w:p w14:paraId="43138F27"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bl>
    <w:p w14:paraId="0135464B" w14:textId="77777777" w:rsidR="008F4B01" w:rsidRPr="00BB370E" w:rsidRDefault="008F4B01" w:rsidP="00D7793F">
      <w:pPr>
        <w:pStyle w:val="Heading3"/>
      </w:pPr>
      <w:r w:rsidRPr="00BB370E">
        <w:t xml:space="preserve">Take-away doses - secure storage by patients </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4460F6A2" w14:textId="77777777" w:rsidTr="0029613B">
        <w:tc>
          <w:tcPr>
            <w:tcW w:w="5000" w:type="pct"/>
            <w:gridSpan w:val="2"/>
            <w:tcBorders>
              <w:bottom w:val="single" w:sz="12" w:space="0" w:color="008000"/>
            </w:tcBorders>
            <w:shd w:val="clear" w:color="auto" w:fill="D9D9D9" w:themeFill="background1" w:themeFillShade="D9"/>
          </w:tcPr>
          <w:p w14:paraId="73D65ECB" w14:textId="77777777" w:rsidR="008F4B01" w:rsidRPr="004176DE" w:rsidRDefault="008F4B01" w:rsidP="008F4B01">
            <w:pPr>
              <w:pStyle w:val="DHHSbody"/>
              <w:rPr>
                <w:rFonts w:cs="Arial"/>
              </w:rPr>
            </w:pPr>
            <w:r>
              <w:rPr>
                <w:rFonts w:cs="Arial"/>
              </w:rPr>
              <w:t xml:space="preserve">The absence of a safe, secure storage facility is one of four absolute contra-indications to the supply of take-away doses because of the </w:t>
            </w:r>
            <w:r w:rsidRPr="004176DE">
              <w:rPr>
                <w:rFonts w:cs="Arial"/>
              </w:rPr>
              <w:t xml:space="preserve">significant risk if </w:t>
            </w:r>
            <w:r>
              <w:rPr>
                <w:rFonts w:cs="Arial"/>
              </w:rPr>
              <w:t xml:space="preserve">doses are </w:t>
            </w:r>
            <w:r w:rsidRPr="004176DE">
              <w:rPr>
                <w:rFonts w:cs="Arial"/>
              </w:rPr>
              <w:t xml:space="preserve">consumed by someone other than the patient for whom they were supplied. This risk is magnified in the case of children, people who lack tolerance for the drug and people who are concurrently using other drugs. In </w:t>
            </w:r>
            <w:proofErr w:type="gramStart"/>
            <w:r w:rsidRPr="004176DE">
              <w:rPr>
                <w:rFonts w:cs="Arial"/>
              </w:rPr>
              <w:t>a number of</w:t>
            </w:r>
            <w:proofErr w:type="gramEnd"/>
            <w:r w:rsidRPr="004176DE">
              <w:rPr>
                <w:rFonts w:cs="Arial"/>
              </w:rPr>
              <w:t xml:space="preserve"> inquests into deaths from ingesting take-away doses of methadone, the </w:t>
            </w:r>
            <w:proofErr w:type="gramStart"/>
            <w:r w:rsidRPr="004176DE">
              <w:rPr>
                <w:rFonts w:cs="Arial"/>
              </w:rPr>
              <w:t>Coroner</w:t>
            </w:r>
            <w:proofErr w:type="gramEnd"/>
            <w:r w:rsidRPr="004176DE">
              <w:rPr>
                <w:rFonts w:cs="Arial"/>
              </w:rPr>
              <w:t xml:space="preserve"> has raised concerns about the safe storage of take-away doses. To minimise these risks, it is essential that take-away doses are stored securely by patients. </w:t>
            </w:r>
          </w:p>
          <w:p w14:paraId="01FF90C1" w14:textId="77777777" w:rsidR="008F4B01" w:rsidRPr="004176DE" w:rsidRDefault="008F4B01" w:rsidP="008F4B01">
            <w:pPr>
              <w:pStyle w:val="DHHSbody"/>
              <w:rPr>
                <w:rFonts w:cs="Arial"/>
              </w:rPr>
            </w:pPr>
            <w:r w:rsidRPr="004176DE">
              <w:rPr>
                <w:rFonts w:cs="Arial"/>
                <w:b/>
              </w:rPr>
              <w:t>Note</w:t>
            </w:r>
            <w:r w:rsidRPr="004176DE">
              <w:rPr>
                <w:rFonts w:cs="Arial"/>
              </w:rPr>
              <w:t>: Take-away doses of methadone do not need to be refrigerated and doing so might increase the risk of a dose being taken by children or other household members.</w:t>
            </w:r>
          </w:p>
        </w:tc>
      </w:tr>
      <w:tr w:rsidR="008F4B01" w:rsidRPr="004176DE" w14:paraId="2E2CCCE8"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12" w:space="0" w:color="808080"/>
              <w:right w:val="single" w:sz="6" w:space="0" w:color="C0C0C0"/>
            </w:tcBorders>
            <w:shd w:val="clear" w:color="auto" w:fill="D9D9D9" w:themeFill="background1" w:themeFillShade="D9"/>
          </w:tcPr>
          <w:p w14:paraId="56E2795F" w14:textId="77777777" w:rsidR="008F4B01" w:rsidRPr="004176DE" w:rsidRDefault="008F4B01" w:rsidP="008F4B01">
            <w:pPr>
              <w:pStyle w:val="DHHSbody"/>
              <w:rPr>
                <w:rFonts w:cs="Arial"/>
                <w:bCs/>
              </w:rPr>
            </w:pPr>
            <w:r w:rsidRPr="004176DE">
              <w:rPr>
                <w:rFonts w:cs="Arial"/>
                <w:bCs/>
              </w:rPr>
              <w:t>Are patients periodically questioned about the manner in which they store take-away doses and reminded of the need to ensure that take-away doses are stored securely, where they cannot be located or accessed by others, especially children?</w:t>
            </w:r>
          </w:p>
        </w:tc>
        <w:tc>
          <w:tcPr>
            <w:tcW w:w="851" w:type="pct"/>
            <w:tcBorders>
              <w:top w:val="single" w:sz="12" w:space="0" w:color="808080"/>
              <w:left w:val="single" w:sz="6" w:space="0" w:color="C0C0C0"/>
              <w:bottom w:val="single" w:sz="12" w:space="0" w:color="808080"/>
              <w:right w:val="single" w:sz="12" w:space="0" w:color="808080"/>
            </w:tcBorders>
          </w:tcPr>
          <w:p w14:paraId="49571E28"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bl>
    <w:p w14:paraId="07BDBB19" w14:textId="77777777" w:rsidR="008F4B01" w:rsidRPr="00BB370E" w:rsidRDefault="008F4B01" w:rsidP="00D7793F">
      <w:pPr>
        <w:pStyle w:val="Heading3"/>
        <w:rPr>
          <w:lang w:val="it-IT"/>
        </w:rPr>
      </w:pPr>
      <w:r w:rsidRPr="00BB370E">
        <w:rPr>
          <w:lang w:val="it-IT"/>
        </w:rPr>
        <w:t>Take-away doses of methadone</w:t>
      </w:r>
    </w:p>
    <w:tbl>
      <w:tblPr>
        <w:tblW w:w="5000" w:type="pct"/>
        <w:tblBorders>
          <w:top w:val="single" w:sz="12" w:space="0" w:color="008000"/>
          <w:left w:val="single" w:sz="6" w:space="0" w:color="008000"/>
          <w:bottom w:val="single" w:sz="12" w:space="0" w:color="008000"/>
          <w:right w:val="single" w:sz="6" w:space="0" w:color="008000"/>
        </w:tblBorders>
        <w:shd w:val="solid" w:color="CC99FF" w:fill="CC99FF"/>
        <w:tblLook w:val="00A0" w:firstRow="1" w:lastRow="0" w:firstColumn="1" w:lastColumn="0" w:noHBand="0" w:noVBand="0"/>
      </w:tblPr>
      <w:tblGrid>
        <w:gridCol w:w="8454"/>
        <w:gridCol w:w="1734"/>
      </w:tblGrid>
      <w:tr w:rsidR="008F4B01" w:rsidRPr="004176DE" w14:paraId="3580BA97" w14:textId="77777777" w:rsidTr="008F4B01">
        <w:tc>
          <w:tcPr>
            <w:tcW w:w="5000" w:type="pct"/>
            <w:gridSpan w:val="2"/>
            <w:shd w:val="clear" w:color="auto" w:fill="FFFF00"/>
          </w:tcPr>
          <w:p w14:paraId="14BF6741" w14:textId="77777777" w:rsidR="008F4B01" w:rsidRDefault="008F4B01" w:rsidP="008F4B01">
            <w:pPr>
              <w:pStyle w:val="DHHSbody"/>
              <w:rPr>
                <w:rFonts w:cs="Arial"/>
              </w:rPr>
            </w:pPr>
            <w:r>
              <w:rPr>
                <w:rFonts w:cs="Arial"/>
              </w:rPr>
              <w:t xml:space="preserve">A schedule, showing the recommended maximum number of methadone take-away doses following </w:t>
            </w:r>
            <w:r w:rsidRPr="00917108">
              <w:rPr>
                <w:rFonts w:cs="Arial"/>
                <w:b/>
              </w:rPr>
              <w:t>continuous periods of stability in treatment</w:t>
            </w:r>
            <w:r>
              <w:rPr>
                <w:rFonts w:cs="Arial"/>
              </w:rPr>
              <w:t xml:space="preserve">, is included in </w:t>
            </w:r>
            <w:r w:rsidRPr="003D544B">
              <w:rPr>
                <w:rFonts w:cs="Arial"/>
              </w:rPr>
              <w:t>Appendix 4 of the Policy.</w:t>
            </w:r>
          </w:p>
          <w:tbl>
            <w:tblPr>
              <w:tblStyle w:val="TableGrid"/>
              <w:tblW w:w="5000" w:type="pct"/>
              <w:tblInd w:w="0" w:type="dxa"/>
              <w:tblLook w:val="04A0" w:firstRow="1" w:lastRow="0" w:firstColumn="1" w:lastColumn="0" w:noHBand="0" w:noVBand="1"/>
            </w:tblPr>
            <w:tblGrid>
              <w:gridCol w:w="2554"/>
              <w:gridCol w:w="7408"/>
            </w:tblGrid>
            <w:tr w:rsidR="008F4B01" w14:paraId="59A6AACD" w14:textId="77777777" w:rsidTr="008F4B01">
              <w:tc>
                <w:tcPr>
                  <w:tcW w:w="1282" w:type="pct"/>
                </w:tcPr>
                <w:p w14:paraId="0DE8F2CC" w14:textId="77777777" w:rsidR="008F4B01" w:rsidRDefault="008F4B01" w:rsidP="008F4B01">
                  <w:pPr>
                    <w:pStyle w:val="DHHSbody"/>
                    <w:rPr>
                      <w:rFonts w:cs="Arial"/>
                    </w:rPr>
                  </w:pPr>
                  <w:r>
                    <w:rPr>
                      <w:rFonts w:cs="Arial"/>
                    </w:rPr>
                    <w:t>Less than 3 months</w:t>
                  </w:r>
                </w:p>
              </w:tc>
              <w:tc>
                <w:tcPr>
                  <w:tcW w:w="3718" w:type="pct"/>
                </w:tcPr>
                <w:p w14:paraId="3CB728D8" w14:textId="77777777" w:rsidR="008F4B01" w:rsidRDefault="008F4B01" w:rsidP="008F4B01">
                  <w:pPr>
                    <w:pStyle w:val="DHHSbody"/>
                    <w:numPr>
                      <w:ilvl w:val="0"/>
                      <w:numId w:val="26"/>
                    </w:numPr>
                    <w:rPr>
                      <w:rFonts w:cs="Arial"/>
                    </w:rPr>
                  </w:pPr>
                  <w:r>
                    <w:rPr>
                      <w:rFonts w:cs="Arial"/>
                    </w:rPr>
                    <w:t>No take-away doses</w:t>
                  </w:r>
                </w:p>
              </w:tc>
            </w:tr>
            <w:tr w:rsidR="008F4B01" w14:paraId="5F3BCAF3" w14:textId="77777777" w:rsidTr="008F4B01">
              <w:tc>
                <w:tcPr>
                  <w:tcW w:w="1282" w:type="pct"/>
                </w:tcPr>
                <w:p w14:paraId="69F36D7C" w14:textId="77777777" w:rsidR="008F4B01" w:rsidRDefault="008F4B01" w:rsidP="008F4B01">
                  <w:pPr>
                    <w:pStyle w:val="DHHSbody"/>
                    <w:rPr>
                      <w:rFonts w:cs="Arial"/>
                    </w:rPr>
                  </w:pPr>
                  <w:r>
                    <w:rPr>
                      <w:rFonts w:cs="Arial"/>
                    </w:rPr>
                    <w:t>3 to 6 months</w:t>
                  </w:r>
                </w:p>
              </w:tc>
              <w:tc>
                <w:tcPr>
                  <w:tcW w:w="3718" w:type="pct"/>
                </w:tcPr>
                <w:p w14:paraId="3ABC2748" w14:textId="77777777" w:rsidR="008F4B01" w:rsidRDefault="008F4B01" w:rsidP="008F4B01">
                  <w:pPr>
                    <w:pStyle w:val="DHHSbody"/>
                    <w:numPr>
                      <w:ilvl w:val="0"/>
                      <w:numId w:val="26"/>
                    </w:numPr>
                    <w:rPr>
                      <w:rFonts w:cs="Arial"/>
                    </w:rPr>
                  </w:pPr>
                  <w:r>
                    <w:rPr>
                      <w:rFonts w:cs="Arial"/>
                    </w:rPr>
                    <w:t>Not more than 2 take-away doses per week</w:t>
                  </w:r>
                </w:p>
              </w:tc>
            </w:tr>
            <w:tr w:rsidR="008F4B01" w14:paraId="51E3781B" w14:textId="77777777" w:rsidTr="008F4B01">
              <w:tc>
                <w:tcPr>
                  <w:tcW w:w="1282" w:type="pct"/>
                </w:tcPr>
                <w:p w14:paraId="13E5A54C" w14:textId="77777777" w:rsidR="008F4B01" w:rsidRDefault="008F4B01" w:rsidP="008F4B01">
                  <w:pPr>
                    <w:pStyle w:val="DHHSbody"/>
                    <w:rPr>
                      <w:rFonts w:cs="Arial"/>
                    </w:rPr>
                  </w:pPr>
                  <w:r>
                    <w:rPr>
                      <w:rFonts w:cs="Arial"/>
                    </w:rPr>
                    <w:t>More than 6 months</w:t>
                  </w:r>
                </w:p>
              </w:tc>
              <w:tc>
                <w:tcPr>
                  <w:tcW w:w="3718" w:type="pct"/>
                </w:tcPr>
                <w:p w14:paraId="6C02FFFE" w14:textId="77777777" w:rsidR="008F4B01" w:rsidRDefault="008F4B01" w:rsidP="008F4B01">
                  <w:pPr>
                    <w:pStyle w:val="DHHSbody"/>
                    <w:numPr>
                      <w:ilvl w:val="0"/>
                      <w:numId w:val="26"/>
                    </w:numPr>
                    <w:rPr>
                      <w:rFonts w:cs="Arial"/>
                    </w:rPr>
                  </w:pPr>
                  <w:r>
                    <w:rPr>
                      <w:rFonts w:cs="Arial"/>
                    </w:rPr>
                    <w:t>Not more than 4 take-away doses per week</w:t>
                  </w:r>
                </w:p>
                <w:p w14:paraId="4A2393A2" w14:textId="77777777" w:rsidR="008F4B01" w:rsidRDefault="008F4B01" w:rsidP="008F4B01">
                  <w:pPr>
                    <w:pStyle w:val="DHHSbody"/>
                    <w:numPr>
                      <w:ilvl w:val="0"/>
                      <w:numId w:val="26"/>
                    </w:numPr>
                    <w:rPr>
                      <w:rFonts w:cs="Arial"/>
                    </w:rPr>
                  </w:pPr>
                  <w:r>
                    <w:rPr>
                      <w:rFonts w:cs="Arial"/>
                    </w:rPr>
                    <w:t>Not more than 3 take-away doses on any occasion</w:t>
                  </w:r>
                </w:p>
              </w:tc>
            </w:tr>
          </w:tbl>
          <w:p w14:paraId="1E837DE0" w14:textId="77777777" w:rsidR="008F4B01" w:rsidRPr="004176DE" w:rsidRDefault="008F4B01" w:rsidP="008F4B01">
            <w:pPr>
              <w:pStyle w:val="DHHSbody"/>
              <w:rPr>
                <w:rFonts w:cs="Arial"/>
                <w:bCs/>
              </w:rPr>
            </w:pPr>
          </w:p>
        </w:tc>
      </w:tr>
      <w:tr w:rsidR="008F4B01" w:rsidRPr="004176DE" w14:paraId="1363F868" w14:textId="77777777" w:rsidTr="0029613B">
        <w:tblPrEx>
          <w:tblBorders>
            <w:insideH w:val="single" w:sz="6" w:space="0" w:color="000000"/>
            <w:insideV w:val="nil"/>
          </w:tblBorders>
          <w:shd w:val="clear" w:color="auto" w:fill="auto"/>
        </w:tblPrEx>
        <w:tc>
          <w:tcPr>
            <w:tcW w:w="5000" w:type="pct"/>
            <w:gridSpan w:val="2"/>
            <w:tcBorders>
              <w:bottom w:val="single" w:sz="12" w:space="0" w:color="008000"/>
            </w:tcBorders>
            <w:shd w:val="clear" w:color="auto" w:fill="D9D9D9" w:themeFill="background1" w:themeFillShade="D9"/>
          </w:tcPr>
          <w:p w14:paraId="2682FFE2" w14:textId="77777777" w:rsidR="008F4B01" w:rsidRPr="00334323" w:rsidRDefault="008F4B01" w:rsidP="008F4B01">
            <w:pPr>
              <w:pStyle w:val="DHHSbody"/>
              <w:rPr>
                <w:rFonts w:cs="Arial"/>
              </w:rPr>
            </w:pPr>
            <w:r w:rsidRPr="00334323">
              <w:rPr>
                <w:rFonts w:cs="Arial"/>
              </w:rPr>
              <w:t xml:space="preserve">Take-away doses of methadone represent a significant risk if consumed by someone other than the patient for whom they were supplied. This risk is magnified in the case of children, people who lack tolerance for the drug and people who are concurrently using other drugs. </w:t>
            </w:r>
          </w:p>
          <w:p w14:paraId="0A9F5074" w14:textId="77777777" w:rsidR="009E4B88" w:rsidRPr="00334323" w:rsidRDefault="008F4B01" w:rsidP="008F4B01">
            <w:pPr>
              <w:pStyle w:val="DHHSbody"/>
              <w:rPr>
                <w:rFonts w:cs="Arial"/>
              </w:rPr>
            </w:pPr>
            <w:r w:rsidRPr="00334323">
              <w:rPr>
                <w:rFonts w:cs="Arial"/>
              </w:rPr>
              <w:lastRenderedPageBreak/>
              <w:t xml:space="preserve">To minimise these risks and to deter injection, </w:t>
            </w:r>
            <w:r w:rsidRPr="00334323">
              <w:rPr>
                <w:rFonts w:cs="Arial"/>
                <w:b/>
              </w:rPr>
              <w:t>each</w:t>
            </w:r>
            <w:r w:rsidRPr="00334323">
              <w:rPr>
                <w:rFonts w:cs="Arial"/>
              </w:rPr>
              <w:t xml:space="preserve"> methadone take-away dose should be diluted </w:t>
            </w:r>
            <w:r w:rsidRPr="00334323">
              <w:rPr>
                <w:rFonts w:cs="Arial"/>
                <w:b/>
              </w:rPr>
              <w:t>with water</w:t>
            </w:r>
            <w:r w:rsidRPr="00334323">
              <w:rPr>
                <w:rFonts w:cs="Arial"/>
              </w:rPr>
              <w:t xml:space="preserve"> to a volume of 200 mL and supplied in a container with a child-resistant closure. </w:t>
            </w:r>
            <w:r w:rsidR="009E4B88" w:rsidRPr="00334323">
              <w:rPr>
                <w:rFonts w:cs="Arial"/>
              </w:rPr>
              <w:t xml:space="preserve">Multiple methadone take-away doses should never be included in the same container; </w:t>
            </w:r>
            <w:r w:rsidR="009E4B88" w:rsidRPr="00334323">
              <w:rPr>
                <w:rFonts w:cs="Arial"/>
                <w:b/>
              </w:rPr>
              <w:t>that is an unacceptable risk</w:t>
            </w:r>
            <w:r w:rsidR="009E4B88" w:rsidRPr="00334323">
              <w:rPr>
                <w:rFonts w:cs="Arial"/>
              </w:rPr>
              <w:t>.</w:t>
            </w:r>
          </w:p>
          <w:p w14:paraId="1CDE3355" w14:textId="77777777" w:rsidR="008F4B01" w:rsidRPr="00334323" w:rsidRDefault="008F4B01" w:rsidP="008F4B01">
            <w:pPr>
              <w:pStyle w:val="DHHSbody"/>
              <w:rPr>
                <w:rFonts w:cs="Arial"/>
              </w:rPr>
            </w:pPr>
            <w:r w:rsidRPr="00334323">
              <w:rPr>
                <w:rFonts w:cs="Arial"/>
              </w:rPr>
              <w:t xml:space="preserve">Take-away doses should </w:t>
            </w:r>
            <w:r w:rsidRPr="00334323">
              <w:rPr>
                <w:rFonts w:cs="Arial"/>
                <w:b/>
              </w:rPr>
              <w:t>not</w:t>
            </w:r>
            <w:r w:rsidRPr="00334323">
              <w:rPr>
                <w:rFonts w:cs="Arial"/>
              </w:rPr>
              <w:t xml:space="preserve"> be diluted with cordial, as doses prepared in this manner may develop microbial growth.</w:t>
            </w:r>
          </w:p>
        </w:tc>
      </w:tr>
      <w:tr w:rsidR="009E4B88" w:rsidRPr="004176DE" w14:paraId="228D8B4B" w14:textId="77777777" w:rsidTr="00A66E1A">
        <w:tblPrEx>
          <w:tblBorders>
            <w:top w:val="single" w:sz="12" w:space="0" w:color="808080"/>
            <w:left w:val="single" w:sz="12" w:space="0" w:color="808080"/>
            <w:bottom w:val="single" w:sz="12" w:space="0" w:color="808080"/>
            <w:right w:val="single" w:sz="12" w:space="0" w:color="808080"/>
            <w:insideV w:val="single" w:sz="6" w:space="0" w:color="C0C0C0"/>
          </w:tblBorders>
          <w:shd w:val="clear" w:color="auto" w:fill="auto"/>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7D3D6DEB" w14:textId="77777777" w:rsidR="009E4B88" w:rsidRPr="005F4CFF" w:rsidRDefault="009E4B88" w:rsidP="00A66E1A">
            <w:pPr>
              <w:pStyle w:val="DHHSbody"/>
              <w:rPr>
                <w:rFonts w:cs="Arial"/>
                <w:b/>
                <w:bCs/>
              </w:rPr>
            </w:pPr>
            <w:r w:rsidRPr="005F4CFF">
              <w:rPr>
                <w:rFonts w:cs="Arial"/>
                <w:b/>
                <w:bCs/>
              </w:rPr>
              <w:t xml:space="preserve">Is each methadone take-away dose diluted to a volume of 200 mL? </w:t>
            </w:r>
          </w:p>
        </w:tc>
        <w:tc>
          <w:tcPr>
            <w:tcW w:w="851" w:type="pct"/>
            <w:tcBorders>
              <w:top w:val="single" w:sz="12" w:space="0" w:color="808080"/>
              <w:left w:val="single" w:sz="6" w:space="0" w:color="C0C0C0"/>
              <w:bottom w:val="single" w:sz="6" w:space="0" w:color="808080"/>
              <w:right w:val="single" w:sz="12" w:space="0" w:color="808080"/>
            </w:tcBorders>
          </w:tcPr>
          <w:p w14:paraId="38AEBCCB" w14:textId="77777777" w:rsidR="009E4B88" w:rsidRPr="004176DE" w:rsidRDefault="009E4B88" w:rsidP="00A66E1A">
            <w:pPr>
              <w:pStyle w:val="DHHSbody"/>
              <w:rPr>
                <w:rFonts w:cs="Arial"/>
              </w:rPr>
            </w:pPr>
            <w:r w:rsidRPr="004176DE">
              <w:rPr>
                <w:rFonts w:cs="Arial"/>
                <w:b/>
              </w:rPr>
              <w:t>YES</w:t>
            </w:r>
            <w:r w:rsidRPr="004176DE">
              <w:rPr>
                <w:rFonts w:cs="Arial"/>
              </w:rPr>
              <w:t xml:space="preserve"> / No</w:t>
            </w:r>
          </w:p>
        </w:tc>
      </w:tr>
      <w:tr w:rsidR="008F4B01" w:rsidRPr="004176DE" w14:paraId="0E45F280" w14:textId="77777777" w:rsidTr="0029613B">
        <w:tblPrEx>
          <w:tblBorders>
            <w:top w:val="single" w:sz="12" w:space="0" w:color="808080"/>
            <w:left w:val="single" w:sz="12" w:space="0" w:color="808080"/>
            <w:bottom w:val="single" w:sz="12" w:space="0" w:color="808080"/>
            <w:right w:val="single" w:sz="12" w:space="0" w:color="808080"/>
            <w:insideV w:val="single" w:sz="6" w:space="0" w:color="C0C0C0"/>
          </w:tblBorders>
          <w:shd w:val="clear" w:color="auto" w:fill="auto"/>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2B258407" w14:textId="77777777" w:rsidR="008F4B01" w:rsidRPr="00334323" w:rsidRDefault="008F4B01" w:rsidP="008F4B01">
            <w:pPr>
              <w:pStyle w:val="DHHSbody"/>
              <w:rPr>
                <w:rFonts w:cs="Arial"/>
                <w:b/>
                <w:bCs/>
              </w:rPr>
            </w:pPr>
            <w:r w:rsidRPr="00334323">
              <w:rPr>
                <w:rFonts w:cs="Arial"/>
                <w:b/>
                <w:bCs/>
              </w:rPr>
              <w:t xml:space="preserve">Is </w:t>
            </w:r>
            <w:r w:rsidR="009E4B88" w:rsidRPr="00334323">
              <w:rPr>
                <w:rFonts w:cs="Arial"/>
                <w:b/>
                <w:bCs/>
              </w:rPr>
              <w:t xml:space="preserve">it acceptable to include multiple </w:t>
            </w:r>
            <w:r w:rsidRPr="00334323">
              <w:rPr>
                <w:rFonts w:cs="Arial"/>
                <w:b/>
                <w:bCs/>
              </w:rPr>
              <w:t>methadone take-away dose</w:t>
            </w:r>
            <w:r w:rsidR="009E4B88" w:rsidRPr="00334323">
              <w:rPr>
                <w:rFonts w:cs="Arial"/>
                <w:b/>
                <w:bCs/>
              </w:rPr>
              <w:t>s in the same container if directed to do so by the prescriber?</w:t>
            </w:r>
            <w:r w:rsidRPr="00334323">
              <w:rPr>
                <w:rFonts w:cs="Arial"/>
                <w:b/>
                <w:bCs/>
              </w:rPr>
              <w:t xml:space="preserve"> </w:t>
            </w:r>
          </w:p>
        </w:tc>
        <w:tc>
          <w:tcPr>
            <w:tcW w:w="851" w:type="pct"/>
            <w:tcBorders>
              <w:top w:val="single" w:sz="12" w:space="0" w:color="808080"/>
              <w:left w:val="single" w:sz="6" w:space="0" w:color="C0C0C0"/>
              <w:bottom w:val="single" w:sz="6" w:space="0" w:color="808080"/>
              <w:right w:val="single" w:sz="12" w:space="0" w:color="808080"/>
            </w:tcBorders>
          </w:tcPr>
          <w:p w14:paraId="5946DAD5" w14:textId="77777777" w:rsidR="008F4B01" w:rsidRPr="004176DE" w:rsidRDefault="008F4B01" w:rsidP="008F4B01">
            <w:pPr>
              <w:pStyle w:val="DHHSbody"/>
              <w:rPr>
                <w:rFonts w:cs="Arial"/>
              </w:rPr>
            </w:pPr>
            <w:r w:rsidRPr="009E4B88">
              <w:rPr>
                <w:rFonts w:cs="Arial"/>
              </w:rPr>
              <w:t>Y</w:t>
            </w:r>
            <w:r w:rsidR="009E4B88">
              <w:rPr>
                <w:rFonts w:cs="Arial"/>
              </w:rPr>
              <w:t>es</w:t>
            </w:r>
            <w:r w:rsidRPr="004176DE">
              <w:rPr>
                <w:rFonts w:cs="Arial"/>
              </w:rPr>
              <w:t xml:space="preserve"> / </w:t>
            </w:r>
            <w:r w:rsidR="009E4B88" w:rsidRPr="009E4B88">
              <w:rPr>
                <w:rFonts w:cs="Arial"/>
                <w:b/>
              </w:rPr>
              <w:t>NO</w:t>
            </w:r>
          </w:p>
        </w:tc>
      </w:tr>
      <w:tr w:rsidR="008F4B01" w:rsidRPr="004176DE" w14:paraId="5A0F12EB" w14:textId="77777777" w:rsidTr="0029613B">
        <w:tblPrEx>
          <w:tblBorders>
            <w:top w:val="single" w:sz="12" w:space="0" w:color="808080"/>
            <w:left w:val="single" w:sz="12" w:space="0" w:color="808080"/>
            <w:bottom w:val="single" w:sz="12" w:space="0" w:color="808080"/>
            <w:right w:val="single" w:sz="12" w:space="0" w:color="808080"/>
            <w:insideV w:val="single" w:sz="6" w:space="0" w:color="C0C0C0"/>
          </w:tblBorders>
          <w:shd w:val="clear" w:color="auto" w:fill="auto"/>
          <w:tblLook w:val="0000" w:firstRow="0" w:lastRow="0" w:firstColumn="0" w:lastColumn="0" w:noHBand="0" w:noVBand="0"/>
        </w:tblPrEx>
        <w:tc>
          <w:tcPr>
            <w:tcW w:w="4149" w:type="pct"/>
            <w:tcBorders>
              <w:top w:val="single" w:sz="12" w:space="0" w:color="808080"/>
              <w:left w:val="single" w:sz="12" w:space="0" w:color="808080"/>
              <w:bottom w:val="single" w:sz="12" w:space="0" w:color="808080"/>
              <w:right w:val="single" w:sz="6" w:space="0" w:color="C0C0C0"/>
            </w:tcBorders>
            <w:shd w:val="clear" w:color="auto" w:fill="D9D9D9" w:themeFill="background1" w:themeFillShade="D9"/>
          </w:tcPr>
          <w:p w14:paraId="2C74D92A" w14:textId="77777777" w:rsidR="008F4B01" w:rsidRPr="005F4CFF" w:rsidRDefault="008F4B01" w:rsidP="008F4B01">
            <w:pPr>
              <w:pStyle w:val="DHHSbody"/>
              <w:rPr>
                <w:rFonts w:cs="Arial"/>
                <w:b/>
                <w:bCs/>
              </w:rPr>
            </w:pPr>
            <w:r w:rsidRPr="005F4CFF">
              <w:rPr>
                <w:rFonts w:cs="Arial"/>
                <w:b/>
                <w:bCs/>
              </w:rPr>
              <w:t>Is each methadone take-away dose supplied in a container with a child-resistant closure?</w:t>
            </w:r>
          </w:p>
        </w:tc>
        <w:tc>
          <w:tcPr>
            <w:tcW w:w="851" w:type="pct"/>
            <w:tcBorders>
              <w:top w:val="single" w:sz="12" w:space="0" w:color="808080"/>
              <w:left w:val="single" w:sz="6" w:space="0" w:color="C0C0C0"/>
              <w:bottom w:val="single" w:sz="12" w:space="0" w:color="808080"/>
              <w:right w:val="single" w:sz="12" w:space="0" w:color="808080"/>
            </w:tcBorders>
          </w:tcPr>
          <w:p w14:paraId="19BBF0BC"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bl>
    <w:p w14:paraId="0F55AB2C" w14:textId="77777777" w:rsidR="008F4B01" w:rsidRPr="004176DE" w:rsidRDefault="008F4B01" w:rsidP="008F4B01">
      <w:pPr>
        <w:pStyle w:val="DHHSbody"/>
        <w:rPr>
          <w:rFonts w:cs="Arial"/>
        </w:rPr>
      </w:pP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5F61F911" w14:textId="77777777" w:rsidTr="0029613B">
        <w:tc>
          <w:tcPr>
            <w:tcW w:w="5000" w:type="pct"/>
            <w:gridSpan w:val="2"/>
            <w:tcBorders>
              <w:bottom w:val="single" w:sz="12" w:space="0" w:color="008000"/>
            </w:tcBorders>
            <w:shd w:val="clear" w:color="auto" w:fill="D9D9D9" w:themeFill="background1" w:themeFillShade="D9"/>
          </w:tcPr>
          <w:p w14:paraId="64947CBE" w14:textId="77777777" w:rsidR="008F4B01" w:rsidRPr="004176DE" w:rsidRDefault="00050BC7" w:rsidP="008F4B01">
            <w:pPr>
              <w:pStyle w:val="DHHSbody"/>
              <w:rPr>
                <w:rFonts w:cs="Arial"/>
              </w:rPr>
            </w:pPr>
            <w:r>
              <w:rPr>
                <w:rFonts w:cs="Arial"/>
              </w:rPr>
              <w:t>MPR</w:t>
            </w:r>
            <w:r w:rsidR="008F4B01" w:rsidRPr="004176DE">
              <w:rPr>
                <w:rFonts w:cs="Arial"/>
              </w:rPr>
              <w:t xml:space="preserve"> sometimes receives complaints alleging that pharmacists have re-used containers that were previously used for methadone take-away doses but have not been adequately cleaned and sanitised before being re-used and/or that tap water has been used to dilute take-away doses.</w:t>
            </w:r>
          </w:p>
          <w:p w14:paraId="2F8262FC" w14:textId="77777777" w:rsidR="008F4B01" w:rsidRPr="004176DE" w:rsidRDefault="008F4B01" w:rsidP="008F4B01">
            <w:pPr>
              <w:pStyle w:val="DHHSbody"/>
              <w:rPr>
                <w:rFonts w:cs="Arial"/>
              </w:rPr>
            </w:pPr>
            <w:r w:rsidRPr="004176DE">
              <w:rPr>
                <w:rFonts w:cs="Arial"/>
              </w:rPr>
              <w:t xml:space="preserve">These issues relate to professional pharmacy standards rather than regulatory requirements but </w:t>
            </w:r>
            <w:r w:rsidR="00050BC7">
              <w:rPr>
                <w:rFonts w:cs="Arial"/>
              </w:rPr>
              <w:t>MPR</w:t>
            </w:r>
            <w:r w:rsidRPr="004176DE">
              <w:rPr>
                <w:rFonts w:cs="Arial"/>
              </w:rPr>
              <w:t xml:space="preserve"> offers the following information for consideration.</w:t>
            </w:r>
          </w:p>
          <w:p w14:paraId="381C2ED8" w14:textId="77777777" w:rsidR="008F4B01" w:rsidRPr="004176DE" w:rsidRDefault="008F4B01" w:rsidP="008F4B01">
            <w:pPr>
              <w:pStyle w:val="DHHSbody"/>
              <w:rPr>
                <w:rFonts w:cs="Arial"/>
              </w:rPr>
            </w:pPr>
            <w:r w:rsidRPr="004176DE">
              <w:rPr>
                <w:rFonts w:cs="Arial"/>
              </w:rPr>
              <w:t xml:space="preserve">The use of tap water in diluting methadone take-away doses may be acceptable but pharmacists should consider the quality of local tap water and the fact that the concentration of preservatives in Methadone Syrup will also be diluted. Accordingly, the use of tap water for dilution of methadone take-away doses represents a minor risk that might be elevated if a take-away dose is not stored appropriately or consumed until several days after preparation. </w:t>
            </w:r>
          </w:p>
          <w:p w14:paraId="2C3DF162" w14:textId="77777777" w:rsidR="008F4B01" w:rsidRPr="004176DE" w:rsidRDefault="008F4B01" w:rsidP="008F4B01">
            <w:pPr>
              <w:pStyle w:val="DHHSbody"/>
              <w:rPr>
                <w:rFonts w:cs="Arial"/>
              </w:rPr>
            </w:pPr>
            <w:r w:rsidRPr="004176DE">
              <w:rPr>
                <w:rFonts w:cs="Arial"/>
              </w:rPr>
              <w:t>The risks associated with the use of tap water might be less significant than the provision of methadone take-away doses in containers that have not been thoroughly cleaned and sanitised.</w:t>
            </w:r>
          </w:p>
        </w:tc>
      </w:tr>
      <w:tr w:rsidR="008F4B01" w:rsidRPr="004176DE" w14:paraId="12E82453"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4C9CF16B" w14:textId="77777777" w:rsidR="008F4B01" w:rsidRPr="004176DE" w:rsidRDefault="008F4B01" w:rsidP="008F4B01">
            <w:pPr>
              <w:pStyle w:val="DHHSbody"/>
              <w:rPr>
                <w:rFonts w:cs="Arial"/>
              </w:rPr>
            </w:pPr>
            <w:r w:rsidRPr="004176DE">
              <w:rPr>
                <w:rFonts w:cs="Arial"/>
              </w:rPr>
              <w:t xml:space="preserve">Have all pharmacists been informed of the need to ensure that containers used for take-away doses are </w:t>
            </w:r>
            <w:r w:rsidRPr="004176DE">
              <w:rPr>
                <w:rFonts w:cs="Arial"/>
                <w:b/>
              </w:rPr>
              <w:t>not</w:t>
            </w:r>
            <w:r w:rsidRPr="004176DE">
              <w:rPr>
                <w:rFonts w:cs="Arial"/>
              </w:rPr>
              <w:t xml:space="preserve"> to be re-used for anyone other than the same patient and then only if they have been thoroughly cleaned and sanitised ?</w:t>
            </w:r>
          </w:p>
        </w:tc>
        <w:tc>
          <w:tcPr>
            <w:tcW w:w="851" w:type="pct"/>
            <w:tcBorders>
              <w:top w:val="single" w:sz="12" w:space="0" w:color="808080"/>
              <w:left w:val="single" w:sz="6" w:space="0" w:color="C0C0C0"/>
              <w:bottom w:val="single" w:sz="6" w:space="0" w:color="808080"/>
              <w:right w:val="single" w:sz="12" w:space="0" w:color="808080"/>
            </w:tcBorders>
          </w:tcPr>
          <w:p w14:paraId="3BE67375"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r w:rsidR="008F4B01" w:rsidRPr="004176DE" w14:paraId="6B91CCE2"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6EC64F4E" w14:textId="77777777" w:rsidR="008F4B01" w:rsidRPr="004176DE" w:rsidRDefault="008F4B01" w:rsidP="008F4B01">
            <w:pPr>
              <w:pStyle w:val="DHHSbody"/>
              <w:rPr>
                <w:rFonts w:cs="Arial"/>
                <w:bCs/>
              </w:rPr>
            </w:pPr>
            <w:r w:rsidRPr="004176DE">
              <w:rPr>
                <w:rFonts w:cs="Arial"/>
                <w:bCs/>
              </w:rPr>
              <w:t>Have all pharmacists been advised to consider the proposed duration and conditions of storage of methadone take-away doses when determining whether tap water may be used to dilute take-away doses?</w:t>
            </w:r>
          </w:p>
        </w:tc>
        <w:tc>
          <w:tcPr>
            <w:tcW w:w="851" w:type="pct"/>
            <w:tcBorders>
              <w:top w:val="single" w:sz="12" w:space="0" w:color="808080"/>
              <w:left w:val="single" w:sz="6" w:space="0" w:color="C0C0C0"/>
              <w:bottom w:val="single" w:sz="6" w:space="0" w:color="808080"/>
              <w:right w:val="single" w:sz="12" w:space="0" w:color="808080"/>
            </w:tcBorders>
          </w:tcPr>
          <w:p w14:paraId="48DD444B"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bl>
    <w:p w14:paraId="536DD98F" w14:textId="77777777" w:rsidR="008F4B01" w:rsidRPr="00BB370E" w:rsidRDefault="008F4B01" w:rsidP="00D7793F">
      <w:pPr>
        <w:pStyle w:val="Heading3"/>
        <w:rPr>
          <w:lang w:val="it-IT"/>
        </w:rPr>
      </w:pPr>
      <w:r w:rsidRPr="00BB370E">
        <w:rPr>
          <w:lang w:val="it-IT"/>
        </w:rPr>
        <w:t>Take-away doses of buprenorphine</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1471FA4D" w14:textId="77777777" w:rsidTr="0029613B">
        <w:tc>
          <w:tcPr>
            <w:tcW w:w="5000" w:type="pct"/>
            <w:gridSpan w:val="2"/>
            <w:tcBorders>
              <w:top w:val="single" w:sz="6" w:space="0" w:color="000000"/>
              <w:left w:val="single" w:sz="6" w:space="0" w:color="008000"/>
              <w:bottom w:val="single" w:sz="6" w:space="0" w:color="000000"/>
              <w:right w:val="single" w:sz="6" w:space="0" w:color="008000"/>
            </w:tcBorders>
            <w:shd w:val="clear" w:color="auto" w:fill="D9D9D9" w:themeFill="background1" w:themeFillShade="D9"/>
          </w:tcPr>
          <w:p w14:paraId="38402CAD" w14:textId="77777777" w:rsidR="008F4B01" w:rsidRPr="004176DE" w:rsidRDefault="008F4B01" w:rsidP="008F4B01">
            <w:pPr>
              <w:pStyle w:val="DHHSbody"/>
              <w:rPr>
                <w:rFonts w:cs="Arial"/>
              </w:rPr>
            </w:pPr>
            <w:r w:rsidRPr="004176DE">
              <w:rPr>
                <w:rFonts w:cs="Arial"/>
                <w:b/>
              </w:rPr>
              <w:t>Subutex</w:t>
            </w:r>
            <w:r w:rsidRPr="004176DE">
              <w:rPr>
                <w:rFonts w:cs="Arial"/>
                <w:vertAlign w:val="superscript"/>
              </w:rPr>
              <w:t>®</w:t>
            </w:r>
            <w:r w:rsidRPr="004176DE">
              <w:rPr>
                <w:rFonts w:cs="Arial"/>
              </w:rPr>
              <w:t xml:space="preserve"> should </w:t>
            </w:r>
            <w:r w:rsidRPr="004648A0">
              <w:rPr>
                <w:rFonts w:cs="Arial"/>
                <w:b/>
              </w:rPr>
              <w:t>not</w:t>
            </w:r>
            <w:r w:rsidRPr="004176DE">
              <w:rPr>
                <w:rFonts w:cs="Arial"/>
              </w:rPr>
              <w:t xml:space="preserve"> be authorised for take-away doses unless the patient is p</w:t>
            </w:r>
            <w:r>
              <w:rPr>
                <w:rFonts w:cs="Arial"/>
              </w:rPr>
              <w:t>regnant or breastfeeding; has a</w:t>
            </w:r>
            <w:r w:rsidRPr="004176DE">
              <w:rPr>
                <w:rFonts w:cs="Arial"/>
              </w:rPr>
              <w:t xml:space="preserve"> </w:t>
            </w:r>
            <w:r>
              <w:rPr>
                <w:rFonts w:cs="Arial"/>
              </w:rPr>
              <w:t>clinically documented</w:t>
            </w:r>
            <w:r w:rsidRPr="004176DE">
              <w:rPr>
                <w:rFonts w:cs="Arial"/>
              </w:rPr>
              <w:t xml:space="preserve"> allergy to naloxone (or to an excipient in Suboxone</w:t>
            </w:r>
            <w:r w:rsidRPr="004176DE">
              <w:rPr>
                <w:rFonts w:cs="Arial"/>
                <w:vertAlign w:val="superscript"/>
              </w:rPr>
              <w:t>®</w:t>
            </w:r>
            <w:r w:rsidRPr="004176DE">
              <w:rPr>
                <w:rFonts w:cs="Arial"/>
              </w:rPr>
              <w:t>)</w:t>
            </w:r>
            <w:r>
              <w:rPr>
                <w:rFonts w:cs="Arial"/>
              </w:rPr>
              <w:t>;</w:t>
            </w:r>
            <w:r w:rsidRPr="004176DE">
              <w:rPr>
                <w:rFonts w:cs="Arial"/>
              </w:rPr>
              <w:t xml:space="preserve"> or where it is necessary to supply the 0.4 mg tablet to achieve a dose that is less than 2.0 mg.</w:t>
            </w:r>
          </w:p>
          <w:p w14:paraId="10FEA7A4" w14:textId="77777777" w:rsidR="008F4B01" w:rsidRPr="004176DE" w:rsidRDefault="008F4B01" w:rsidP="008F4B01">
            <w:pPr>
              <w:pStyle w:val="DHHSbody"/>
              <w:rPr>
                <w:rFonts w:cs="Arial"/>
              </w:rPr>
            </w:pPr>
            <w:r w:rsidRPr="004176DE">
              <w:rPr>
                <w:rFonts w:cs="Arial"/>
              </w:rPr>
              <w:t xml:space="preserve">Where take-away doses of </w:t>
            </w:r>
            <w:r w:rsidRPr="004176DE">
              <w:rPr>
                <w:rFonts w:cs="Arial"/>
                <w:b/>
              </w:rPr>
              <w:t>Suboxone</w:t>
            </w:r>
            <w:r w:rsidRPr="004176DE">
              <w:rPr>
                <w:rFonts w:cs="Arial"/>
                <w:vertAlign w:val="superscript"/>
              </w:rPr>
              <w:t>®</w:t>
            </w:r>
            <w:r w:rsidRPr="004176DE">
              <w:rPr>
                <w:rFonts w:cs="Arial"/>
              </w:rPr>
              <w:t xml:space="preserve"> are authorised, the patient should be transferred to Suboxone</w:t>
            </w:r>
            <w:r w:rsidRPr="004176DE">
              <w:rPr>
                <w:rFonts w:cs="Arial"/>
                <w:vertAlign w:val="superscript"/>
              </w:rPr>
              <w:t>®</w:t>
            </w:r>
            <w:r w:rsidRPr="004176DE">
              <w:rPr>
                <w:rFonts w:cs="Arial"/>
              </w:rPr>
              <w:t xml:space="preserve"> for all doses, including the days when doses are supervised.</w:t>
            </w:r>
          </w:p>
        </w:tc>
      </w:tr>
      <w:tr w:rsidR="008F4B01" w:rsidRPr="004176DE" w14:paraId="55D65C40"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000000"/>
              <w:right w:val="single" w:sz="6" w:space="0" w:color="C0C0C0"/>
            </w:tcBorders>
            <w:shd w:val="clear" w:color="auto" w:fill="D9D9D9" w:themeFill="background1" w:themeFillShade="D9"/>
          </w:tcPr>
          <w:p w14:paraId="739C0687" w14:textId="77777777" w:rsidR="008F4B01" w:rsidRPr="004176DE" w:rsidRDefault="008F4B01" w:rsidP="008F4B01">
            <w:pPr>
              <w:pStyle w:val="DHHSbody"/>
              <w:rPr>
                <w:rFonts w:cs="Arial"/>
                <w:bCs/>
              </w:rPr>
            </w:pPr>
            <w:r w:rsidRPr="004176DE">
              <w:rPr>
                <w:rFonts w:cs="Arial"/>
                <w:bCs/>
              </w:rPr>
              <w:t xml:space="preserve">Have all pharmacists been informed that the Policy makes no provision for routine take-away doses of </w:t>
            </w:r>
            <w:r w:rsidRPr="004176DE">
              <w:rPr>
                <w:rFonts w:cs="Arial"/>
                <w:b/>
              </w:rPr>
              <w:t>Subutex</w:t>
            </w:r>
            <w:r w:rsidRPr="004176DE">
              <w:rPr>
                <w:rFonts w:cs="Arial"/>
                <w:vertAlign w:val="superscript"/>
              </w:rPr>
              <w:t>®</w:t>
            </w:r>
            <w:r w:rsidRPr="004176DE">
              <w:rPr>
                <w:rFonts w:cs="Arial"/>
                <w:bCs/>
              </w:rPr>
              <w:t xml:space="preserve"> </w:t>
            </w:r>
            <w:r>
              <w:rPr>
                <w:rFonts w:cs="Arial"/>
                <w:bCs/>
              </w:rPr>
              <w:t xml:space="preserve">and that take-away doses of </w:t>
            </w:r>
            <w:r w:rsidRPr="004648A0">
              <w:rPr>
                <w:rFonts w:cs="Arial"/>
                <w:b/>
                <w:bCs/>
              </w:rPr>
              <w:t>Suboxone</w:t>
            </w:r>
            <w:r w:rsidRPr="004648A0">
              <w:rPr>
                <w:rFonts w:cs="Arial"/>
                <w:b/>
                <w:bCs/>
                <w:vertAlign w:val="superscript"/>
              </w:rPr>
              <w:t>®</w:t>
            </w:r>
            <w:r>
              <w:rPr>
                <w:rFonts w:cs="Arial"/>
                <w:bCs/>
              </w:rPr>
              <w:t xml:space="preserve"> should be limited as indicated </w:t>
            </w:r>
            <w:r w:rsidRPr="004176DE">
              <w:rPr>
                <w:rFonts w:cs="Arial"/>
                <w:bCs/>
              </w:rPr>
              <w:t xml:space="preserve">other than as indicated above? </w:t>
            </w:r>
          </w:p>
        </w:tc>
        <w:tc>
          <w:tcPr>
            <w:tcW w:w="851" w:type="pct"/>
            <w:tcBorders>
              <w:top w:val="single" w:sz="12" w:space="0" w:color="808080"/>
              <w:left w:val="single" w:sz="6" w:space="0" w:color="C0C0C0"/>
              <w:bottom w:val="single" w:sz="6" w:space="0" w:color="000000"/>
              <w:right w:val="single" w:sz="12" w:space="0" w:color="808080"/>
            </w:tcBorders>
          </w:tcPr>
          <w:p w14:paraId="43B36FD7"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r w:rsidR="008F4B01" w:rsidRPr="004176DE" w14:paraId="1FD3DEEF" w14:textId="77777777" w:rsidTr="008F4B01">
        <w:tc>
          <w:tcPr>
            <w:tcW w:w="5000" w:type="pct"/>
            <w:gridSpan w:val="2"/>
            <w:tcBorders>
              <w:top w:val="single" w:sz="6" w:space="0" w:color="000000"/>
              <w:bottom w:val="single" w:sz="12" w:space="0" w:color="008000"/>
            </w:tcBorders>
            <w:shd w:val="clear" w:color="auto" w:fill="FFFF00"/>
          </w:tcPr>
          <w:p w14:paraId="1B9DF897" w14:textId="77777777" w:rsidR="008F4B01" w:rsidRDefault="008F4B01" w:rsidP="008F4B01">
            <w:pPr>
              <w:pStyle w:val="DHHSbody"/>
              <w:rPr>
                <w:rFonts w:cs="Arial"/>
              </w:rPr>
            </w:pPr>
            <w:r>
              <w:rPr>
                <w:rFonts w:cs="Arial"/>
              </w:rPr>
              <w:t xml:space="preserve">A schedule, showing the recommended maximum number of </w:t>
            </w:r>
            <w:r w:rsidRPr="004648A0">
              <w:rPr>
                <w:rFonts w:cs="Arial"/>
                <w:b/>
              </w:rPr>
              <w:t>Suboxone</w:t>
            </w:r>
            <w:r w:rsidRPr="004648A0">
              <w:rPr>
                <w:rFonts w:cs="Arial"/>
                <w:b/>
                <w:vertAlign w:val="superscript"/>
              </w:rPr>
              <w:t>®</w:t>
            </w:r>
            <w:r>
              <w:rPr>
                <w:rFonts w:cs="Arial"/>
              </w:rPr>
              <w:t xml:space="preserve"> take-away doses following </w:t>
            </w:r>
            <w:r w:rsidRPr="00917108">
              <w:rPr>
                <w:rFonts w:cs="Arial"/>
                <w:b/>
              </w:rPr>
              <w:t>continuous periods of stability in treatment</w:t>
            </w:r>
            <w:r>
              <w:rPr>
                <w:rFonts w:cs="Arial"/>
              </w:rPr>
              <w:t xml:space="preserve">, is included in </w:t>
            </w:r>
            <w:r w:rsidRPr="003D544B">
              <w:rPr>
                <w:rFonts w:cs="Arial"/>
              </w:rPr>
              <w:t>Appendix 4 of the Policy.</w:t>
            </w:r>
          </w:p>
          <w:tbl>
            <w:tblPr>
              <w:tblStyle w:val="TableGrid"/>
              <w:tblW w:w="5000" w:type="pct"/>
              <w:tblInd w:w="0" w:type="dxa"/>
              <w:tblLook w:val="04A0" w:firstRow="1" w:lastRow="0" w:firstColumn="1" w:lastColumn="0" w:noHBand="0" w:noVBand="1"/>
            </w:tblPr>
            <w:tblGrid>
              <w:gridCol w:w="2554"/>
              <w:gridCol w:w="7408"/>
            </w:tblGrid>
            <w:tr w:rsidR="008F4B01" w14:paraId="3D587F77" w14:textId="77777777" w:rsidTr="008F4B01">
              <w:tc>
                <w:tcPr>
                  <w:tcW w:w="1282" w:type="pct"/>
                </w:tcPr>
                <w:p w14:paraId="16567D91" w14:textId="77777777" w:rsidR="008F4B01" w:rsidRDefault="008F4B01" w:rsidP="008F4B01">
                  <w:pPr>
                    <w:pStyle w:val="DHHSbody"/>
                    <w:rPr>
                      <w:rFonts w:cs="Arial"/>
                    </w:rPr>
                  </w:pPr>
                  <w:r>
                    <w:rPr>
                      <w:rFonts w:cs="Arial"/>
                    </w:rPr>
                    <w:t>Less than 2 weeks</w:t>
                  </w:r>
                </w:p>
              </w:tc>
              <w:tc>
                <w:tcPr>
                  <w:tcW w:w="3718" w:type="pct"/>
                </w:tcPr>
                <w:p w14:paraId="0F1BECCF" w14:textId="77777777" w:rsidR="008F4B01" w:rsidRDefault="008F4B01" w:rsidP="008F4B01">
                  <w:pPr>
                    <w:pStyle w:val="DHHSbody"/>
                    <w:numPr>
                      <w:ilvl w:val="0"/>
                      <w:numId w:val="26"/>
                    </w:numPr>
                    <w:rPr>
                      <w:rFonts w:cs="Arial"/>
                    </w:rPr>
                  </w:pPr>
                  <w:r>
                    <w:rPr>
                      <w:rFonts w:cs="Arial"/>
                    </w:rPr>
                    <w:t>No take-away doses</w:t>
                  </w:r>
                </w:p>
              </w:tc>
            </w:tr>
            <w:tr w:rsidR="008F4B01" w14:paraId="4592C82D" w14:textId="77777777" w:rsidTr="008F4B01">
              <w:tc>
                <w:tcPr>
                  <w:tcW w:w="1282" w:type="pct"/>
                </w:tcPr>
                <w:p w14:paraId="071ECFE6" w14:textId="77777777" w:rsidR="008F4B01" w:rsidRDefault="008F4B01" w:rsidP="008F4B01">
                  <w:pPr>
                    <w:pStyle w:val="DHHSbody"/>
                    <w:rPr>
                      <w:rFonts w:cs="Arial"/>
                    </w:rPr>
                  </w:pPr>
                  <w:r>
                    <w:rPr>
                      <w:rFonts w:cs="Arial"/>
                    </w:rPr>
                    <w:t>2 weeks to 2 months</w:t>
                  </w:r>
                </w:p>
              </w:tc>
              <w:tc>
                <w:tcPr>
                  <w:tcW w:w="3718" w:type="pct"/>
                </w:tcPr>
                <w:p w14:paraId="441A71F6" w14:textId="77777777" w:rsidR="008F4B01" w:rsidRDefault="008F4B01" w:rsidP="008F4B01">
                  <w:pPr>
                    <w:pStyle w:val="DHHSbody"/>
                    <w:numPr>
                      <w:ilvl w:val="0"/>
                      <w:numId w:val="26"/>
                    </w:numPr>
                    <w:rPr>
                      <w:rFonts w:cs="Arial"/>
                    </w:rPr>
                  </w:pPr>
                  <w:r>
                    <w:rPr>
                      <w:rFonts w:cs="Arial"/>
                    </w:rPr>
                    <w:t>Not more than 2 take-away doses per week</w:t>
                  </w:r>
                </w:p>
              </w:tc>
            </w:tr>
            <w:tr w:rsidR="008F4B01" w14:paraId="3DD01362" w14:textId="77777777" w:rsidTr="008F4B01">
              <w:tc>
                <w:tcPr>
                  <w:tcW w:w="1282" w:type="pct"/>
                </w:tcPr>
                <w:p w14:paraId="2B165013" w14:textId="77777777" w:rsidR="008F4B01" w:rsidRDefault="008F4B01" w:rsidP="008F4B01">
                  <w:pPr>
                    <w:pStyle w:val="DHHSbody"/>
                    <w:rPr>
                      <w:rFonts w:cs="Arial"/>
                    </w:rPr>
                  </w:pPr>
                  <w:r>
                    <w:rPr>
                      <w:rFonts w:cs="Arial"/>
                    </w:rPr>
                    <w:lastRenderedPageBreak/>
                    <w:t>2 months to 6 months</w:t>
                  </w:r>
                </w:p>
              </w:tc>
              <w:tc>
                <w:tcPr>
                  <w:tcW w:w="3718" w:type="pct"/>
                </w:tcPr>
                <w:p w14:paraId="120AA7B2" w14:textId="77777777" w:rsidR="008F4B01" w:rsidRPr="00146A6D" w:rsidRDefault="008F4B01" w:rsidP="008F4B01">
                  <w:pPr>
                    <w:pStyle w:val="DHHSbody"/>
                    <w:numPr>
                      <w:ilvl w:val="0"/>
                      <w:numId w:val="26"/>
                    </w:numPr>
                    <w:rPr>
                      <w:rFonts w:cs="Arial"/>
                    </w:rPr>
                  </w:pPr>
                  <w:r>
                    <w:rPr>
                      <w:rFonts w:cs="Arial"/>
                    </w:rPr>
                    <w:t>Not more than 5 take-away doses per week</w:t>
                  </w:r>
                </w:p>
              </w:tc>
            </w:tr>
            <w:tr w:rsidR="008F4B01" w14:paraId="5D6809AE" w14:textId="77777777" w:rsidTr="008F4B01">
              <w:tc>
                <w:tcPr>
                  <w:tcW w:w="1282" w:type="pct"/>
                </w:tcPr>
                <w:p w14:paraId="72846785" w14:textId="77777777" w:rsidR="008F4B01" w:rsidRDefault="008F4B01" w:rsidP="008F4B01">
                  <w:pPr>
                    <w:pStyle w:val="DHHSbody"/>
                    <w:rPr>
                      <w:rFonts w:cs="Arial"/>
                    </w:rPr>
                  </w:pPr>
                  <w:r>
                    <w:rPr>
                      <w:rFonts w:cs="Arial"/>
                    </w:rPr>
                    <w:t>More than 6 months</w:t>
                  </w:r>
                </w:p>
              </w:tc>
              <w:tc>
                <w:tcPr>
                  <w:tcW w:w="3718" w:type="pct"/>
                </w:tcPr>
                <w:p w14:paraId="5C84601C" w14:textId="77777777" w:rsidR="008F4B01" w:rsidRDefault="008F4B01" w:rsidP="008F4B01">
                  <w:pPr>
                    <w:pStyle w:val="DHHSbody"/>
                    <w:numPr>
                      <w:ilvl w:val="0"/>
                      <w:numId w:val="26"/>
                    </w:numPr>
                    <w:rPr>
                      <w:rFonts w:cs="Arial"/>
                    </w:rPr>
                  </w:pPr>
                  <w:r>
                    <w:rPr>
                      <w:rFonts w:cs="Arial"/>
                    </w:rPr>
                    <w:t>Not more than 6 take-away doses per week</w:t>
                  </w:r>
                </w:p>
              </w:tc>
            </w:tr>
          </w:tbl>
          <w:p w14:paraId="7B484D8C" w14:textId="77777777" w:rsidR="008F4B01" w:rsidRPr="004176DE" w:rsidRDefault="008F4B01" w:rsidP="008F4B01">
            <w:pPr>
              <w:pStyle w:val="DHHSbody"/>
              <w:rPr>
                <w:rFonts w:cs="Arial"/>
              </w:rPr>
            </w:pPr>
          </w:p>
        </w:tc>
      </w:tr>
    </w:tbl>
    <w:p w14:paraId="1E1C4008" w14:textId="77777777" w:rsidR="008F4B01" w:rsidRDefault="008F4B01" w:rsidP="008F4B01">
      <w:pPr>
        <w:pStyle w:val="DHHSbody"/>
        <w:rPr>
          <w:rFonts w:cs="Arial"/>
        </w:rPr>
      </w:pP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10188"/>
      </w:tblGrid>
      <w:tr w:rsidR="008F4B01" w:rsidRPr="004176DE" w14:paraId="23B011E9" w14:textId="77777777" w:rsidTr="0029613B">
        <w:tc>
          <w:tcPr>
            <w:tcW w:w="5000" w:type="pct"/>
            <w:shd w:val="clear" w:color="auto" w:fill="D9D9D9" w:themeFill="background1" w:themeFillShade="D9"/>
          </w:tcPr>
          <w:p w14:paraId="3CD13824" w14:textId="77777777" w:rsidR="008F4B01" w:rsidRPr="004176DE" w:rsidRDefault="008F4B01" w:rsidP="008F4B01">
            <w:pPr>
              <w:pStyle w:val="DHHSbody"/>
              <w:rPr>
                <w:rFonts w:cs="Arial"/>
                <w:b/>
              </w:rPr>
            </w:pPr>
            <w:r w:rsidRPr="004176DE">
              <w:rPr>
                <w:rFonts w:cs="Arial"/>
                <w:b/>
              </w:rPr>
              <w:t>Minimal Supervision Regimens of Suboxone</w:t>
            </w:r>
            <w:r w:rsidRPr="004176DE">
              <w:rPr>
                <w:rFonts w:cs="Arial"/>
                <w:b/>
                <w:vertAlign w:val="superscript"/>
              </w:rPr>
              <w:t>®</w:t>
            </w:r>
          </w:p>
          <w:p w14:paraId="416390A0" w14:textId="77777777" w:rsidR="008F4B01" w:rsidRPr="004176DE" w:rsidRDefault="008F4B01" w:rsidP="008F4B01">
            <w:pPr>
              <w:pStyle w:val="DHHSbody"/>
              <w:rPr>
                <w:rFonts w:cs="Arial"/>
              </w:rPr>
            </w:pPr>
            <w:r w:rsidRPr="004176DE">
              <w:rPr>
                <w:rFonts w:cs="Arial"/>
              </w:rPr>
              <w:t>A small percentage of very stable, low</w:t>
            </w:r>
            <w:r>
              <w:rPr>
                <w:rFonts w:cs="Arial"/>
              </w:rPr>
              <w:t>-</w:t>
            </w:r>
            <w:r w:rsidRPr="004176DE">
              <w:rPr>
                <w:rFonts w:cs="Arial"/>
              </w:rPr>
              <w:t>risk patients may be considered for provision of Suboxone</w:t>
            </w:r>
            <w:r w:rsidRPr="004176DE">
              <w:rPr>
                <w:rFonts w:cs="Arial"/>
                <w:vertAlign w:val="superscript"/>
              </w:rPr>
              <w:t>®</w:t>
            </w:r>
            <w:r w:rsidRPr="004176DE">
              <w:rPr>
                <w:rFonts w:cs="Arial"/>
              </w:rPr>
              <w:t xml:space="preserve"> for longer periods than listed under low-level supervision - up to a maximum of 28 days’ supply. Such permits</w:t>
            </w:r>
            <w:r>
              <w:rPr>
                <w:rFonts w:cs="Arial"/>
              </w:rPr>
              <w:t>, which will be different to other ORT permits,</w:t>
            </w:r>
            <w:r w:rsidRPr="004176DE">
              <w:rPr>
                <w:rFonts w:cs="Arial"/>
              </w:rPr>
              <w:t xml:space="preserve"> will generally be issued only to Fellows of the Australasian Chapter of Addiction Medicine (FAChAM) or prescribers with supporting advice from a Fellow.</w:t>
            </w:r>
          </w:p>
        </w:tc>
      </w:tr>
    </w:tbl>
    <w:p w14:paraId="34ABCB92" w14:textId="77777777" w:rsidR="008F4B01" w:rsidRPr="004176DE" w:rsidRDefault="008F4B01" w:rsidP="008F4B01">
      <w:pPr>
        <w:pStyle w:val="DHHSbody"/>
        <w:rPr>
          <w:rFonts w:cs="Arial"/>
        </w:rPr>
      </w:pP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shd w:val="clear" w:color="auto" w:fill="D6E3BC" w:themeFill="accent3" w:themeFillTint="66"/>
        <w:tblLook w:val="00A0" w:firstRow="1" w:lastRow="0" w:firstColumn="1" w:lastColumn="0" w:noHBand="0" w:noVBand="0"/>
      </w:tblPr>
      <w:tblGrid>
        <w:gridCol w:w="10188"/>
      </w:tblGrid>
      <w:tr w:rsidR="008F4B01" w:rsidRPr="004176DE" w14:paraId="068F4C6D" w14:textId="77777777" w:rsidTr="0029613B">
        <w:tc>
          <w:tcPr>
            <w:tcW w:w="5000" w:type="pct"/>
            <w:shd w:val="clear" w:color="auto" w:fill="D9D9D9" w:themeFill="background1" w:themeFillShade="D9"/>
          </w:tcPr>
          <w:p w14:paraId="3DAD7528" w14:textId="77777777" w:rsidR="008F4B01" w:rsidRPr="00E626EB" w:rsidRDefault="008F4B01" w:rsidP="008F4B01">
            <w:pPr>
              <w:pStyle w:val="DHHSbody"/>
              <w:rPr>
                <w:rFonts w:cs="Arial"/>
              </w:rPr>
            </w:pPr>
            <w:r w:rsidRPr="00E626EB">
              <w:rPr>
                <w:rFonts w:cs="Arial"/>
                <w:b/>
              </w:rPr>
              <w:t>Suboxone</w:t>
            </w:r>
            <w:r w:rsidRPr="00E626EB">
              <w:rPr>
                <w:rFonts w:cs="Arial"/>
                <w:b/>
                <w:vertAlign w:val="superscript"/>
              </w:rPr>
              <w:t>®</w:t>
            </w:r>
            <w:r w:rsidRPr="00E626EB">
              <w:rPr>
                <w:rFonts w:cs="Arial"/>
              </w:rPr>
              <w:t xml:space="preserve"> take-away doses might be packaged and labelled as individual doses </w:t>
            </w:r>
            <w:r w:rsidRPr="00E626EB">
              <w:rPr>
                <w:rFonts w:cs="Arial"/>
                <w:b/>
              </w:rPr>
              <w:t>OR</w:t>
            </w:r>
            <w:r w:rsidRPr="00E626EB">
              <w:rPr>
                <w:rFonts w:cs="Arial"/>
              </w:rPr>
              <w:t xml:space="preserve"> as multiple doses with different strengths in different containers. In either case, labelling </w:t>
            </w:r>
            <w:r w:rsidR="005F4CFF" w:rsidRPr="00381B80">
              <w:rPr>
                <w:rFonts w:cs="Arial"/>
                <w:b/>
                <w:color w:val="FF0000"/>
              </w:rPr>
              <w:t>MUST</w:t>
            </w:r>
            <w:r w:rsidR="005F4CFF" w:rsidRPr="00381B80">
              <w:rPr>
                <w:rFonts w:cs="Arial"/>
                <w:color w:val="FF0000"/>
              </w:rPr>
              <w:t xml:space="preserve"> </w:t>
            </w:r>
            <w:r w:rsidRPr="00E626EB">
              <w:rPr>
                <w:rFonts w:cs="Arial"/>
              </w:rPr>
              <w:t xml:space="preserve">be accurate and unambiguous (see sample labels on the final pages of this document). </w:t>
            </w:r>
          </w:p>
          <w:p w14:paraId="4274668F" w14:textId="453758EF" w:rsidR="008F4B01" w:rsidRPr="00E626EB" w:rsidRDefault="008F4B01" w:rsidP="008F4B01">
            <w:pPr>
              <w:pStyle w:val="DHHSbody"/>
              <w:rPr>
                <w:rFonts w:cs="Arial"/>
              </w:rPr>
            </w:pPr>
            <w:r w:rsidRPr="00E626EB">
              <w:rPr>
                <w:rFonts w:cs="Arial"/>
                <w:b/>
              </w:rPr>
              <w:t>Suboxone</w:t>
            </w:r>
            <w:r w:rsidRPr="00E626EB">
              <w:rPr>
                <w:rFonts w:cs="Arial"/>
                <w:b/>
                <w:vertAlign w:val="superscript"/>
              </w:rPr>
              <w:t xml:space="preserve">® </w:t>
            </w:r>
            <w:r w:rsidRPr="00E626EB">
              <w:rPr>
                <w:rFonts w:cs="Arial"/>
              </w:rPr>
              <w:t xml:space="preserve">Films are to be retained in the manufacturer’s immediate packaging </w:t>
            </w:r>
            <w:r w:rsidRPr="003D544B">
              <w:rPr>
                <w:rFonts w:cs="Arial"/>
              </w:rPr>
              <w:t xml:space="preserve">- see page </w:t>
            </w:r>
            <w:r w:rsidR="003D544B" w:rsidRPr="003D544B">
              <w:rPr>
                <w:rFonts w:cs="Arial"/>
              </w:rPr>
              <w:t>5</w:t>
            </w:r>
            <w:r w:rsidR="00682A71">
              <w:rPr>
                <w:rFonts w:cs="Arial"/>
              </w:rPr>
              <w:t>6</w:t>
            </w:r>
            <w:r w:rsidRPr="003D544B">
              <w:rPr>
                <w:rFonts w:cs="Arial"/>
                <w:b/>
              </w:rPr>
              <w:t xml:space="preserve"> </w:t>
            </w:r>
            <w:r w:rsidRPr="003D544B">
              <w:rPr>
                <w:rFonts w:cs="Arial"/>
              </w:rPr>
              <w:t>of the Policy for</w:t>
            </w:r>
            <w:r w:rsidRPr="00E626EB">
              <w:rPr>
                <w:rFonts w:cs="Arial"/>
              </w:rPr>
              <w:t xml:space="preserve"> related information</w:t>
            </w:r>
          </w:p>
        </w:tc>
      </w:tr>
    </w:tbl>
    <w:p w14:paraId="4273A838" w14:textId="77777777" w:rsidR="008F4B01" w:rsidRPr="00BB370E" w:rsidRDefault="008F4B01" w:rsidP="007015C5">
      <w:pPr>
        <w:pStyle w:val="Heading2"/>
        <w:rPr>
          <w:lang w:val="it-IT"/>
        </w:rPr>
      </w:pPr>
      <w:r w:rsidRPr="00BB370E">
        <w:rPr>
          <w:lang w:val="it-IT"/>
        </w:rPr>
        <w:t xml:space="preserve">Take-away doses - labelling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54"/>
        <w:gridCol w:w="1734"/>
      </w:tblGrid>
      <w:tr w:rsidR="008F4B01" w:rsidRPr="004176DE" w14:paraId="033A8F34" w14:textId="77777777" w:rsidTr="0029613B">
        <w:tc>
          <w:tcPr>
            <w:tcW w:w="5000"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095624" w14:textId="77777777" w:rsidR="008F4B01" w:rsidRPr="004176DE" w:rsidRDefault="008F4B01" w:rsidP="00050BC7">
            <w:pPr>
              <w:pStyle w:val="DHHSbody"/>
              <w:rPr>
                <w:rFonts w:cs="Arial"/>
                <w:lang w:val="en-US"/>
              </w:rPr>
            </w:pPr>
            <w:r w:rsidRPr="004176DE">
              <w:rPr>
                <w:rFonts w:cs="Arial"/>
                <w:lang w:val="en-US"/>
              </w:rPr>
              <w:t xml:space="preserve">Ad hoc reviews by </w:t>
            </w:r>
            <w:r w:rsidR="00050BC7">
              <w:rPr>
                <w:rFonts w:cs="Arial"/>
                <w:lang w:val="en-US"/>
              </w:rPr>
              <w:t>MPR</w:t>
            </w:r>
            <w:r w:rsidRPr="004176DE">
              <w:rPr>
                <w:rFonts w:cs="Arial"/>
                <w:lang w:val="en-US"/>
              </w:rPr>
              <w:t xml:space="preserve"> of labels on containers of take-away doses revealed that a significant number of pharmacists failed to label containers in accordance with the Regulations or the Policy. Extracts from the </w:t>
            </w:r>
            <w:proofErr w:type="gramStart"/>
            <w:r w:rsidRPr="004176DE">
              <w:rPr>
                <w:rFonts w:cs="Arial"/>
                <w:lang w:val="en-US"/>
              </w:rPr>
              <w:t>Policy,</w:t>
            </w:r>
            <w:proofErr w:type="gramEnd"/>
            <w:r w:rsidRPr="004176DE">
              <w:rPr>
                <w:rFonts w:cs="Arial"/>
                <w:lang w:val="en-US"/>
              </w:rPr>
              <w:t xml:space="preserve"> showing sample labels for take-away doses have been included on the final pages of this document.  </w:t>
            </w:r>
          </w:p>
        </w:tc>
      </w:tr>
      <w:tr w:rsidR="008F4B01" w:rsidRPr="004176DE" w14:paraId="3656CCAB" w14:textId="77777777" w:rsidTr="0029613B">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7894757C" w14:textId="77777777" w:rsidR="008F4B01" w:rsidRPr="004176DE" w:rsidRDefault="008F4B01" w:rsidP="008F4B01">
            <w:pPr>
              <w:pStyle w:val="DHHSbody"/>
              <w:rPr>
                <w:rFonts w:cs="Arial"/>
              </w:rPr>
            </w:pPr>
            <w:r w:rsidRPr="004176DE">
              <w:rPr>
                <w:rFonts w:cs="Arial"/>
              </w:rPr>
              <w:t>Have all pharmacists been made aware of the packaging and labelling requirements for take-away doses?</w:t>
            </w:r>
          </w:p>
        </w:tc>
        <w:tc>
          <w:tcPr>
            <w:tcW w:w="851" w:type="pct"/>
            <w:tcBorders>
              <w:top w:val="single" w:sz="12" w:space="0" w:color="808080"/>
              <w:left w:val="single" w:sz="6" w:space="0" w:color="C0C0C0"/>
              <w:bottom w:val="single" w:sz="6" w:space="0" w:color="808080"/>
              <w:right w:val="single" w:sz="12" w:space="0" w:color="808080"/>
            </w:tcBorders>
            <w:shd w:val="clear" w:color="auto" w:fill="FFFFFF" w:themeFill="background1"/>
          </w:tcPr>
          <w:p w14:paraId="726C0DB5"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r w:rsidR="008F4B01" w:rsidRPr="004176DE" w14:paraId="20E3D00B" w14:textId="77777777" w:rsidTr="0029613B">
        <w:tblPrEx>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Ex>
        <w:tc>
          <w:tcPr>
            <w:tcW w:w="5000" w:type="pct"/>
            <w:gridSpan w:val="2"/>
            <w:shd w:val="clear" w:color="auto" w:fill="D9D9D9" w:themeFill="background1" w:themeFillShade="D9"/>
          </w:tcPr>
          <w:p w14:paraId="3AF695F6" w14:textId="77777777" w:rsidR="008F4B01" w:rsidRPr="004176DE" w:rsidRDefault="008F4B01" w:rsidP="008F4B01">
            <w:pPr>
              <w:pStyle w:val="DHHSbody"/>
              <w:rPr>
                <w:rFonts w:cs="Arial"/>
                <w:lang w:val="en-US"/>
              </w:rPr>
            </w:pPr>
            <w:r w:rsidRPr="004176DE">
              <w:rPr>
                <w:rFonts w:cs="Arial"/>
                <w:b/>
                <w:bCs/>
                <w:lang w:val="en-US"/>
              </w:rPr>
              <w:t xml:space="preserve">Note: </w:t>
            </w:r>
            <w:r w:rsidRPr="004176DE">
              <w:rPr>
                <w:rFonts w:cs="Arial"/>
                <w:lang w:val="en-US"/>
              </w:rPr>
              <w:t xml:space="preserve">Pharmacists should use their professional judgment about the appropriateness of including other authoritative </w:t>
            </w:r>
            <w:r w:rsidRPr="004176DE">
              <w:rPr>
                <w:rFonts w:cs="Arial"/>
                <w:b/>
                <w:lang w:val="en-US"/>
              </w:rPr>
              <w:t>recommendations</w:t>
            </w:r>
            <w:r w:rsidRPr="004176DE">
              <w:rPr>
                <w:rFonts w:cs="Arial"/>
                <w:lang w:val="en-US"/>
              </w:rPr>
              <w:t>, including those contained in the Australian Pharmaceutical Formulary (APF), which recommends including the warning “Do not inject”.</w:t>
            </w:r>
          </w:p>
        </w:tc>
      </w:tr>
    </w:tbl>
    <w:p w14:paraId="5EB0E905" w14:textId="77777777" w:rsidR="008F4B01" w:rsidRPr="00BB370E" w:rsidRDefault="008F4B01" w:rsidP="007015C5">
      <w:pPr>
        <w:pStyle w:val="Heading2"/>
        <w:rPr>
          <w:lang w:val="it-IT"/>
        </w:rPr>
      </w:pPr>
      <w:r w:rsidRPr="00BB370E">
        <w:rPr>
          <w:lang w:val="it-IT"/>
        </w:rPr>
        <w:t>Irregular dosing</w:t>
      </w:r>
    </w:p>
    <w:tbl>
      <w:tblPr>
        <w:tblW w:w="5000" w:type="pct"/>
        <w:tblBorders>
          <w:top w:val="single" w:sz="12" w:space="0" w:color="808080"/>
          <w:left w:val="single" w:sz="12" w:space="0" w:color="808080"/>
          <w:bottom w:val="single" w:sz="12" w:space="0" w:color="808080"/>
          <w:right w:val="single" w:sz="12" w:space="0" w:color="808080"/>
          <w:insideV w:val="single" w:sz="6" w:space="0" w:color="C0C0C0"/>
        </w:tblBorders>
        <w:tblLook w:val="0000" w:firstRow="0" w:lastRow="0" w:firstColumn="0" w:lastColumn="0" w:noHBand="0" w:noVBand="0"/>
      </w:tblPr>
      <w:tblGrid>
        <w:gridCol w:w="8442"/>
        <w:gridCol w:w="1732"/>
      </w:tblGrid>
      <w:tr w:rsidR="008F4B01" w:rsidRPr="004176DE" w14:paraId="6CF971BF" w14:textId="77777777" w:rsidTr="00BE038F">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43E85968" w14:textId="77777777" w:rsidR="008F4B01" w:rsidRPr="004176DE" w:rsidRDefault="008F4B01" w:rsidP="008F4B01">
            <w:pPr>
              <w:pStyle w:val="DHHSbody"/>
              <w:rPr>
                <w:rFonts w:cs="Arial"/>
              </w:rPr>
            </w:pPr>
            <w:r w:rsidRPr="004176DE">
              <w:rPr>
                <w:rFonts w:cs="Arial"/>
              </w:rPr>
              <w:t>Are all pharmacists aware of the need to inform the prescriber when a patient’s attendance becomes irregular – regardless of whether take-away doses have been authorised?</w:t>
            </w:r>
          </w:p>
        </w:tc>
        <w:tc>
          <w:tcPr>
            <w:tcW w:w="851" w:type="pct"/>
            <w:tcBorders>
              <w:top w:val="single" w:sz="12" w:space="0" w:color="808080"/>
              <w:left w:val="single" w:sz="6" w:space="0" w:color="C0C0C0"/>
              <w:bottom w:val="single" w:sz="6" w:space="0" w:color="808080"/>
              <w:right w:val="single" w:sz="12" w:space="0" w:color="808080"/>
            </w:tcBorders>
          </w:tcPr>
          <w:p w14:paraId="43BAB689"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bl>
    <w:p w14:paraId="388D8D45" w14:textId="77777777" w:rsidR="008F4B01" w:rsidRPr="00BB370E" w:rsidRDefault="008F4B01" w:rsidP="007015C5">
      <w:pPr>
        <w:pStyle w:val="Heading2"/>
        <w:rPr>
          <w:lang w:val="it-IT"/>
        </w:rPr>
      </w:pPr>
      <w:r w:rsidRPr="00BB370E">
        <w:rPr>
          <w:lang w:val="it-IT"/>
        </w:rPr>
        <w:t>When not to administer ORT</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7E2F8401" w14:textId="77777777" w:rsidTr="00BE038F">
        <w:tc>
          <w:tcPr>
            <w:tcW w:w="5000" w:type="pct"/>
            <w:gridSpan w:val="2"/>
            <w:tcBorders>
              <w:bottom w:val="single" w:sz="12" w:space="0" w:color="008000"/>
            </w:tcBorders>
            <w:shd w:val="clear" w:color="auto" w:fill="D9D9D9" w:themeFill="background1" w:themeFillShade="D9"/>
          </w:tcPr>
          <w:p w14:paraId="297164AA" w14:textId="77777777" w:rsidR="008F4B01" w:rsidRPr="004176DE" w:rsidRDefault="008F4B01" w:rsidP="008F4B01">
            <w:pPr>
              <w:pStyle w:val="DHHSbody"/>
              <w:rPr>
                <w:rFonts w:cs="Arial"/>
              </w:rPr>
            </w:pPr>
            <w:r w:rsidRPr="004176DE">
              <w:rPr>
                <w:rFonts w:cs="Arial"/>
              </w:rPr>
              <w:t xml:space="preserve">The symptoms of methadone toxicity are similar to those of alcohol intoxication and may indicate that a patient has administered other drugs. </w:t>
            </w:r>
          </w:p>
        </w:tc>
      </w:tr>
      <w:tr w:rsidR="008F4B01" w:rsidRPr="004176DE" w14:paraId="38901939" w14:textId="77777777" w:rsidTr="00BE038F">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7FE807AE" w14:textId="77777777" w:rsidR="008F4B01" w:rsidRPr="004176DE" w:rsidRDefault="008F4B01" w:rsidP="008F4B01">
            <w:pPr>
              <w:pStyle w:val="DHHSbody"/>
              <w:rPr>
                <w:rFonts w:cs="Arial"/>
              </w:rPr>
            </w:pPr>
            <w:r w:rsidRPr="004176DE">
              <w:rPr>
                <w:rFonts w:cs="Arial"/>
              </w:rPr>
              <w:t xml:space="preserve">Have all pharmacists been informed that ORT </w:t>
            </w:r>
            <w:r w:rsidR="005F4CFF">
              <w:rPr>
                <w:rFonts w:cs="Arial"/>
              </w:rPr>
              <w:t>should</w:t>
            </w:r>
            <w:r w:rsidRPr="004176DE">
              <w:rPr>
                <w:rFonts w:cs="Arial"/>
              </w:rPr>
              <w:t xml:space="preserve"> </w:t>
            </w:r>
            <w:r w:rsidRPr="001A2DE1">
              <w:rPr>
                <w:rFonts w:cs="Arial"/>
                <w:b/>
              </w:rPr>
              <w:t>not</w:t>
            </w:r>
            <w:r w:rsidRPr="004176DE">
              <w:rPr>
                <w:rFonts w:cs="Arial"/>
              </w:rPr>
              <w:t xml:space="preserve"> be administered if a patient appears to be intoxicated? </w:t>
            </w:r>
          </w:p>
        </w:tc>
        <w:tc>
          <w:tcPr>
            <w:tcW w:w="851" w:type="pct"/>
            <w:tcBorders>
              <w:top w:val="single" w:sz="12" w:space="0" w:color="808080"/>
              <w:left w:val="single" w:sz="6" w:space="0" w:color="C0C0C0"/>
              <w:bottom w:val="single" w:sz="6" w:space="0" w:color="808080"/>
              <w:right w:val="single" w:sz="12" w:space="0" w:color="808080"/>
            </w:tcBorders>
          </w:tcPr>
          <w:p w14:paraId="037B9F04"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bl>
    <w:p w14:paraId="0B245F1A" w14:textId="77777777" w:rsidR="008F4B01" w:rsidRPr="004176DE" w:rsidRDefault="008F4B01" w:rsidP="008F4B01">
      <w:pPr>
        <w:pStyle w:val="DHHSbody"/>
        <w:rPr>
          <w:rFonts w:cs="Arial"/>
        </w:rPr>
      </w:pP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5F905464" w14:textId="77777777" w:rsidTr="00BE038F">
        <w:tc>
          <w:tcPr>
            <w:tcW w:w="5000" w:type="pct"/>
            <w:gridSpan w:val="2"/>
            <w:tcBorders>
              <w:bottom w:val="single" w:sz="12" w:space="0" w:color="008000"/>
            </w:tcBorders>
            <w:shd w:val="clear" w:color="auto" w:fill="D9D9D9" w:themeFill="background1" w:themeFillShade="D9"/>
          </w:tcPr>
          <w:p w14:paraId="0D610F30" w14:textId="77777777" w:rsidR="008F4B01" w:rsidRPr="004176DE" w:rsidRDefault="008F4B01" w:rsidP="008F4B01">
            <w:pPr>
              <w:pStyle w:val="DHHSbody"/>
              <w:rPr>
                <w:rFonts w:cs="Arial"/>
              </w:rPr>
            </w:pPr>
            <w:r w:rsidRPr="004176DE">
              <w:rPr>
                <w:rFonts w:cs="Arial"/>
              </w:rPr>
              <w:t xml:space="preserve">If a patient has ceased receiving ORT for a period, there is a risk that his/her tolerance to the drug might have diminished or that he/she has used other drugs. </w:t>
            </w:r>
            <w:r w:rsidRPr="005430D7">
              <w:rPr>
                <w:rFonts w:cs="Arial"/>
                <w:b/>
              </w:rPr>
              <w:t>In such cases, the prescriber should consider reducing the recommencement dose.</w:t>
            </w:r>
          </w:p>
        </w:tc>
      </w:tr>
      <w:tr w:rsidR="008F4B01" w:rsidRPr="004176DE" w14:paraId="4B8909A4" w14:textId="77777777" w:rsidTr="008F4B01">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FFFF00"/>
          </w:tcPr>
          <w:p w14:paraId="3F0263C2" w14:textId="77777777" w:rsidR="008F4B01" w:rsidRPr="004176DE" w:rsidRDefault="008F4B01" w:rsidP="008F4B01">
            <w:pPr>
              <w:pStyle w:val="DHHSbody"/>
              <w:rPr>
                <w:rFonts w:cs="Arial"/>
                <w:bCs/>
              </w:rPr>
            </w:pPr>
            <w:r w:rsidRPr="004176DE">
              <w:rPr>
                <w:rFonts w:cs="Arial"/>
                <w:bCs/>
              </w:rPr>
              <w:t>Have all pharmacists been informed that</w:t>
            </w:r>
            <w:r>
              <w:rPr>
                <w:rFonts w:cs="Arial"/>
                <w:bCs/>
              </w:rPr>
              <w:t xml:space="preserve"> neither</w:t>
            </w:r>
            <w:r w:rsidRPr="004176DE">
              <w:rPr>
                <w:rFonts w:cs="Arial"/>
                <w:bCs/>
              </w:rPr>
              <w:t xml:space="preserve"> </w:t>
            </w:r>
            <w:r w:rsidRPr="004176DE">
              <w:rPr>
                <w:rFonts w:cs="Arial"/>
                <w:b/>
                <w:bCs/>
              </w:rPr>
              <w:t>methadone</w:t>
            </w:r>
            <w:r w:rsidRPr="004176DE">
              <w:rPr>
                <w:rFonts w:cs="Arial"/>
                <w:bCs/>
              </w:rPr>
              <w:t xml:space="preserve"> </w:t>
            </w:r>
            <w:r>
              <w:rPr>
                <w:rFonts w:cs="Arial"/>
                <w:bCs/>
              </w:rPr>
              <w:t xml:space="preserve">nor </w:t>
            </w:r>
            <w:r w:rsidRPr="00AA67BC">
              <w:rPr>
                <w:rFonts w:cs="Arial"/>
                <w:b/>
                <w:bCs/>
              </w:rPr>
              <w:t>buprenorphine</w:t>
            </w:r>
            <w:r>
              <w:rPr>
                <w:rFonts w:cs="Arial"/>
                <w:bCs/>
              </w:rPr>
              <w:t xml:space="preserve"> is to be</w:t>
            </w:r>
            <w:r w:rsidRPr="004176DE">
              <w:rPr>
                <w:rFonts w:cs="Arial"/>
                <w:bCs/>
              </w:rPr>
              <w:t xml:space="preserve"> administered, without the prescriber’s expressed authorisation, if</w:t>
            </w:r>
            <w:r>
              <w:rPr>
                <w:rFonts w:cs="Arial"/>
                <w:bCs/>
              </w:rPr>
              <w:t xml:space="preserve"> a patient has missed doses on</w:t>
            </w:r>
            <w:r w:rsidRPr="004176DE">
              <w:rPr>
                <w:rFonts w:cs="Arial"/>
                <w:bCs/>
              </w:rPr>
              <w:t xml:space="preserve"> </w:t>
            </w:r>
            <w:r w:rsidRPr="001A2DE1">
              <w:rPr>
                <w:rFonts w:cs="Arial"/>
                <w:b/>
                <w:bCs/>
              </w:rPr>
              <w:t>four or more</w:t>
            </w:r>
            <w:r w:rsidRPr="004176DE">
              <w:rPr>
                <w:rFonts w:cs="Arial"/>
                <w:bCs/>
              </w:rPr>
              <w:t xml:space="preserve"> consecutive days</w:t>
            </w:r>
            <w:r>
              <w:rPr>
                <w:rFonts w:cs="Arial"/>
                <w:bCs/>
              </w:rPr>
              <w:t>?</w:t>
            </w:r>
          </w:p>
        </w:tc>
        <w:tc>
          <w:tcPr>
            <w:tcW w:w="851" w:type="pct"/>
            <w:tcBorders>
              <w:top w:val="single" w:sz="12" w:space="0" w:color="808080"/>
              <w:left w:val="single" w:sz="6" w:space="0" w:color="C0C0C0"/>
              <w:bottom w:val="single" w:sz="6" w:space="0" w:color="808080"/>
              <w:right w:val="single" w:sz="12" w:space="0" w:color="808080"/>
            </w:tcBorders>
          </w:tcPr>
          <w:p w14:paraId="59B9E4BD" w14:textId="77777777" w:rsidR="008F4B01" w:rsidRPr="004176DE" w:rsidRDefault="008F4B01" w:rsidP="008F4B01">
            <w:pPr>
              <w:pStyle w:val="DHHSbody"/>
              <w:rPr>
                <w:rFonts w:cs="Arial"/>
                <w:b/>
              </w:rPr>
            </w:pPr>
            <w:r w:rsidRPr="004176DE">
              <w:rPr>
                <w:rFonts w:cs="Arial"/>
                <w:b/>
              </w:rPr>
              <w:t xml:space="preserve">YES / </w:t>
            </w:r>
            <w:r w:rsidRPr="004176DE">
              <w:rPr>
                <w:rFonts w:cs="Arial"/>
              </w:rPr>
              <w:t>No</w:t>
            </w:r>
          </w:p>
        </w:tc>
      </w:tr>
      <w:tr w:rsidR="008F4B01" w:rsidRPr="004176DE" w14:paraId="6307DA37" w14:textId="77777777" w:rsidTr="008F4B01">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FFFF00"/>
          </w:tcPr>
          <w:p w14:paraId="6343B064" w14:textId="77777777" w:rsidR="008F4B01" w:rsidRDefault="008F4B01" w:rsidP="008F4B01">
            <w:pPr>
              <w:pStyle w:val="DHHSbody"/>
              <w:rPr>
                <w:rFonts w:cs="Arial"/>
                <w:bCs/>
              </w:rPr>
            </w:pPr>
            <w:r w:rsidRPr="004176DE">
              <w:rPr>
                <w:rFonts w:cs="Arial"/>
                <w:bCs/>
              </w:rPr>
              <w:lastRenderedPageBreak/>
              <w:t>Have all pharmacists been informed that</w:t>
            </w:r>
            <w:r>
              <w:rPr>
                <w:rFonts w:cs="Arial"/>
                <w:bCs/>
              </w:rPr>
              <w:t xml:space="preserve">, if a patient recommences ORT after having missed doses on </w:t>
            </w:r>
            <w:r w:rsidRPr="001A2DE1">
              <w:rPr>
                <w:rFonts w:cs="Arial"/>
                <w:b/>
                <w:bCs/>
              </w:rPr>
              <w:t>four or more</w:t>
            </w:r>
            <w:r>
              <w:rPr>
                <w:rFonts w:cs="Arial"/>
                <w:bCs/>
              </w:rPr>
              <w:t xml:space="preserve"> consecutive days, safety precautions should be similar to those that apply when a patient initially commences ORT?</w:t>
            </w:r>
          </w:p>
          <w:p w14:paraId="36D2E809" w14:textId="77777777" w:rsidR="008F4B01" w:rsidRPr="004176DE" w:rsidRDefault="008F4B01" w:rsidP="008F4B01">
            <w:pPr>
              <w:pStyle w:val="DHHSbody"/>
              <w:rPr>
                <w:rFonts w:cs="Arial"/>
                <w:bCs/>
              </w:rPr>
            </w:pPr>
            <w:r>
              <w:rPr>
                <w:rFonts w:cs="Arial"/>
                <w:bCs/>
              </w:rPr>
              <w:t xml:space="preserve">Refer to </w:t>
            </w:r>
            <w:r w:rsidRPr="003D544B">
              <w:rPr>
                <w:rFonts w:cs="Arial"/>
                <w:bCs/>
              </w:rPr>
              <w:t>pages 3 and 4 of this document</w:t>
            </w:r>
            <w:r>
              <w:rPr>
                <w:rFonts w:cs="Arial"/>
                <w:bCs/>
              </w:rPr>
              <w:t xml:space="preserve"> for details of issues relating to commencing or recommencing ORT.</w:t>
            </w:r>
          </w:p>
        </w:tc>
        <w:tc>
          <w:tcPr>
            <w:tcW w:w="851" w:type="pct"/>
            <w:tcBorders>
              <w:top w:val="single" w:sz="12" w:space="0" w:color="808080"/>
              <w:left w:val="single" w:sz="6" w:space="0" w:color="C0C0C0"/>
              <w:bottom w:val="single" w:sz="6" w:space="0" w:color="808080"/>
              <w:right w:val="single" w:sz="12" w:space="0" w:color="808080"/>
            </w:tcBorders>
          </w:tcPr>
          <w:p w14:paraId="541C76D6" w14:textId="77777777" w:rsidR="008F4B01" w:rsidRPr="004176DE" w:rsidRDefault="008F4B01" w:rsidP="008F4B01">
            <w:pPr>
              <w:pStyle w:val="DHHSbody"/>
              <w:rPr>
                <w:rFonts w:cs="Arial"/>
                <w:b/>
              </w:rPr>
            </w:pPr>
            <w:r w:rsidRPr="004176DE">
              <w:rPr>
                <w:rFonts w:cs="Arial"/>
                <w:b/>
              </w:rPr>
              <w:t xml:space="preserve">YES / </w:t>
            </w:r>
            <w:r w:rsidRPr="004176DE">
              <w:rPr>
                <w:rFonts w:cs="Arial"/>
              </w:rPr>
              <w:t>No</w:t>
            </w:r>
          </w:p>
        </w:tc>
      </w:tr>
    </w:tbl>
    <w:p w14:paraId="3F4B4E17" w14:textId="77777777" w:rsidR="008F4B01" w:rsidRPr="00D7793F" w:rsidRDefault="008F4B01" w:rsidP="007015C5">
      <w:pPr>
        <w:pStyle w:val="Heading2"/>
      </w:pPr>
      <w:r w:rsidRPr="00D7793F">
        <w:t>Transfers &amp; temporary absences</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648F052D" w14:textId="77777777" w:rsidTr="00BE038F">
        <w:tc>
          <w:tcPr>
            <w:tcW w:w="5000" w:type="pct"/>
            <w:gridSpan w:val="2"/>
            <w:tcBorders>
              <w:bottom w:val="single" w:sz="12" w:space="0" w:color="008000"/>
            </w:tcBorders>
            <w:shd w:val="clear" w:color="auto" w:fill="D9D9D9" w:themeFill="background1" w:themeFillShade="D9"/>
          </w:tcPr>
          <w:p w14:paraId="46FFA797" w14:textId="77777777" w:rsidR="008F4B01" w:rsidRPr="00E626EB" w:rsidRDefault="008F4B01" w:rsidP="008F4B01">
            <w:pPr>
              <w:pStyle w:val="DHHSbody"/>
              <w:rPr>
                <w:rFonts w:cs="Arial"/>
              </w:rPr>
            </w:pPr>
            <w:r w:rsidRPr="00E626EB">
              <w:rPr>
                <w:rFonts w:cs="Arial"/>
              </w:rPr>
              <w:t xml:space="preserve">Deaths associated with ORT have been attributed to multiple dosing (with or without take-away doses), when patients are transferring between pharmacies. Multiple dosing is more likely if there is miscommunication or no communication between the two pharmacies involved in the transfer. </w:t>
            </w:r>
          </w:p>
          <w:p w14:paraId="58CD2086" w14:textId="77777777" w:rsidR="008F4B01" w:rsidRPr="00E626EB" w:rsidRDefault="008F4B01" w:rsidP="008F4B01">
            <w:pPr>
              <w:pStyle w:val="DHHSbody"/>
              <w:rPr>
                <w:rFonts w:cs="Arial"/>
              </w:rPr>
            </w:pPr>
            <w:r w:rsidRPr="00E626EB">
              <w:rPr>
                <w:rFonts w:cs="Arial"/>
              </w:rPr>
              <w:t xml:space="preserve">Similarly, when a patient returns to a pharmacy after an absence and dosing resumes on the basis of a prescription from a previous or new prescriber, the reason for the absence (e.g. hospital treatment, prison term, illicit drug use) might be known to the prescriber, the pharmacy, both or neither. </w:t>
            </w:r>
          </w:p>
          <w:p w14:paraId="50659842" w14:textId="77777777" w:rsidR="008F4B01" w:rsidRPr="00E626EB" w:rsidRDefault="008F4B01" w:rsidP="008F4B01">
            <w:pPr>
              <w:pStyle w:val="DHHSbody"/>
              <w:rPr>
                <w:rFonts w:cs="Arial"/>
              </w:rPr>
            </w:pPr>
            <w:r w:rsidRPr="00E626EB">
              <w:rPr>
                <w:rFonts w:cs="Arial"/>
              </w:rPr>
              <w:t xml:space="preserve">It is </w:t>
            </w:r>
            <w:r w:rsidRPr="00E626EB">
              <w:rPr>
                <w:rFonts w:cs="Arial"/>
                <w:b/>
              </w:rPr>
              <w:t>not</w:t>
            </w:r>
            <w:r w:rsidRPr="00E626EB">
              <w:rPr>
                <w:rFonts w:cs="Arial"/>
              </w:rPr>
              <w:t xml:space="preserve"> acceptable to make assumptions. To ensure the patient’s safety; precise details of the magnitude and timing of the most recent dose need to be determined and documented before a dose is administered. The possibility of take-away doses and/or an interim prescription, which might have been issued by prison health service provider, should also be considered.</w:t>
            </w:r>
          </w:p>
        </w:tc>
      </w:tr>
      <w:tr w:rsidR="008F4B01" w:rsidRPr="004176DE" w14:paraId="08628A41" w14:textId="77777777" w:rsidTr="00BE038F">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5DC66A16" w14:textId="77777777" w:rsidR="008F4B01" w:rsidRPr="004176DE" w:rsidRDefault="008F4B01" w:rsidP="008F4B01">
            <w:pPr>
              <w:pStyle w:val="DHHSbody"/>
              <w:rPr>
                <w:rFonts w:cs="Arial"/>
                <w:bCs/>
              </w:rPr>
            </w:pPr>
            <w:r w:rsidRPr="004176DE">
              <w:rPr>
                <w:rFonts w:cs="Arial"/>
                <w:bCs/>
              </w:rPr>
              <w:t xml:space="preserve">Have all pharmacists been informed that they should </w:t>
            </w:r>
            <w:r w:rsidRPr="001A2DE1">
              <w:rPr>
                <w:rFonts w:cs="Arial"/>
                <w:b/>
                <w:bCs/>
              </w:rPr>
              <w:t>always</w:t>
            </w:r>
            <w:r w:rsidRPr="004176DE">
              <w:rPr>
                <w:rFonts w:cs="Arial"/>
                <w:bCs/>
              </w:rPr>
              <w:t xml:space="preserve"> communicate with the prescriber </w:t>
            </w:r>
            <w:r w:rsidRPr="004176DE">
              <w:rPr>
                <w:rFonts w:cs="Arial"/>
                <w:b/>
              </w:rPr>
              <w:t>(to determine precisely what has transpired)</w:t>
            </w:r>
            <w:r w:rsidRPr="004176DE">
              <w:rPr>
                <w:rFonts w:cs="Arial"/>
                <w:bCs/>
              </w:rPr>
              <w:t xml:space="preserve"> before administering methadone or buprenorphine to a patient who is returning to your pharmacy after </w:t>
            </w:r>
            <w:r>
              <w:rPr>
                <w:rFonts w:cs="Arial"/>
                <w:bCs/>
              </w:rPr>
              <w:t xml:space="preserve">missing doses on </w:t>
            </w:r>
            <w:r w:rsidRPr="008F1B47">
              <w:rPr>
                <w:rFonts w:cs="Arial"/>
                <w:b/>
                <w:bCs/>
              </w:rPr>
              <w:t>four or more consecutive days</w:t>
            </w:r>
            <w:r w:rsidRPr="004176DE">
              <w:rPr>
                <w:rFonts w:cs="Arial"/>
                <w:bCs/>
              </w:rPr>
              <w:t>?</w:t>
            </w:r>
          </w:p>
        </w:tc>
        <w:tc>
          <w:tcPr>
            <w:tcW w:w="851" w:type="pct"/>
            <w:tcBorders>
              <w:top w:val="single" w:sz="12" w:space="0" w:color="808080"/>
              <w:left w:val="single" w:sz="6" w:space="0" w:color="C0C0C0"/>
              <w:bottom w:val="single" w:sz="6" w:space="0" w:color="808080"/>
              <w:right w:val="single" w:sz="12" w:space="0" w:color="808080"/>
            </w:tcBorders>
          </w:tcPr>
          <w:p w14:paraId="1FE0A68F"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r w:rsidR="008F4B01" w:rsidRPr="004176DE" w14:paraId="76B5B951" w14:textId="77777777" w:rsidTr="00BE038F">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12" w:space="0" w:color="808080"/>
              <w:left w:val="single" w:sz="12" w:space="0" w:color="808080"/>
              <w:bottom w:val="single" w:sz="6" w:space="0" w:color="808080"/>
              <w:right w:val="single" w:sz="6" w:space="0" w:color="C0C0C0"/>
            </w:tcBorders>
            <w:shd w:val="clear" w:color="auto" w:fill="D9D9D9" w:themeFill="background1" w:themeFillShade="D9"/>
          </w:tcPr>
          <w:p w14:paraId="475E8BF9" w14:textId="77777777" w:rsidR="008F4B01" w:rsidRPr="004176DE" w:rsidRDefault="008F4B01" w:rsidP="008F4B01">
            <w:pPr>
              <w:pStyle w:val="DHHSbody"/>
              <w:rPr>
                <w:rFonts w:cs="Arial"/>
                <w:bCs/>
              </w:rPr>
            </w:pPr>
            <w:r w:rsidRPr="004176DE">
              <w:rPr>
                <w:rFonts w:cs="Arial"/>
                <w:bCs/>
              </w:rPr>
              <w:t xml:space="preserve">Have all pharmacists been informed that they should </w:t>
            </w:r>
            <w:r w:rsidRPr="001A2DE1">
              <w:rPr>
                <w:rFonts w:cs="Arial"/>
                <w:b/>
                <w:bCs/>
              </w:rPr>
              <w:t>always</w:t>
            </w:r>
            <w:r w:rsidRPr="004176DE">
              <w:rPr>
                <w:rFonts w:cs="Arial"/>
                <w:bCs/>
              </w:rPr>
              <w:t xml:space="preserve"> communicate with the previous dosing point </w:t>
            </w:r>
            <w:r w:rsidRPr="004176DE">
              <w:rPr>
                <w:rFonts w:cs="Arial"/>
                <w:b/>
              </w:rPr>
              <w:t>(to determine precisely when the previous dose was given</w:t>
            </w:r>
            <w:r>
              <w:rPr>
                <w:rFonts w:cs="Arial"/>
                <w:b/>
              </w:rPr>
              <w:t>;</w:t>
            </w:r>
            <w:r w:rsidRPr="004176DE">
              <w:rPr>
                <w:rFonts w:cs="Arial"/>
                <w:b/>
              </w:rPr>
              <w:t xml:space="preserve"> the magnitude of the actual dose</w:t>
            </w:r>
            <w:r>
              <w:rPr>
                <w:rFonts w:cs="Arial"/>
                <w:b/>
              </w:rPr>
              <w:t>; and whether take-away doses were provided</w:t>
            </w:r>
            <w:r w:rsidRPr="004176DE">
              <w:rPr>
                <w:rFonts w:cs="Arial"/>
                <w:b/>
              </w:rPr>
              <w:t>)</w:t>
            </w:r>
            <w:r w:rsidRPr="004176DE">
              <w:rPr>
                <w:rFonts w:cs="Arial"/>
                <w:bCs/>
              </w:rPr>
              <w:t xml:space="preserve"> before administering methadone or buprenorphine to a patient transferring to your pharmacy?</w:t>
            </w:r>
          </w:p>
        </w:tc>
        <w:tc>
          <w:tcPr>
            <w:tcW w:w="851" w:type="pct"/>
            <w:tcBorders>
              <w:top w:val="single" w:sz="12" w:space="0" w:color="808080"/>
              <w:left w:val="single" w:sz="6" w:space="0" w:color="C0C0C0"/>
              <w:bottom w:val="single" w:sz="6" w:space="0" w:color="808080"/>
              <w:right w:val="single" w:sz="12" w:space="0" w:color="808080"/>
            </w:tcBorders>
          </w:tcPr>
          <w:p w14:paraId="112C9751"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bl>
    <w:p w14:paraId="34934FCA" w14:textId="77777777" w:rsidR="008F4B01" w:rsidRPr="00BB370E" w:rsidRDefault="008F4B01" w:rsidP="007015C5">
      <w:pPr>
        <w:pStyle w:val="Heading2"/>
        <w:rPr>
          <w:lang w:val="it-IT"/>
        </w:rPr>
      </w:pPr>
      <w:r w:rsidRPr="00BB370E">
        <w:rPr>
          <w:lang w:val="it-IT"/>
        </w:rPr>
        <w:t>Contemporaneous notes</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10188"/>
      </w:tblGrid>
      <w:tr w:rsidR="008F4B01" w:rsidRPr="004176DE" w14:paraId="56A1110E" w14:textId="77777777" w:rsidTr="00BE038F">
        <w:tc>
          <w:tcPr>
            <w:tcW w:w="5000" w:type="pct"/>
            <w:tcBorders>
              <w:bottom w:val="single" w:sz="12" w:space="0" w:color="008000"/>
            </w:tcBorders>
            <w:shd w:val="clear" w:color="auto" w:fill="D9D9D9" w:themeFill="background1" w:themeFillShade="D9"/>
          </w:tcPr>
          <w:p w14:paraId="1268B980" w14:textId="77777777" w:rsidR="008F4B01" w:rsidRPr="004176DE" w:rsidRDefault="008F4B01" w:rsidP="008F4B01">
            <w:pPr>
              <w:pStyle w:val="DHHSbody"/>
              <w:rPr>
                <w:rFonts w:cs="Arial"/>
              </w:rPr>
            </w:pPr>
            <w:r w:rsidRPr="004176DE">
              <w:rPr>
                <w:rFonts w:cs="Arial"/>
              </w:rPr>
              <w:t xml:space="preserve">ORT has inherent risks associated with the vulnerability of the patients as well as the potential toxicity of the drugs – especially methadone. Those risks can be minimised when all pharmacists are fully aware of key issues relating to the management of a patient but can be heightened if some pharmacists are not fully aware, which is more likely if aspects of a patient's treatment rely on what is known by </w:t>
            </w:r>
            <w:r w:rsidR="00365123">
              <w:rPr>
                <w:rFonts w:cs="Arial"/>
              </w:rPr>
              <w:t xml:space="preserve">only </w:t>
            </w:r>
            <w:r w:rsidRPr="004176DE">
              <w:rPr>
                <w:rFonts w:cs="Arial"/>
              </w:rPr>
              <w:t>one pharmacist</w:t>
            </w:r>
            <w:r w:rsidR="005F4CFF">
              <w:rPr>
                <w:rFonts w:cs="Arial"/>
              </w:rPr>
              <w:t xml:space="preserve"> (or a limited number of pharmacists)</w:t>
            </w:r>
            <w:r w:rsidRPr="004176DE">
              <w:rPr>
                <w:rFonts w:cs="Arial"/>
              </w:rPr>
              <w:t>. Readily retrievable contemporaneous notes, which are maintained in a consistent manner and location, are needed to address this issue.</w:t>
            </w:r>
          </w:p>
        </w:tc>
      </w:tr>
      <w:tr w:rsidR="008F4B01" w:rsidRPr="004176DE" w14:paraId="47117BCD" w14:textId="77777777" w:rsidTr="00BE038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00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1830B5" w14:textId="77777777" w:rsidR="008F4B01" w:rsidRPr="004176DE" w:rsidRDefault="008F4B01" w:rsidP="008F4B01">
            <w:pPr>
              <w:pStyle w:val="DHHSbody"/>
              <w:rPr>
                <w:rFonts w:cs="Arial"/>
                <w:bCs/>
              </w:rPr>
            </w:pPr>
            <w:r w:rsidRPr="004176DE">
              <w:rPr>
                <w:rFonts w:cs="Arial"/>
                <w:bCs/>
              </w:rPr>
              <w:t>Commonly accepted options:</w:t>
            </w:r>
          </w:p>
        </w:tc>
      </w:tr>
      <w:tr w:rsidR="008F4B01" w:rsidRPr="004176DE" w14:paraId="15A987BB" w14:textId="77777777" w:rsidTr="008F4B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000" w:type="pct"/>
            <w:tcBorders>
              <w:top w:val="single" w:sz="6" w:space="0" w:color="auto"/>
              <w:left w:val="single" w:sz="6" w:space="0" w:color="auto"/>
              <w:bottom w:val="single" w:sz="6" w:space="0" w:color="auto"/>
              <w:right w:val="single" w:sz="6" w:space="0" w:color="auto"/>
            </w:tcBorders>
          </w:tcPr>
          <w:p w14:paraId="04C73E9E" w14:textId="77777777" w:rsidR="008F4B01" w:rsidRPr="004176DE" w:rsidRDefault="008F4B01" w:rsidP="008F4B01">
            <w:pPr>
              <w:pStyle w:val="DHHSbody"/>
              <w:numPr>
                <w:ilvl w:val="0"/>
                <w:numId w:val="22"/>
              </w:numPr>
              <w:rPr>
                <w:rFonts w:cs="Arial"/>
              </w:rPr>
            </w:pPr>
            <w:r w:rsidRPr="004176DE">
              <w:rPr>
                <w:rFonts w:cs="Arial"/>
                <w:bCs/>
              </w:rPr>
              <w:t>Contemporaneous notes are recorded in a designated section of each patient’s attendance records – in a location that is not available for the patient to peruse.</w:t>
            </w:r>
            <w:r w:rsidRPr="004176DE">
              <w:rPr>
                <w:rFonts w:cs="Arial"/>
              </w:rPr>
              <w:t xml:space="preserve"> </w:t>
            </w:r>
          </w:p>
          <w:p w14:paraId="6AB9F063" w14:textId="77777777" w:rsidR="008F4B01" w:rsidRPr="004176DE" w:rsidRDefault="008F4B01" w:rsidP="008F4B01">
            <w:pPr>
              <w:pStyle w:val="DHHSbody"/>
              <w:numPr>
                <w:ilvl w:val="0"/>
                <w:numId w:val="22"/>
              </w:numPr>
              <w:rPr>
                <w:rFonts w:cs="Arial"/>
              </w:rPr>
            </w:pPr>
            <w:r w:rsidRPr="004176DE">
              <w:rPr>
                <w:rFonts w:cs="Arial"/>
                <w:bCs/>
              </w:rPr>
              <w:t>Contemporaneous notes are recorded in a designated section of each patient’s file or folder – where the patient cannot peruse them.</w:t>
            </w:r>
          </w:p>
          <w:p w14:paraId="7A48009F" w14:textId="77777777" w:rsidR="008F4B01" w:rsidRPr="004176DE" w:rsidRDefault="008F4B01" w:rsidP="008F4B01">
            <w:pPr>
              <w:pStyle w:val="DHHSbody"/>
              <w:numPr>
                <w:ilvl w:val="0"/>
                <w:numId w:val="22"/>
              </w:numPr>
              <w:rPr>
                <w:rFonts w:cs="Arial"/>
              </w:rPr>
            </w:pPr>
            <w:r w:rsidRPr="004176DE">
              <w:rPr>
                <w:rFonts w:cs="Arial"/>
                <w:bCs/>
              </w:rPr>
              <w:t>Contemporaneous notes are recorded in a computer file for each patient.</w:t>
            </w:r>
            <w:r w:rsidRPr="004176DE">
              <w:rPr>
                <w:rFonts w:cs="Arial"/>
              </w:rPr>
              <w:t xml:space="preserve"> </w:t>
            </w:r>
          </w:p>
          <w:p w14:paraId="374CBADD" w14:textId="77777777" w:rsidR="008F4B01" w:rsidRPr="004176DE" w:rsidRDefault="008F4B01" w:rsidP="008F4B01">
            <w:pPr>
              <w:pStyle w:val="DHHSbody"/>
              <w:rPr>
                <w:rFonts w:cs="Arial"/>
              </w:rPr>
            </w:pPr>
          </w:p>
        </w:tc>
      </w:tr>
    </w:tbl>
    <w:p w14:paraId="23C8C370" w14:textId="77777777" w:rsidR="008F4B01" w:rsidRPr="004176DE" w:rsidRDefault="008F4B01" w:rsidP="008F4B01">
      <w:pPr>
        <w:pStyle w:val="DHHSbody"/>
        <w:rPr>
          <w:rFonts w:cs="Aria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188"/>
      </w:tblGrid>
      <w:tr w:rsidR="008F4B01" w:rsidRPr="004176DE" w14:paraId="253BE7BD" w14:textId="77777777" w:rsidTr="00BE038F">
        <w:tc>
          <w:tcPr>
            <w:tcW w:w="500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FE637F" w14:textId="77777777" w:rsidR="008F4B01" w:rsidRPr="004176DE" w:rsidRDefault="008F4B01" w:rsidP="008F4B01">
            <w:pPr>
              <w:pStyle w:val="DHHSbody"/>
              <w:rPr>
                <w:rFonts w:cs="Arial"/>
              </w:rPr>
            </w:pPr>
            <w:r w:rsidRPr="004176DE">
              <w:rPr>
                <w:rFonts w:cs="Arial"/>
              </w:rPr>
              <w:t>All pharmacists should be aware of the need to make contemporaneous notes of the following:</w:t>
            </w:r>
          </w:p>
        </w:tc>
      </w:tr>
      <w:tr w:rsidR="008F4B01" w:rsidRPr="004176DE" w14:paraId="121AE430" w14:textId="77777777" w:rsidTr="008F4B01">
        <w:tc>
          <w:tcPr>
            <w:tcW w:w="5000" w:type="pct"/>
            <w:tcBorders>
              <w:top w:val="single" w:sz="6" w:space="0" w:color="auto"/>
              <w:left w:val="single" w:sz="6" w:space="0" w:color="auto"/>
              <w:bottom w:val="single" w:sz="6" w:space="0" w:color="auto"/>
              <w:right w:val="single" w:sz="6" w:space="0" w:color="auto"/>
            </w:tcBorders>
          </w:tcPr>
          <w:p w14:paraId="06360705" w14:textId="77777777" w:rsidR="008F4B01" w:rsidRPr="004176DE" w:rsidRDefault="008F4B01" w:rsidP="008F4B01">
            <w:pPr>
              <w:pStyle w:val="DHHSbody"/>
              <w:numPr>
                <w:ilvl w:val="0"/>
                <w:numId w:val="22"/>
              </w:numPr>
              <w:rPr>
                <w:rFonts w:cs="Arial"/>
              </w:rPr>
            </w:pPr>
            <w:r w:rsidRPr="004176DE">
              <w:rPr>
                <w:rFonts w:cs="Arial"/>
                <w:bCs/>
              </w:rPr>
              <w:t>Communications with prescribers in relation to variations from the Policy</w:t>
            </w:r>
          </w:p>
          <w:p w14:paraId="61B7F79F" w14:textId="77777777" w:rsidR="008F4B01" w:rsidRPr="004176DE" w:rsidRDefault="008F4B01" w:rsidP="008F4B01">
            <w:pPr>
              <w:pStyle w:val="DHHSbody"/>
              <w:numPr>
                <w:ilvl w:val="0"/>
                <w:numId w:val="22"/>
              </w:numPr>
              <w:rPr>
                <w:rFonts w:cs="Arial"/>
              </w:rPr>
            </w:pPr>
            <w:r w:rsidRPr="004176DE">
              <w:rPr>
                <w:rFonts w:cs="Arial"/>
                <w:bCs/>
              </w:rPr>
              <w:lastRenderedPageBreak/>
              <w:t>Communications with prescribers in relation to dose variations</w:t>
            </w:r>
          </w:p>
          <w:p w14:paraId="69A3806D" w14:textId="77777777" w:rsidR="008F4B01" w:rsidRPr="004176DE" w:rsidRDefault="008F4B01" w:rsidP="008F4B01">
            <w:pPr>
              <w:pStyle w:val="DHHSbody"/>
              <w:numPr>
                <w:ilvl w:val="0"/>
                <w:numId w:val="22"/>
              </w:numPr>
              <w:rPr>
                <w:rFonts w:cs="Arial"/>
              </w:rPr>
            </w:pPr>
            <w:r w:rsidRPr="004176DE">
              <w:rPr>
                <w:rFonts w:cs="Arial"/>
                <w:bCs/>
              </w:rPr>
              <w:t>Communications with prescribers in relation to proposed &amp; authorised take-away doses</w:t>
            </w:r>
          </w:p>
          <w:p w14:paraId="4082C47E" w14:textId="77777777" w:rsidR="008F4B01" w:rsidRPr="004176DE" w:rsidRDefault="008F4B01" w:rsidP="008F4B01">
            <w:pPr>
              <w:pStyle w:val="DHHSbody"/>
              <w:numPr>
                <w:ilvl w:val="0"/>
                <w:numId w:val="22"/>
              </w:numPr>
              <w:rPr>
                <w:rFonts w:cs="Arial"/>
              </w:rPr>
            </w:pPr>
            <w:r w:rsidRPr="004176DE">
              <w:rPr>
                <w:rFonts w:cs="Arial"/>
                <w:bCs/>
              </w:rPr>
              <w:t>Communications with prescribers in relation to absences or irregular attendance</w:t>
            </w:r>
          </w:p>
          <w:p w14:paraId="73B8E904" w14:textId="77777777" w:rsidR="008F4B01" w:rsidRPr="004176DE" w:rsidRDefault="008F4B01" w:rsidP="008F4B01">
            <w:pPr>
              <w:pStyle w:val="DHHSbody"/>
              <w:numPr>
                <w:ilvl w:val="0"/>
                <w:numId w:val="22"/>
              </w:numPr>
              <w:rPr>
                <w:rFonts w:cs="Arial"/>
              </w:rPr>
            </w:pPr>
            <w:r w:rsidRPr="004176DE">
              <w:rPr>
                <w:rFonts w:cs="Arial"/>
                <w:bCs/>
              </w:rPr>
              <w:t>Communications with other pharmacies where transfers are involved and where doses are to be administered from multiple dosing points</w:t>
            </w:r>
          </w:p>
          <w:p w14:paraId="17D03717" w14:textId="77777777" w:rsidR="008F4B01" w:rsidRPr="004176DE" w:rsidRDefault="008F4B01" w:rsidP="008F4B01">
            <w:pPr>
              <w:pStyle w:val="DHHSbody"/>
              <w:numPr>
                <w:ilvl w:val="0"/>
                <w:numId w:val="22"/>
              </w:numPr>
              <w:rPr>
                <w:rFonts w:cs="Arial"/>
              </w:rPr>
            </w:pPr>
            <w:r w:rsidRPr="004176DE">
              <w:rPr>
                <w:rFonts w:cs="Arial"/>
                <w:bCs/>
              </w:rPr>
              <w:t>Communications with DACAS in relation to the receipt of clinical advice</w:t>
            </w:r>
          </w:p>
          <w:p w14:paraId="29DE31EB" w14:textId="77777777" w:rsidR="008F4B01" w:rsidRPr="004176DE" w:rsidRDefault="008F4B01" w:rsidP="008F4B01">
            <w:pPr>
              <w:pStyle w:val="DHHSbody"/>
              <w:numPr>
                <w:ilvl w:val="0"/>
                <w:numId w:val="22"/>
              </w:numPr>
              <w:rPr>
                <w:rFonts w:cs="Arial"/>
              </w:rPr>
            </w:pPr>
            <w:r w:rsidRPr="004176DE">
              <w:rPr>
                <w:rFonts w:cs="Arial"/>
                <w:bCs/>
              </w:rPr>
              <w:t>Communications with prescribers or PAMS in relation to unacceptable behaviour or suspected diversion of doses</w:t>
            </w:r>
          </w:p>
          <w:p w14:paraId="4C2DBF90" w14:textId="77777777" w:rsidR="008F4B01" w:rsidRPr="002B5DE4" w:rsidRDefault="008F4B01" w:rsidP="00050BC7">
            <w:pPr>
              <w:pStyle w:val="DHHSbody"/>
              <w:numPr>
                <w:ilvl w:val="0"/>
                <w:numId w:val="22"/>
              </w:numPr>
              <w:rPr>
                <w:rFonts w:cs="Arial"/>
              </w:rPr>
            </w:pPr>
            <w:r w:rsidRPr="004176DE">
              <w:rPr>
                <w:rFonts w:cs="Arial"/>
                <w:bCs/>
              </w:rPr>
              <w:t xml:space="preserve">Communications with </w:t>
            </w:r>
            <w:r w:rsidR="00050BC7">
              <w:rPr>
                <w:rFonts w:cs="Arial"/>
                <w:bCs/>
              </w:rPr>
              <w:t>MPR</w:t>
            </w:r>
            <w:r w:rsidRPr="004176DE">
              <w:rPr>
                <w:rFonts w:cs="Arial"/>
                <w:bCs/>
              </w:rPr>
              <w:t xml:space="preserve"> in relation to issues of concern, including suspected or confirmed diversion of doses</w:t>
            </w:r>
          </w:p>
        </w:tc>
      </w:tr>
    </w:tbl>
    <w:p w14:paraId="2CB0B5FE" w14:textId="77777777" w:rsidR="008F4B01" w:rsidRPr="00BB370E" w:rsidRDefault="008F4B01" w:rsidP="007015C5">
      <w:pPr>
        <w:pStyle w:val="Heading2"/>
        <w:rPr>
          <w:lang w:val="it-IT"/>
        </w:rPr>
      </w:pPr>
      <w:r>
        <w:rPr>
          <w:lang w:val="it-IT"/>
        </w:rPr>
        <w:t>Prescriber</w:t>
      </w:r>
      <w:r w:rsidRPr="00BB370E">
        <w:rPr>
          <w:lang w:val="it-IT"/>
        </w:rPr>
        <w:t xml:space="preserve">s who have not completed training and assessment </w:t>
      </w:r>
    </w:p>
    <w:tbl>
      <w:tblPr>
        <w:tblW w:w="5000" w:type="pct"/>
        <w:tblBorders>
          <w:top w:val="single" w:sz="12" w:space="0" w:color="008000"/>
          <w:left w:val="single" w:sz="6" w:space="0" w:color="008000"/>
          <w:bottom w:val="single" w:sz="12" w:space="0" w:color="008000"/>
          <w:right w:val="single" w:sz="6" w:space="0" w:color="008000"/>
          <w:insideH w:val="single" w:sz="6" w:space="0" w:color="000000"/>
          <w:insideV w:val="nil"/>
        </w:tblBorders>
        <w:tblLook w:val="00A0" w:firstRow="1" w:lastRow="0" w:firstColumn="1" w:lastColumn="0" w:noHBand="0" w:noVBand="0"/>
      </w:tblPr>
      <w:tblGrid>
        <w:gridCol w:w="8454"/>
        <w:gridCol w:w="1734"/>
      </w:tblGrid>
      <w:tr w:rsidR="008F4B01" w:rsidRPr="004176DE" w14:paraId="26557044" w14:textId="77777777" w:rsidTr="00BE038F">
        <w:tc>
          <w:tcPr>
            <w:tcW w:w="5000" w:type="pct"/>
            <w:gridSpan w:val="2"/>
            <w:tcBorders>
              <w:top w:val="single" w:sz="12" w:space="0" w:color="008000"/>
              <w:bottom w:val="single" w:sz="6" w:space="0" w:color="000000"/>
            </w:tcBorders>
            <w:shd w:val="clear" w:color="auto" w:fill="D9D9D9" w:themeFill="background1" w:themeFillShade="D9"/>
          </w:tcPr>
          <w:p w14:paraId="12429FBA" w14:textId="77777777" w:rsidR="008F4B01" w:rsidRPr="004176DE" w:rsidRDefault="008F4B01" w:rsidP="008F4B01">
            <w:pPr>
              <w:pStyle w:val="DHHSbody"/>
              <w:rPr>
                <w:rFonts w:cs="Arial"/>
              </w:rPr>
            </w:pPr>
            <w:r w:rsidRPr="004176DE">
              <w:rPr>
                <w:rFonts w:cs="Arial"/>
              </w:rPr>
              <w:t xml:space="preserve">In recognition of the lesser risk of diversion and less complicated pharmacokinetics of </w:t>
            </w:r>
            <w:r w:rsidRPr="004176DE">
              <w:rPr>
                <w:rFonts w:cs="Arial"/>
                <w:b/>
              </w:rPr>
              <w:t>Suboxone</w:t>
            </w:r>
            <w:r w:rsidRPr="004176DE">
              <w:rPr>
                <w:rFonts w:cs="Arial"/>
                <w:b/>
                <w:vertAlign w:val="superscript"/>
              </w:rPr>
              <w:t>®</w:t>
            </w:r>
            <w:r w:rsidRPr="004176DE">
              <w:rPr>
                <w:rFonts w:cs="Arial"/>
              </w:rPr>
              <w:t xml:space="preserve"> use</w:t>
            </w:r>
            <w:r w:rsidR="00365123">
              <w:rPr>
                <w:rFonts w:cs="Arial"/>
              </w:rPr>
              <w:t>;</w:t>
            </w:r>
            <w:r w:rsidRPr="004176DE">
              <w:rPr>
                <w:rFonts w:cs="Arial"/>
              </w:rPr>
              <w:t xml:space="preserve"> any </w:t>
            </w:r>
            <w:r>
              <w:rPr>
                <w:rFonts w:cs="Arial"/>
              </w:rPr>
              <w:t>prescriber</w:t>
            </w:r>
            <w:r w:rsidRPr="004176DE">
              <w:rPr>
                <w:rFonts w:cs="Arial"/>
              </w:rPr>
              <w:t xml:space="preserve"> may prescribe </w:t>
            </w:r>
            <w:r w:rsidRPr="004176DE">
              <w:rPr>
                <w:rFonts w:cs="Arial"/>
                <w:b/>
              </w:rPr>
              <w:t>Suboxone</w:t>
            </w:r>
            <w:r w:rsidRPr="004176DE">
              <w:rPr>
                <w:rFonts w:cs="Arial"/>
                <w:b/>
                <w:vertAlign w:val="superscript"/>
              </w:rPr>
              <w:t>®</w:t>
            </w:r>
            <w:r w:rsidRPr="004176DE">
              <w:rPr>
                <w:rFonts w:cs="Arial"/>
              </w:rPr>
              <w:t xml:space="preserve"> (only)</w:t>
            </w:r>
            <w:r w:rsidRPr="004176DE">
              <w:rPr>
                <w:rFonts w:cs="Arial"/>
                <w:b/>
              </w:rPr>
              <w:t xml:space="preserve"> </w:t>
            </w:r>
            <w:r w:rsidRPr="004176DE">
              <w:rPr>
                <w:rFonts w:cs="Arial"/>
              </w:rPr>
              <w:t xml:space="preserve">for up to 5 patients without completing the training or assessment required to prescribe other </w:t>
            </w:r>
            <w:r>
              <w:rPr>
                <w:rFonts w:cs="Arial"/>
              </w:rPr>
              <w:t xml:space="preserve">ORT </w:t>
            </w:r>
            <w:r w:rsidRPr="004176DE">
              <w:rPr>
                <w:rFonts w:cs="Arial"/>
              </w:rPr>
              <w:t xml:space="preserve">drugs or formulations. </w:t>
            </w:r>
          </w:p>
          <w:p w14:paraId="20F65CDE" w14:textId="77777777" w:rsidR="008F4B01" w:rsidRPr="004176DE" w:rsidRDefault="008F4B01" w:rsidP="008F4B01">
            <w:pPr>
              <w:pStyle w:val="DHHSbody"/>
              <w:rPr>
                <w:rFonts w:cs="Arial"/>
              </w:rPr>
            </w:pPr>
            <w:r>
              <w:rPr>
                <w:rFonts w:cs="Arial"/>
              </w:rPr>
              <w:t>Prescribers</w:t>
            </w:r>
            <w:r w:rsidRPr="004176DE">
              <w:rPr>
                <w:rFonts w:cs="Arial"/>
              </w:rPr>
              <w:t xml:space="preserve"> who have not completed training and assessment should seek advice from an ‘approved prescriber’ (preferably in the same practice) or from DACAS before prescribing to a patient.</w:t>
            </w:r>
          </w:p>
        </w:tc>
      </w:tr>
      <w:tr w:rsidR="008F4B01" w:rsidRPr="004176DE" w14:paraId="68BBF112" w14:textId="77777777" w:rsidTr="00BE038F">
        <w:tblPrEx>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Look w:val="0000" w:firstRow="0" w:lastRow="0" w:firstColumn="0" w:lastColumn="0" w:noHBand="0" w:noVBand="0"/>
        </w:tblPrEx>
        <w:tc>
          <w:tcPr>
            <w:tcW w:w="4149" w:type="pct"/>
            <w:tcBorders>
              <w:top w:val="single" w:sz="6" w:space="0" w:color="000000"/>
              <w:left w:val="single" w:sz="12" w:space="0" w:color="808080"/>
              <w:bottom w:val="single" w:sz="6" w:space="0" w:color="808080"/>
              <w:right w:val="single" w:sz="6" w:space="0" w:color="C0C0C0"/>
            </w:tcBorders>
            <w:shd w:val="clear" w:color="auto" w:fill="D9D9D9" w:themeFill="background1" w:themeFillShade="D9"/>
          </w:tcPr>
          <w:p w14:paraId="36C09C59" w14:textId="77777777" w:rsidR="008F4B01" w:rsidRPr="004176DE" w:rsidRDefault="008F4B01" w:rsidP="008F4B01">
            <w:pPr>
              <w:pStyle w:val="DHHSbody"/>
              <w:rPr>
                <w:rFonts w:cs="Arial"/>
              </w:rPr>
            </w:pPr>
            <w:r w:rsidRPr="004176DE">
              <w:rPr>
                <w:rFonts w:cs="Arial"/>
              </w:rPr>
              <w:t>Have all pharmacists been made aware of the possibility of</w:t>
            </w:r>
            <w:r w:rsidR="00365123">
              <w:rPr>
                <w:rFonts w:cs="Arial"/>
              </w:rPr>
              <w:t xml:space="preserve"> receiving</w:t>
            </w:r>
            <w:r w:rsidRPr="004176DE">
              <w:rPr>
                <w:rFonts w:cs="Arial"/>
              </w:rPr>
              <w:t xml:space="preserve"> </w:t>
            </w:r>
            <w:r w:rsidRPr="004176DE">
              <w:rPr>
                <w:rFonts w:cs="Arial"/>
                <w:b/>
              </w:rPr>
              <w:t>Suboxone</w:t>
            </w:r>
            <w:r w:rsidRPr="004176DE">
              <w:rPr>
                <w:rFonts w:cs="Arial"/>
                <w:b/>
                <w:vertAlign w:val="superscript"/>
              </w:rPr>
              <w:t xml:space="preserve">® </w:t>
            </w:r>
            <w:r w:rsidRPr="004176DE">
              <w:rPr>
                <w:rFonts w:cs="Arial"/>
              </w:rPr>
              <w:t xml:space="preserve">prescriptions from </w:t>
            </w:r>
            <w:r>
              <w:rPr>
                <w:rFonts w:cs="Arial"/>
              </w:rPr>
              <w:t>prescriber</w:t>
            </w:r>
            <w:r w:rsidRPr="004176DE">
              <w:rPr>
                <w:rFonts w:cs="Arial"/>
              </w:rPr>
              <w:t>s who have not completed training and assessment and who might not be familiar with all aspects of the Policy and relevant legislation?</w:t>
            </w:r>
          </w:p>
        </w:tc>
        <w:tc>
          <w:tcPr>
            <w:tcW w:w="851" w:type="pct"/>
            <w:tcBorders>
              <w:top w:val="single" w:sz="6" w:space="0" w:color="000000"/>
              <w:left w:val="single" w:sz="6" w:space="0" w:color="C0C0C0"/>
              <w:bottom w:val="single" w:sz="6" w:space="0" w:color="808080"/>
              <w:right w:val="single" w:sz="12" w:space="0" w:color="808080"/>
            </w:tcBorders>
          </w:tcPr>
          <w:p w14:paraId="163ACC4A" w14:textId="77777777" w:rsidR="008F4B01" w:rsidRPr="004176DE" w:rsidRDefault="008F4B01" w:rsidP="008F4B01">
            <w:pPr>
              <w:pStyle w:val="DHHSbody"/>
              <w:rPr>
                <w:rFonts w:cs="Arial"/>
              </w:rPr>
            </w:pPr>
            <w:r w:rsidRPr="004176DE">
              <w:rPr>
                <w:rFonts w:cs="Arial"/>
                <w:b/>
              </w:rPr>
              <w:t>YES</w:t>
            </w:r>
            <w:r w:rsidRPr="004176DE">
              <w:rPr>
                <w:rFonts w:cs="Arial"/>
              </w:rPr>
              <w:t xml:space="preserve"> / No</w:t>
            </w:r>
          </w:p>
        </w:tc>
      </w:tr>
      <w:tr w:rsidR="008F4B01" w:rsidRPr="004176DE" w14:paraId="45320EF5" w14:textId="77777777" w:rsidTr="00BE038F">
        <w:tc>
          <w:tcPr>
            <w:tcW w:w="5000" w:type="pct"/>
            <w:gridSpan w:val="2"/>
            <w:tcBorders>
              <w:bottom w:val="single" w:sz="12" w:space="0" w:color="008000"/>
            </w:tcBorders>
            <w:shd w:val="clear" w:color="auto" w:fill="D9D9D9" w:themeFill="background1" w:themeFillShade="D9"/>
          </w:tcPr>
          <w:p w14:paraId="0D1C369B" w14:textId="77777777" w:rsidR="008F4B01" w:rsidRPr="004176DE" w:rsidRDefault="008F4B01" w:rsidP="008F4B01">
            <w:pPr>
              <w:pStyle w:val="DHHSbody"/>
              <w:rPr>
                <w:rFonts w:cs="Arial"/>
              </w:rPr>
            </w:pPr>
            <w:r w:rsidRPr="004176DE">
              <w:rPr>
                <w:rFonts w:cs="Arial"/>
              </w:rPr>
              <w:t xml:space="preserve">Prescribers who have not completed training and assessment may also </w:t>
            </w:r>
            <w:r w:rsidRPr="004176DE">
              <w:rPr>
                <w:rFonts w:cs="Arial"/>
                <w:b/>
              </w:rPr>
              <w:t>deputise</w:t>
            </w:r>
            <w:r w:rsidRPr="004176DE">
              <w:rPr>
                <w:rFonts w:cs="Arial"/>
              </w:rPr>
              <w:t xml:space="preserve"> for an ‘approved prescriber’ to continue the treatment of a </w:t>
            </w:r>
            <w:r w:rsidRPr="004176DE">
              <w:rPr>
                <w:rFonts w:cs="Arial"/>
                <w:b/>
              </w:rPr>
              <w:t>stable</w:t>
            </w:r>
            <w:r w:rsidRPr="004176DE">
              <w:rPr>
                <w:rFonts w:cs="Arial"/>
              </w:rPr>
              <w:t xml:space="preserve"> patient if the following circumstances are met:</w:t>
            </w:r>
          </w:p>
          <w:p w14:paraId="0E677D7A" w14:textId="77777777" w:rsidR="008F4B01" w:rsidRPr="004176DE" w:rsidRDefault="008F4B01" w:rsidP="008F4B01">
            <w:pPr>
              <w:pStyle w:val="DHHSbody"/>
              <w:numPr>
                <w:ilvl w:val="0"/>
                <w:numId w:val="25"/>
              </w:numPr>
              <w:rPr>
                <w:rFonts w:cs="Arial"/>
              </w:rPr>
            </w:pPr>
            <w:r w:rsidRPr="004176DE">
              <w:rPr>
                <w:rFonts w:cs="Arial"/>
              </w:rPr>
              <w:t xml:space="preserve">the deputising prescriber is practising at the same practice as the usual treating prescriber, </w:t>
            </w:r>
            <w:r w:rsidRPr="004176DE">
              <w:rPr>
                <w:rFonts w:cs="Arial"/>
                <w:b/>
              </w:rPr>
              <w:t>and</w:t>
            </w:r>
          </w:p>
          <w:p w14:paraId="33456865" w14:textId="77777777" w:rsidR="008F4B01" w:rsidRPr="004176DE" w:rsidRDefault="008F4B01" w:rsidP="008F4B01">
            <w:pPr>
              <w:pStyle w:val="DHHSbody"/>
              <w:numPr>
                <w:ilvl w:val="0"/>
                <w:numId w:val="25"/>
              </w:numPr>
              <w:rPr>
                <w:rFonts w:cs="Arial"/>
              </w:rPr>
            </w:pPr>
            <w:r w:rsidRPr="004176DE">
              <w:rPr>
                <w:rFonts w:cs="Arial"/>
              </w:rPr>
              <w:t xml:space="preserve">the usual treating prescriber holds a current permit, </w:t>
            </w:r>
            <w:r w:rsidRPr="004176DE">
              <w:rPr>
                <w:rFonts w:cs="Arial"/>
                <w:b/>
              </w:rPr>
              <w:t>and</w:t>
            </w:r>
          </w:p>
          <w:p w14:paraId="08C2B194" w14:textId="77777777" w:rsidR="008F4B01" w:rsidRPr="004176DE" w:rsidRDefault="008F4B01" w:rsidP="008F4B01">
            <w:pPr>
              <w:pStyle w:val="DHHSbody"/>
              <w:numPr>
                <w:ilvl w:val="0"/>
                <w:numId w:val="25"/>
              </w:numPr>
              <w:rPr>
                <w:rFonts w:cs="Arial"/>
              </w:rPr>
            </w:pPr>
            <w:r w:rsidRPr="004176DE">
              <w:rPr>
                <w:rFonts w:cs="Arial"/>
              </w:rPr>
              <w:t>the deputising prescriber is not re-starting treatment of a patient with pharmacotherapy (inc</w:t>
            </w:r>
            <w:r>
              <w:rPr>
                <w:rFonts w:cs="Arial"/>
              </w:rPr>
              <w:t>luding</w:t>
            </w:r>
            <w:r w:rsidRPr="004176DE">
              <w:rPr>
                <w:rFonts w:cs="Arial"/>
              </w:rPr>
              <w:t xml:space="preserve"> where a patient has missed </w:t>
            </w:r>
            <w:r>
              <w:rPr>
                <w:rFonts w:cs="Arial"/>
              </w:rPr>
              <w:t>doses on four or more consecutive</w:t>
            </w:r>
            <w:r w:rsidRPr="004176DE">
              <w:rPr>
                <w:rFonts w:cs="Arial"/>
              </w:rPr>
              <w:t xml:space="preserve"> days</w:t>
            </w:r>
            <w:r>
              <w:rPr>
                <w:rFonts w:cs="Arial"/>
              </w:rPr>
              <w:t>)</w:t>
            </w:r>
            <w:r w:rsidRPr="004176DE">
              <w:rPr>
                <w:rFonts w:cs="Arial"/>
              </w:rPr>
              <w:t xml:space="preserve">, </w:t>
            </w:r>
            <w:r w:rsidRPr="004176DE">
              <w:rPr>
                <w:rFonts w:cs="Arial"/>
                <w:b/>
              </w:rPr>
              <w:t>and</w:t>
            </w:r>
          </w:p>
          <w:p w14:paraId="302327CC" w14:textId="77777777" w:rsidR="008F4B01" w:rsidRPr="004176DE" w:rsidRDefault="008F4B01" w:rsidP="008F4B01">
            <w:pPr>
              <w:pStyle w:val="DHHSbody"/>
              <w:numPr>
                <w:ilvl w:val="0"/>
                <w:numId w:val="25"/>
              </w:numPr>
              <w:rPr>
                <w:rFonts w:cs="Arial"/>
              </w:rPr>
            </w:pPr>
            <w:r w:rsidRPr="004176DE">
              <w:rPr>
                <w:rFonts w:cs="Arial"/>
              </w:rPr>
              <w:t xml:space="preserve">the duration of the prescription is limited to the expected period of absence of the usual prescriber, </w:t>
            </w:r>
            <w:r w:rsidRPr="004176DE">
              <w:rPr>
                <w:rFonts w:cs="Arial"/>
                <w:b/>
              </w:rPr>
              <w:t>and</w:t>
            </w:r>
          </w:p>
          <w:p w14:paraId="4FBA9D51" w14:textId="77777777" w:rsidR="008F4B01" w:rsidRPr="004176DE" w:rsidRDefault="008F4B01" w:rsidP="008F4B01">
            <w:pPr>
              <w:pStyle w:val="DHHSbody"/>
              <w:numPr>
                <w:ilvl w:val="0"/>
                <w:numId w:val="25"/>
              </w:numPr>
              <w:rPr>
                <w:rFonts w:cs="Arial"/>
              </w:rPr>
            </w:pPr>
            <w:r w:rsidRPr="004176DE">
              <w:rPr>
                <w:rFonts w:cs="Arial"/>
              </w:rPr>
              <w:t>the prescription is endorsed to show that the prescriber is temporarily deputising for the usu</w:t>
            </w:r>
            <w:r>
              <w:rPr>
                <w:rFonts w:cs="Arial"/>
              </w:rPr>
              <w:t>al prescriber</w:t>
            </w:r>
          </w:p>
        </w:tc>
      </w:tr>
    </w:tbl>
    <w:p w14:paraId="2C74A160" w14:textId="77777777" w:rsidR="007015C5" w:rsidRDefault="007015C5" w:rsidP="00D7793F">
      <w:pPr>
        <w:pStyle w:val="Heading3"/>
        <w:rPr>
          <w:lang w:val="it-IT"/>
        </w:rPr>
      </w:pPr>
    </w:p>
    <w:p w14:paraId="115FA796" w14:textId="77777777" w:rsidR="007015C5" w:rsidRDefault="007015C5">
      <w:pPr>
        <w:rPr>
          <w:rFonts w:ascii="Arial" w:eastAsia="MS Gothic" w:hAnsi="Arial"/>
          <w:b/>
          <w:bCs/>
          <w:sz w:val="24"/>
          <w:szCs w:val="26"/>
          <w:lang w:val="it-IT"/>
        </w:rPr>
      </w:pPr>
      <w:r>
        <w:rPr>
          <w:lang w:val="it-IT"/>
        </w:rPr>
        <w:br w:type="page"/>
      </w:r>
    </w:p>
    <w:p w14:paraId="1DACD274" w14:textId="77777777" w:rsidR="008F4B01" w:rsidRPr="00BB370E" w:rsidRDefault="008F4B01" w:rsidP="007015C5">
      <w:pPr>
        <w:pStyle w:val="Heading1"/>
        <w:rPr>
          <w:lang w:val="it-IT"/>
        </w:rPr>
      </w:pPr>
      <w:r w:rsidRPr="00BB370E">
        <w:rPr>
          <w:lang w:val="it-IT"/>
        </w:rPr>
        <w:lastRenderedPageBreak/>
        <w:t>Sample labels for take-away doses</w:t>
      </w:r>
    </w:p>
    <w:tbl>
      <w:tblPr>
        <w:tblStyle w:val="TableGrid"/>
        <w:tblW w:w="0" w:type="auto"/>
        <w:tblBorders>
          <w:top w:val="single" w:sz="24" w:space="0" w:color="FF6600"/>
          <w:left w:val="single" w:sz="24" w:space="0" w:color="FF6600"/>
          <w:bottom w:val="single" w:sz="24" w:space="0" w:color="FF6600"/>
          <w:right w:val="single" w:sz="24" w:space="0" w:color="FF6600"/>
          <w:insideH w:val="single" w:sz="24" w:space="0" w:color="FF6600"/>
          <w:insideV w:val="single" w:sz="24" w:space="0" w:color="FF6600"/>
        </w:tblBorders>
        <w:shd w:val="clear" w:color="auto" w:fill="FFCC99"/>
        <w:tblLook w:val="01E0" w:firstRow="1" w:lastRow="1" w:firstColumn="1" w:lastColumn="1" w:noHBand="0" w:noVBand="0"/>
      </w:tblPr>
      <w:tblGrid>
        <w:gridCol w:w="9854"/>
      </w:tblGrid>
      <w:tr w:rsidR="008F4B01" w:rsidRPr="004176DE" w14:paraId="23E46CC0" w14:textId="77777777" w:rsidTr="00BE038F">
        <w:tc>
          <w:tcPr>
            <w:tcW w:w="9854" w:type="dxa"/>
            <w:shd w:val="clear" w:color="auto" w:fill="D9D9D9" w:themeFill="background1" w:themeFillShade="D9"/>
          </w:tcPr>
          <w:p w14:paraId="0A125F05" w14:textId="77777777" w:rsidR="008F4B01" w:rsidRPr="004176DE" w:rsidRDefault="008F4B01" w:rsidP="008F4B01">
            <w:pPr>
              <w:pStyle w:val="DHHSbody"/>
              <w:rPr>
                <w:rFonts w:cs="Arial"/>
              </w:rPr>
            </w:pPr>
            <w:r w:rsidRPr="004176DE">
              <w:rPr>
                <w:rFonts w:cs="Arial"/>
              </w:rPr>
              <w:t xml:space="preserve">Each </w:t>
            </w:r>
            <w:r w:rsidRPr="004176DE">
              <w:rPr>
                <w:rFonts w:cs="Arial"/>
                <w:b/>
              </w:rPr>
              <w:t>methadone</w:t>
            </w:r>
            <w:r w:rsidRPr="004176DE">
              <w:rPr>
                <w:rFonts w:cs="Arial"/>
              </w:rPr>
              <w:t xml:space="preserve"> take-away dose bottle should only contain a single dose of methadone.</w:t>
            </w:r>
          </w:p>
          <w:p w14:paraId="7DD4031A" w14:textId="77777777" w:rsidR="008F4B01" w:rsidRPr="004176DE" w:rsidRDefault="008F4B01" w:rsidP="008F4B01">
            <w:pPr>
              <w:pStyle w:val="DHHSbody"/>
              <w:rPr>
                <w:rFonts w:cs="Arial"/>
              </w:rPr>
            </w:pPr>
            <w:r w:rsidRPr="004176DE">
              <w:rPr>
                <w:rFonts w:cs="Arial"/>
              </w:rPr>
              <w:t xml:space="preserve">The following example </w:t>
            </w:r>
            <w:r>
              <w:rPr>
                <w:rFonts w:cs="Arial"/>
              </w:rPr>
              <w:t>includes</w:t>
            </w:r>
            <w:r w:rsidRPr="004176DE">
              <w:rPr>
                <w:rFonts w:cs="Arial"/>
              </w:rPr>
              <w:t xml:space="preserve"> the key requirements for labelling a methadone take-away dose of 40</w:t>
            </w:r>
            <w:r>
              <w:rPr>
                <w:rFonts w:cs="Arial"/>
              </w:rPr>
              <w:t xml:space="preserve"> </w:t>
            </w:r>
            <w:r w:rsidRPr="004176DE">
              <w:rPr>
                <w:rFonts w:cs="Arial"/>
              </w:rPr>
              <w:t>mg daily.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tblGrid>
            <w:tr w:rsidR="008F4B01" w:rsidRPr="004176DE" w14:paraId="45416B6B" w14:textId="77777777" w:rsidTr="008F4B01">
              <w:trPr>
                <w:jc w:val="center"/>
              </w:trPr>
              <w:tc>
                <w:tcPr>
                  <w:tcW w:w="5688" w:type="dxa"/>
                </w:tcPr>
                <w:p w14:paraId="4987F6CE" w14:textId="77777777" w:rsidR="008F4B01" w:rsidRPr="004176DE" w:rsidRDefault="008F4B01" w:rsidP="008F4B01">
                  <w:pPr>
                    <w:pStyle w:val="DHHSbody"/>
                    <w:rPr>
                      <w:rFonts w:cs="Arial"/>
                      <w:b/>
                    </w:rPr>
                  </w:pPr>
                  <w:r w:rsidRPr="004176DE">
                    <w:rPr>
                      <w:rFonts w:cs="Arial"/>
                      <w:b/>
                    </w:rPr>
                    <w:t>METHADONE SOLUTION containing 40 mg in 200 mL</w:t>
                  </w:r>
                </w:p>
                <w:p w14:paraId="00140825" w14:textId="77777777" w:rsidR="007015C5" w:rsidRDefault="007015C5" w:rsidP="008F4B01">
                  <w:pPr>
                    <w:pStyle w:val="DHHSbody"/>
                    <w:rPr>
                      <w:rFonts w:cs="Arial"/>
                    </w:rPr>
                  </w:pPr>
                </w:p>
                <w:p w14:paraId="1B89159C" w14:textId="77777777" w:rsidR="008F4B01" w:rsidRPr="004176DE" w:rsidRDefault="008F4B01" w:rsidP="008F4B01">
                  <w:pPr>
                    <w:pStyle w:val="DHHSbody"/>
                    <w:rPr>
                      <w:rFonts w:cs="Arial"/>
                    </w:rPr>
                  </w:pPr>
                  <w:r w:rsidRPr="004176DE">
                    <w:rPr>
                      <w:rFonts w:cs="Arial"/>
                    </w:rPr>
                    <w:t>This bottle contains a single daily dose of methadone</w:t>
                  </w:r>
                  <w:r>
                    <w:rPr>
                      <w:rFonts w:cs="Arial"/>
                    </w:rPr>
                    <w:t xml:space="preserve"> </w:t>
                  </w:r>
                  <w:r w:rsidRPr="004176DE">
                    <w:rPr>
                      <w:rFonts w:cs="Arial"/>
                    </w:rPr>
                    <w:t>to be taken on 15 June 201</w:t>
                  </w:r>
                  <w:r>
                    <w:rPr>
                      <w:rFonts w:cs="Arial"/>
                    </w:rPr>
                    <w:t>6</w:t>
                  </w:r>
                  <w:r w:rsidRPr="004176DE">
                    <w:rPr>
                      <w:rFonts w:cs="Arial"/>
                    </w:rPr>
                    <w:t xml:space="preserve"> by John Citizen.</w:t>
                  </w:r>
                </w:p>
                <w:p w14:paraId="750ED4EA" w14:textId="77777777" w:rsidR="008F4B01" w:rsidRPr="004176DE" w:rsidRDefault="008F4B01" w:rsidP="008F4B01">
                  <w:pPr>
                    <w:pStyle w:val="DHHSbody"/>
                    <w:rPr>
                      <w:rFonts w:cs="Arial"/>
                    </w:rPr>
                  </w:pPr>
                </w:p>
                <w:p w14:paraId="550B1B47" w14:textId="77777777" w:rsidR="008F4B01" w:rsidRPr="004176DE" w:rsidRDefault="008F4B01" w:rsidP="008F4B01">
                  <w:pPr>
                    <w:pStyle w:val="DHHSbody"/>
                    <w:rPr>
                      <w:rFonts w:cs="Arial"/>
                    </w:rPr>
                  </w:pPr>
                  <w:r w:rsidRPr="004176DE">
                    <w:rPr>
                      <w:rFonts w:cs="Arial"/>
                    </w:rPr>
                    <w:t>Prepared on 14 June 201</w:t>
                  </w:r>
                  <w:r>
                    <w:rPr>
                      <w:rFonts w:cs="Arial"/>
                    </w:rPr>
                    <w:t>6</w:t>
                  </w:r>
                </w:p>
                <w:p w14:paraId="26225FD1" w14:textId="77777777" w:rsidR="008F4B01" w:rsidRPr="003D6A90" w:rsidRDefault="008F4B01" w:rsidP="008F4B01">
                  <w:pPr>
                    <w:pStyle w:val="DHHSbody"/>
                    <w:rPr>
                      <w:rFonts w:cs="Arial"/>
                      <w:color w:val="FF0000"/>
                    </w:rPr>
                  </w:pPr>
                  <w:r w:rsidRPr="003D6A90">
                    <w:rPr>
                      <w:rFonts w:cs="Arial"/>
                      <w:color w:val="FF0000"/>
                    </w:rPr>
                    <w:t>KEEP OUT OF REACH OF CHILDREN</w:t>
                  </w:r>
                </w:p>
                <w:p w14:paraId="0FC2936B" w14:textId="77777777" w:rsidR="008F4B01" w:rsidRPr="004176DE" w:rsidRDefault="008F4B01" w:rsidP="008F4B01">
                  <w:pPr>
                    <w:pStyle w:val="DHHSbody"/>
                    <w:rPr>
                      <w:rFonts w:cs="Arial"/>
                    </w:rPr>
                  </w:pPr>
                  <w:r w:rsidRPr="004176DE">
                    <w:rPr>
                      <w:rFonts w:cs="Arial"/>
                    </w:rPr>
                    <w:t xml:space="preserve">Pharmacy Name </w:t>
                  </w:r>
                </w:p>
                <w:p w14:paraId="369E3614" w14:textId="77777777" w:rsidR="008F4B01" w:rsidRPr="004176DE" w:rsidRDefault="008F4B01" w:rsidP="008F4B01">
                  <w:pPr>
                    <w:pStyle w:val="DHHSbody"/>
                    <w:rPr>
                      <w:rFonts w:cs="Arial"/>
                    </w:rPr>
                  </w:pPr>
                  <w:r w:rsidRPr="004176DE">
                    <w:rPr>
                      <w:rFonts w:cs="Arial"/>
                    </w:rPr>
                    <w:t>Address &amp; Phone Number</w:t>
                  </w:r>
                </w:p>
                <w:p w14:paraId="6E8D7EAB" w14:textId="77777777" w:rsidR="008F4B01" w:rsidRPr="004176DE" w:rsidRDefault="00E93843" w:rsidP="008F4B01">
                  <w:pPr>
                    <w:pStyle w:val="DHHSbody"/>
                    <w:rPr>
                      <w:rFonts w:cs="Arial"/>
                    </w:rPr>
                  </w:pPr>
                  <w:r>
                    <w:rPr>
                      <w:rFonts w:cs="Arial"/>
                    </w:rPr>
                    <w:t>Pharmacist ID</w:t>
                  </w:r>
                </w:p>
              </w:tc>
            </w:tr>
            <w:tr w:rsidR="008F4B01" w:rsidRPr="004176DE" w14:paraId="405D2B7A" w14:textId="77777777" w:rsidTr="008F4B01">
              <w:trPr>
                <w:jc w:val="center"/>
              </w:trPr>
              <w:tc>
                <w:tcPr>
                  <w:tcW w:w="5688" w:type="dxa"/>
                </w:tcPr>
                <w:p w14:paraId="79C2C71A" w14:textId="77777777" w:rsidR="008F4B01" w:rsidRPr="004176DE" w:rsidRDefault="008F4B01" w:rsidP="008F4B01">
                  <w:pPr>
                    <w:pStyle w:val="DHHSbody"/>
                    <w:rPr>
                      <w:rFonts w:cs="Arial"/>
                    </w:rPr>
                  </w:pPr>
                  <w:r w:rsidRPr="004176DE">
                    <w:rPr>
                      <w:rFonts w:cs="Arial"/>
                    </w:rPr>
                    <w:t xml:space="preserve">“This medication may cause drowsiness and may increase the effects of alcohol. If affected do not drive a motor vehicle or operate machinery.” </w:t>
                  </w:r>
                  <w:r w:rsidRPr="004176DE">
                    <w:rPr>
                      <w:rFonts w:cs="Arial"/>
                      <w:i/>
                    </w:rPr>
                    <w:t>(commonly on an ancillary label)</w:t>
                  </w:r>
                </w:p>
              </w:tc>
            </w:tr>
            <w:tr w:rsidR="008F4B01" w:rsidRPr="004176DE" w14:paraId="3FCE14A2" w14:textId="77777777" w:rsidTr="008F4B01">
              <w:trPr>
                <w:jc w:val="center"/>
              </w:trPr>
              <w:tc>
                <w:tcPr>
                  <w:tcW w:w="5688" w:type="dxa"/>
                </w:tcPr>
                <w:p w14:paraId="5159CB0D" w14:textId="77777777" w:rsidR="008F4B01" w:rsidRPr="004176DE" w:rsidRDefault="008F4B01" w:rsidP="008F4B01">
                  <w:pPr>
                    <w:pStyle w:val="DHHSbody"/>
                    <w:rPr>
                      <w:rFonts w:cs="Arial"/>
                    </w:rPr>
                  </w:pPr>
                  <w:r w:rsidRPr="004176DE">
                    <w:rPr>
                      <w:rFonts w:cs="Arial"/>
                    </w:rPr>
                    <w:t>“May cause death or injury if taken by another person”</w:t>
                  </w:r>
                </w:p>
                <w:p w14:paraId="7CCF827E" w14:textId="77777777" w:rsidR="008F4B01" w:rsidRPr="004176DE" w:rsidRDefault="008F4B01" w:rsidP="008F4B01">
                  <w:pPr>
                    <w:pStyle w:val="DHHSbody"/>
                    <w:rPr>
                      <w:rFonts w:cs="Arial"/>
                      <w:i/>
                    </w:rPr>
                  </w:pPr>
                  <w:r w:rsidRPr="004176DE">
                    <w:rPr>
                      <w:rFonts w:cs="Arial"/>
                      <w:i/>
                    </w:rPr>
                    <w:t>(on an ancillary label or the main label)</w:t>
                  </w:r>
                </w:p>
              </w:tc>
            </w:tr>
          </w:tbl>
          <w:p w14:paraId="5FFA643D" w14:textId="77777777" w:rsidR="008F4B01" w:rsidRPr="004176DE" w:rsidRDefault="008F4B01" w:rsidP="008F4B01">
            <w:pPr>
              <w:pStyle w:val="DHHSbody"/>
              <w:rPr>
                <w:rFonts w:cs="Arial"/>
              </w:rPr>
            </w:pPr>
          </w:p>
        </w:tc>
      </w:tr>
    </w:tbl>
    <w:p w14:paraId="0D2CCD82" w14:textId="77777777" w:rsidR="008F4B01" w:rsidRDefault="008F4B01" w:rsidP="008F4B01">
      <w:pPr>
        <w:pStyle w:val="DHHSbody"/>
        <w:rPr>
          <w:rFonts w:cs="Arial"/>
        </w:rPr>
      </w:pPr>
    </w:p>
    <w:tbl>
      <w:tblPr>
        <w:tblStyle w:val="TableGrid"/>
        <w:tblW w:w="0" w:type="auto"/>
        <w:tblBorders>
          <w:top w:val="single" w:sz="24" w:space="0" w:color="0000FF"/>
          <w:left w:val="single" w:sz="24" w:space="0" w:color="0000FF"/>
          <w:bottom w:val="single" w:sz="24" w:space="0" w:color="0000FF"/>
          <w:right w:val="single" w:sz="24" w:space="0" w:color="0000FF"/>
          <w:insideH w:val="single" w:sz="24" w:space="0" w:color="0000FF"/>
          <w:insideV w:val="single" w:sz="24" w:space="0" w:color="0000FF"/>
        </w:tblBorders>
        <w:shd w:val="clear" w:color="auto" w:fill="CCFFFF"/>
        <w:tblLook w:val="01E0" w:firstRow="1" w:lastRow="1" w:firstColumn="1" w:lastColumn="1" w:noHBand="0" w:noVBand="0"/>
      </w:tblPr>
      <w:tblGrid>
        <w:gridCol w:w="9760"/>
      </w:tblGrid>
      <w:tr w:rsidR="008F4B01" w:rsidRPr="004176DE" w14:paraId="2D5F7D76" w14:textId="77777777" w:rsidTr="00BE038F">
        <w:tc>
          <w:tcPr>
            <w:tcW w:w="9760" w:type="dxa"/>
            <w:shd w:val="clear" w:color="auto" w:fill="D9D9D9" w:themeFill="background1" w:themeFillShade="D9"/>
          </w:tcPr>
          <w:p w14:paraId="0AD499D8" w14:textId="77777777" w:rsidR="008F4B01" w:rsidRPr="004176DE" w:rsidRDefault="008F4B01" w:rsidP="008F4B01">
            <w:pPr>
              <w:pStyle w:val="DHHSbody"/>
              <w:rPr>
                <w:rFonts w:cs="Arial"/>
              </w:rPr>
            </w:pPr>
            <w:r w:rsidRPr="004176DE">
              <w:rPr>
                <w:rFonts w:cs="Arial"/>
                <w:b/>
              </w:rPr>
              <w:t>Buprenorphine/naloxone</w:t>
            </w:r>
            <w:r w:rsidRPr="004176DE">
              <w:rPr>
                <w:rFonts w:cs="Arial"/>
              </w:rPr>
              <w:t xml:space="preserve"> take-away doses may be packaged individually to contain only a single dose of buprenorphine. The following example </w:t>
            </w:r>
            <w:r>
              <w:rPr>
                <w:rFonts w:cs="Arial"/>
              </w:rPr>
              <w:t>includes</w:t>
            </w:r>
            <w:r w:rsidRPr="004176DE">
              <w:rPr>
                <w:rFonts w:cs="Arial"/>
              </w:rPr>
              <w:t xml:space="preserve"> the key requirements for labelling a buprenorphine/naloxone take-away dose as a single dose of 22</w:t>
            </w:r>
            <w:r>
              <w:rPr>
                <w:rFonts w:cs="Arial"/>
              </w:rPr>
              <w:t xml:space="preserve"> </w:t>
            </w:r>
            <w:r w:rsidRPr="004176DE">
              <w:rPr>
                <w:rFonts w:cs="Arial"/>
              </w:rPr>
              <w:t>mg daily.</w:t>
            </w:r>
          </w:p>
          <w:p w14:paraId="191EADFE" w14:textId="77777777" w:rsidR="008F4B01" w:rsidRPr="004176DE" w:rsidRDefault="008F4B01" w:rsidP="008F4B01">
            <w:pPr>
              <w:pStyle w:val="DHHSbody"/>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tblGrid>
            <w:tr w:rsidR="008F4B01" w:rsidRPr="004176DE" w14:paraId="7017830E" w14:textId="77777777" w:rsidTr="008F4B01">
              <w:trPr>
                <w:jc w:val="center"/>
              </w:trPr>
              <w:tc>
                <w:tcPr>
                  <w:tcW w:w="5688" w:type="dxa"/>
                </w:tcPr>
                <w:p w14:paraId="4905976E" w14:textId="77777777" w:rsidR="008F4B01" w:rsidRPr="004176DE" w:rsidRDefault="008F4B01" w:rsidP="008F4B01">
                  <w:pPr>
                    <w:pStyle w:val="DHHSbody"/>
                    <w:rPr>
                      <w:rFonts w:cs="Arial"/>
                      <w:b/>
                    </w:rPr>
                  </w:pPr>
                  <w:r w:rsidRPr="004176DE">
                    <w:rPr>
                      <w:rFonts w:cs="Arial"/>
                      <w:b/>
                    </w:rPr>
                    <w:t>BUPRENORPHINE/NALOXONE FILM</w:t>
                  </w:r>
                </w:p>
                <w:p w14:paraId="768F2C9A" w14:textId="77777777" w:rsidR="008F4B01" w:rsidRPr="004176DE" w:rsidRDefault="008F4B01" w:rsidP="008F4B01">
                  <w:pPr>
                    <w:pStyle w:val="DHHSbody"/>
                    <w:rPr>
                      <w:rFonts w:cs="Arial"/>
                    </w:rPr>
                  </w:pPr>
                </w:p>
                <w:p w14:paraId="6DAF0162" w14:textId="77777777" w:rsidR="008F4B01" w:rsidRPr="004176DE" w:rsidRDefault="008F4B01" w:rsidP="008F4B01">
                  <w:pPr>
                    <w:pStyle w:val="DHHSbody"/>
                    <w:rPr>
                      <w:rFonts w:cs="Arial"/>
                    </w:rPr>
                  </w:pPr>
                  <w:r w:rsidRPr="004176DE">
                    <w:rPr>
                      <w:rFonts w:cs="Arial"/>
                    </w:rPr>
                    <w:t xml:space="preserve">This container contains a single daily dose of 22 mg of buprenorphine to be taken by John Citizen. Take the contents of this container as a single dose dissolved </w:t>
                  </w:r>
                  <w:r w:rsidRPr="00440A0C">
                    <w:rPr>
                      <w:rFonts w:cs="Arial"/>
                    </w:rPr>
                    <w:t>under the tongue</w:t>
                  </w:r>
                  <w:r w:rsidRPr="004176DE">
                    <w:rPr>
                      <w:rFonts w:cs="Arial"/>
                    </w:rPr>
                    <w:t xml:space="preserve"> on 15 June 201</w:t>
                  </w:r>
                  <w:r>
                    <w:rPr>
                      <w:rFonts w:cs="Arial"/>
                    </w:rPr>
                    <w:t>6</w:t>
                  </w:r>
                  <w:r w:rsidRPr="004176DE">
                    <w:rPr>
                      <w:rFonts w:cs="Arial"/>
                    </w:rPr>
                    <w:t>.</w:t>
                  </w:r>
                </w:p>
                <w:p w14:paraId="6DD50D1A" w14:textId="77777777" w:rsidR="008F4B01" w:rsidRPr="004176DE" w:rsidRDefault="008F4B01" w:rsidP="008F4B01">
                  <w:pPr>
                    <w:pStyle w:val="DHHSbody"/>
                    <w:rPr>
                      <w:rFonts w:cs="Arial"/>
                    </w:rPr>
                  </w:pPr>
                </w:p>
                <w:p w14:paraId="21648C11" w14:textId="77777777" w:rsidR="008F4B01" w:rsidRPr="004176DE" w:rsidRDefault="008F4B01" w:rsidP="008F4B01">
                  <w:pPr>
                    <w:pStyle w:val="DHHSbody"/>
                    <w:rPr>
                      <w:rFonts w:cs="Arial"/>
                    </w:rPr>
                  </w:pPr>
                  <w:r w:rsidRPr="004176DE">
                    <w:rPr>
                      <w:rFonts w:cs="Arial"/>
                    </w:rPr>
                    <w:t>Prepared on 14 June 201</w:t>
                  </w:r>
                  <w:r>
                    <w:rPr>
                      <w:rFonts w:cs="Arial"/>
                    </w:rPr>
                    <w:t>6</w:t>
                  </w:r>
                </w:p>
                <w:p w14:paraId="295E3820" w14:textId="77777777" w:rsidR="008F4B01" w:rsidRPr="003D6A90" w:rsidRDefault="008F4B01" w:rsidP="008F4B01">
                  <w:pPr>
                    <w:pStyle w:val="DHHSbody"/>
                    <w:rPr>
                      <w:rFonts w:cs="Arial"/>
                      <w:color w:val="FF0000"/>
                    </w:rPr>
                  </w:pPr>
                  <w:r w:rsidRPr="003D6A90">
                    <w:rPr>
                      <w:rFonts w:cs="Arial"/>
                      <w:color w:val="FF0000"/>
                    </w:rPr>
                    <w:t>KEEP OUT OF REACH OF CHILDREN</w:t>
                  </w:r>
                </w:p>
                <w:p w14:paraId="1E9BF633" w14:textId="77777777" w:rsidR="008F4B01" w:rsidRPr="004176DE" w:rsidRDefault="008F4B01" w:rsidP="008F4B01">
                  <w:pPr>
                    <w:pStyle w:val="DHHSbody"/>
                    <w:rPr>
                      <w:rFonts w:cs="Arial"/>
                    </w:rPr>
                  </w:pPr>
                  <w:r w:rsidRPr="004176DE">
                    <w:rPr>
                      <w:rFonts w:cs="Arial"/>
                    </w:rPr>
                    <w:t xml:space="preserve">Pharmacy Name </w:t>
                  </w:r>
                </w:p>
                <w:p w14:paraId="6040BC72" w14:textId="77777777" w:rsidR="008F4B01" w:rsidRPr="004176DE" w:rsidRDefault="008F4B01" w:rsidP="008F4B01">
                  <w:pPr>
                    <w:pStyle w:val="DHHSbody"/>
                    <w:rPr>
                      <w:rFonts w:cs="Arial"/>
                    </w:rPr>
                  </w:pPr>
                  <w:r w:rsidRPr="004176DE">
                    <w:rPr>
                      <w:rFonts w:cs="Arial"/>
                    </w:rPr>
                    <w:t>Address &amp; Phone Number</w:t>
                  </w:r>
                </w:p>
                <w:p w14:paraId="2E8A4AEA" w14:textId="77777777" w:rsidR="008F4B01" w:rsidRPr="004176DE" w:rsidRDefault="008F4B01" w:rsidP="008F4B01">
                  <w:pPr>
                    <w:pStyle w:val="DHHSbody"/>
                    <w:rPr>
                      <w:rFonts w:cs="Arial"/>
                    </w:rPr>
                  </w:pPr>
                  <w:r w:rsidRPr="004176DE">
                    <w:rPr>
                      <w:rFonts w:cs="Arial"/>
                    </w:rPr>
                    <w:t>Pharmacist ID</w:t>
                  </w:r>
                </w:p>
                <w:p w14:paraId="0A68C342" w14:textId="77777777" w:rsidR="008F4B01" w:rsidRPr="004176DE" w:rsidRDefault="008F4B01" w:rsidP="008F4B01">
                  <w:pPr>
                    <w:pStyle w:val="DHHSbody"/>
                    <w:rPr>
                      <w:rFonts w:cs="Arial"/>
                    </w:rPr>
                  </w:pPr>
                </w:p>
              </w:tc>
            </w:tr>
            <w:tr w:rsidR="008F4B01" w:rsidRPr="004176DE" w14:paraId="46F5A9F6" w14:textId="77777777" w:rsidTr="008F4B01">
              <w:trPr>
                <w:jc w:val="center"/>
              </w:trPr>
              <w:tc>
                <w:tcPr>
                  <w:tcW w:w="5688" w:type="dxa"/>
                </w:tcPr>
                <w:p w14:paraId="510BA63F" w14:textId="77777777" w:rsidR="008F4B01" w:rsidRPr="004176DE" w:rsidRDefault="008F4B01" w:rsidP="008F4B01">
                  <w:pPr>
                    <w:pStyle w:val="DHHSbody"/>
                    <w:rPr>
                      <w:rFonts w:cs="Arial"/>
                    </w:rPr>
                  </w:pPr>
                  <w:r w:rsidRPr="004176DE">
                    <w:rPr>
                      <w:rFonts w:cs="Arial"/>
                    </w:rPr>
                    <w:lastRenderedPageBreak/>
                    <w:t xml:space="preserve">“This medication may cause drowsiness and may increase the effects of alcohol. If affected do not drive a motor vehicle or operate machinery.” </w:t>
                  </w:r>
                  <w:r w:rsidRPr="004176DE">
                    <w:rPr>
                      <w:rFonts w:cs="Arial"/>
                      <w:i/>
                    </w:rPr>
                    <w:t>(commonly on an ancillary label)</w:t>
                  </w:r>
                </w:p>
              </w:tc>
            </w:tr>
            <w:tr w:rsidR="008F4B01" w:rsidRPr="004176DE" w14:paraId="282895DF" w14:textId="77777777" w:rsidTr="008F4B01">
              <w:trPr>
                <w:jc w:val="center"/>
              </w:trPr>
              <w:tc>
                <w:tcPr>
                  <w:tcW w:w="5688" w:type="dxa"/>
                </w:tcPr>
                <w:p w14:paraId="59860B7F" w14:textId="77777777" w:rsidR="008F4B01" w:rsidRPr="004176DE" w:rsidRDefault="008F4B01" w:rsidP="008F4B01">
                  <w:pPr>
                    <w:pStyle w:val="DHHSbody"/>
                    <w:rPr>
                      <w:rFonts w:cs="Arial"/>
                    </w:rPr>
                  </w:pPr>
                  <w:r w:rsidRPr="004176DE">
                    <w:rPr>
                      <w:rFonts w:cs="Arial"/>
                    </w:rPr>
                    <w:t>“May cause death or injury if taken by another person”</w:t>
                  </w:r>
                </w:p>
                <w:p w14:paraId="0673EBC5" w14:textId="77777777" w:rsidR="008F4B01" w:rsidRPr="004176DE" w:rsidRDefault="008F4B01" w:rsidP="008F4B01">
                  <w:pPr>
                    <w:pStyle w:val="DHHSbody"/>
                    <w:rPr>
                      <w:rFonts w:cs="Arial"/>
                      <w:i/>
                    </w:rPr>
                  </w:pPr>
                  <w:r w:rsidRPr="004176DE">
                    <w:rPr>
                      <w:rFonts w:cs="Arial"/>
                      <w:i/>
                    </w:rPr>
                    <w:t>(on an ancillary label or the main label)</w:t>
                  </w:r>
                </w:p>
              </w:tc>
            </w:tr>
          </w:tbl>
          <w:p w14:paraId="380A536B" w14:textId="77777777" w:rsidR="008F4B01" w:rsidRDefault="008F4B01" w:rsidP="008F4B01">
            <w:pPr>
              <w:pStyle w:val="DHHSbody"/>
              <w:rPr>
                <w:rFonts w:cs="Arial"/>
              </w:rPr>
            </w:pPr>
          </w:p>
          <w:p w14:paraId="7F2F0DAE" w14:textId="77777777" w:rsidR="008F4B01" w:rsidRPr="004176DE" w:rsidRDefault="008F4B01" w:rsidP="008F4B01">
            <w:pPr>
              <w:pStyle w:val="DHHSbody"/>
              <w:jc w:val="center"/>
              <w:rPr>
                <w:rFonts w:cs="Arial"/>
              </w:rPr>
            </w:pPr>
            <w:r>
              <w:rPr>
                <w:rFonts w:cs="Arial"/>
              </w:rPr>
              <w:t>***</w:t>
            </w:r>
          </w:p>
          <w:p w14:paraId="4B2CB5EF" w14:textId="77777777" w:rsidR="008F4B01" w:rsidRPr="004176DE" w:rsidRDefault="008F4B01" w:rsidP="008F4B01">
            <w:pPr>
              <w:pStyle w:val="DHHSbody"/>
              <w:rPr>
                <w:rFonts w:cs="Arial"/>
              </w:rPr>
            </w:pPr>
            <w:r w:rsidRPr="001A2DE1">
              <w:rPr>
                <w:rFonts w:cs="Arial"/>
                <w:b/>
              </w:rPr>
              <w:t>Alternatively</w:t>
            </w:r>
            <w:r w:rsidRPr="004176DE">
              <w:rPr>
                <w:rFonts w:cs="Arial"/>
              </w:rPr>
              <w:t xml:space="preserve">, buprenorphine/naloxone take-away doses may be packaged for multiple days of unsupervised dosing. However, if the patient is required to take different strengths of preparation (i.e. a combination of </w:t>
            </w:r>
            <w:r>
              <w:rPr>
                <w:rFonts w:cs="Arial"/>
              </w:rPr>
              <w:t xml:space="preserve">the </w:t>
            </w:r>
            <w:r w:rsidRPr="004176DE">
              <w:rPr>
                <w:rFonts w:cs="Arial"/>
              </w:rPr>
              <w:t>2</w:t>
            </w:r>
            <w:r>
              <w:rPr>
                <w:rFonts w:cs="Arial"/>
              </w:rPr>
              <w:t xml:space="preserve"> </w:t>
            </w:r>
            <w:r w:rsidRPr="004176DE">
              <w:rPr>
                <w:rFonts w:cs="Arial"/>
              </w:rPr>
              <w:t>mg and 8</w:t>
            </w:r>
            <w:r>
              <w:rPr>
                <w:rFonts w:cs="Arial"/>
              </w:rPr>
              <w:t xml:space="preserve"> </w:t>
            </w:r>
            <w:r w:rsidRPr="004176DE">
              <w:rPr>
                <w:rFonts w:cs="Arial"/>
              </w:rPr>
              <w:t xml:space="preserve">mg films), the different strengths of films </w:t>
            </w:r>
            <w:r w:rsidR="00422D4A">
              <w:rPr>
                <w:rFonts w:cs="Arial"/>
              </w:rPr>
              <w:t>are to be</w:t>
            </w:r>
            <w:r w:rsidRPr="004176DE">
              <w:rPr>
                <w:rFonts w:cs="Arial"/>
              </w:rPr>
              <w:t xml:space="preserve"> packaged separately. Ensure that the patient is aware of the dosing instructions for both strengths of film to achieve the correct daily dose of buprenorphine.</w:t>
            </w:r>
          </w:p>
          <w:p w14:paraId="0D4C770E" w14:textId="77777777" w:rsidR="00FF42FD" w:rsidRDefault="008F4B01" w:rsidP="008F4B01">
            <w:pPr>
              <w:pStyle w:val="DHHSbody"/>
              <w:rPr>
                <w:rFonts w:cs="Arial"/>
              </w:rPr>
            </w:pPr>
            <w:r w:rsidRPr="004176DE">
              <w:rPr>
                <w:rFonts w:cs="Arial"/>
              </w:rPr>
              <w:t xml:space="preserve">The following example </w:t>
            </w:r>
            <w:r>
              <w:rPr>
                <w:rFonts w:cs="Arial"/>
              </w:rPr>
              <w:t>includes</w:t>
            </w:r>
            <w:r w:rsidRPr="004176DE">
              <w:rPr>
                <w:rFonts w:cs="Arial"/>
              </w:rPr>
              <w:t xml:space="preserve"> the key requirements for the labelling of buprenorphine/naloxone take-away doses of 22</w:t>
            </w:r>
            <w:r>
              <w:rPr>
                <w:rFonts w:cs="Arial"/>
              </w:rPr>
              <w:t xml:space="preserve"> </w:t>
            </w:r>
            <w:r w:rsidRPr="004176DE">
              <w:rPr>
                <w:rFonts w:cs="Arial"/>
              </w:rPr>
              <w:t>mg daily packaged in two separate containers for multip</w:t>
            </w:r>
            <w:r w:rsidR="00FF42FD">
              <w:rPr>
                <w:rFonts w:cs="Arial"/>
              </w:rPr>
              <w:t>le days of unsupervised dosing.</w:t>
            </w:r>
          </w:p>
          <w:p w14:paraId="498016C6" w14:textId="77777777" w:rsidR="00FF42FD" w:rsidRPr="004176DE" w:rsidRDefault="00FF42FD" w:rsidP="008F4B01">
            <w:pPr>
              <w:pStyle w:val="DHHSbody"/>
              <w:rPr>
                <w:rFonts w:cs="Arial"/>
              </w:rPr>
            </w:pPr>
          </w:p>
          <w:tbl>
            <w:tblPr>
              <w:tblStyle w:val="TableGrid"/>
              <w:tblW w:w="0" w:type="auto"/>
              <w:tblLook w:val="01E0" w:firstRow="1" w:lastRow="1" w:firstColumn="1" w:lastColumn="1" w:noHBand="0" w:noVBand="0"/>
            </w:tblPr>
            <w:tblGrid>
              <w:gridCol w:w="4578"/>
              <w:gridCol w:w="351"/>
              <w:gridCol w:w="4497"/>
            </w:tblGrid>
            <w:tr w:rsidR="008F4B01" w:rsidRPr="004176DE" w14:paraId="0FAA9DD3" w14:textId="77777777" w:rsidTr="008F4B01">
              <w:tc>
                <w:tcPr>
                  <w:tcW w:w="4675" w:type="dxa"/>
                </w:tcPr>
                <w:p w14:paraId="51F676BB" w14:textId="77777777" w:rsidR="008F4B01" w:rsidRPr="004176DE" w:rsidRDefault="008F4B01" w:rsidP="008F4B01">
                  <w:pPr>
                    <w:pStyle w:val="DHHSbody"/>
                    <w:rPr>
                      <w:rFonts w:cs="Arial"/>
                      <w:b/>
                      <w:lang w:val="it-IT"/>
                    </w:rPr>
                  </w:pPr>
                  <w:r w:rsidRPr="004176DE">
                    <w:rPr>
                      <w:rFonts w:cs="Arial"/>
                      <w:b/>
                      <w:lang w:val="it-IT"/>
                    </w:rPr>
                    <w:t>BUPRENORPHINE/NALOXONE FILM 8</w:t>
                  </w:r>
                  <w:r>
                    <w:rPr>
                      <w:rFonts w:cs="Arial"/>
                      <w:b/>
                      <w:lang w:val="it-IT"/>
                    </w:rPr>
                    <w:t xml:space="preserve"> </w:t>
                  </w:r>
                  <w:r w:rsidRPr="004176DE">
                    <w:rPr>
                      <w:rFonts w:cs="Arial"/>
                      <w:b/>
                      <w:lang w:val="it-IT"/>
                    </w:rPr>
                    <w:t>mg (Qty 6)</w:t>
                  </w:r>
                </w:p>
                <w:p w14:paraId="7735C4BD" w14:textId="77777777" w:rsidR="008F4B01" w:rsidRPr="004176DE" w:rsidRDefault="008F4B01" w:rsidP="008F4B01">
                  <w:pPr>
                    <w:pStyle w:val="DHHSbody"/>
                    <w:rPr>
                      <w:rFonts w:cs="Arial"/>
                      <w:lang w:val="it-IT"/>
                    </w:rPr>
                  </w:pPr>
                </w:p>
                <w:p w14:paraId="64C97A93" w14:textId="77777777" w:rsidR="008F4B01" w:rsidRPr="004176DE" w:rsidRDefault="008F4B01" w:rsidP="008F4B01">
                  <w:pPr>
                    <w:pStyle w:val="DHHSbody"/>
                    <w:rPr>
                      <w:rFonts w:cs="Arial"/>
                    </w:rPr>
                  </w:pPr>
                  <w:r w:rsidRPr="004176DE">
                    <w:rPr>
                      <w:rFonts w:cs="Arial"/>
                    </w:rPr>
                    <w:t>Dissolve under the tongue TWO films each day.</w:t>
                  </w:r>
                </w:p>
                <w:p w14:paraId="2070333E" w14:textId="77777777" w:rsidR="008F4B01" w:rsidRPr="004176DE" w:rsidRDefault="008F4B01" w:rsidP="008F4B01">
                  <w:pPr>
                    <w:pStyle w:val="DHHSbody"/>
                    <w:rPr>
                      <w:rFonts w:cs="Arial"/>
                    </w:rPr>
                  </w:pPr>
                </w:p>
                <w:p w14:paraId="0B6AA333" w14:textId="77777777" w:rsidR="008F4B01" w:rsidRPr="004176DE" w:rsidRDefault="008F4B01" w:rsidP="008F4B01">
                  <w:pPr>
                    <w:pStyle w:val="DHHSbody"/>
                    <w:rPr>
                      <w:rFonts w:cs="Arial"/>
                    </w:rPr>
                  </w:pPr>
                  <w:r w:rsidRPr="004176DE">
                    <w:rPr>
                      <w:rFonts w:cs="Arial"/>
                    </w:rPr>
                    <w:t>To be taken on 15 June, 16 June and 17 June 201</w:t>
                  </w:r>
                  <w:r>
                    <w:rPr>
                      <w:rFonts w:cs="Arial"/>
                    </w:rPr>
                    <w:t>6</w:t>
                  </w:r>
                  <w:r w:rsidRPr="004176DE">
                    <w:rPr>
                      <w:rFonts w:cs="Arial"/>
                    </w:rPr>
                    <w:t xml:space="preserve"> by John Citizen.</w:t>
                  </w:r>
                </w:p>
                <w:p w14:paraId="15038E8E" w14:textId="77777777" w:rsidR="008F4B01" w:rsidRPr="004176DE" w:rsidRDefault="008F4B01" w:rsidP="008F4B01">
                  <w:pPr>
                    <w:pStyle w:val="DHHSbody"/>
                    <w:rPr>
                      <w:rFonts w:cs="Arial"/>
                    </w:rPr>
                  </w:pPr>
                </w:p>
                <w:p w14:paraId="4480ABD0" w14:textId="77777777" w:rsidR="008F4B01" w:rsidRPr="004176DE" w:rsidRDefault="008F4B01" w:rsidP="008F4B01">
                  <w:pPr>
                    <w:pStyle w:val="DHHSbody"/>
                    <w:rPr>
                      <w:rFonts w:cs="Arial"/>
                    </w:rPr>
                  </w:pPr>
                  <w:r w:rsidRPr="004176DE">
                    <w:rPr>
                      <w:rFonts w:cs="Arial"/>
                    </w:rPr>
                    <w:t xml:space="preserve">(Please </w:t>
                  </w:r>
                  <w:proofErr w:type="gramStart"/>
                  <w:r w:rsidRPr="004176DE">
                    <w:rPr>
                      <w:rFonts w:cs="Arial"/>
                    </w:rPr>
                    <w:t>note:</w:t>
                  </w:r>
                  <w:proofErr w:type="gramEnd"/>
                  <w:r w:rsidRPr="004176DE">
                    <w:rPr>
                      <w:rFonts w:cs="Arial"/>
                    </w:rPr>
                    <w:t xml:space="preserve"> buprenorphine/naloxone 2</w:t>
                  </w:r>
                  <w:r>
                    <w:rPr>
                      <w:rFonts w:cs="Arial"/>
                    </w:rPr>
                    <w:t xml:space="preserve"> </w:t>
                  </w:r>
                  <w:r w:rsidRPr="004176DE">
                    <w:rPr>
                      <w:rFonts w:cs="Arial"/>
                    </w:rPr>
                    <w:t>mg films are packaged separately)</w:t>
                  </w:r>
                </w:p>
                <w:p w14:paraId="174C1651" w14:textId="77777777" w:rsidR="008F4B01" w:rsidRPr="004176DE" w:rsidRDefault="008F4B01" w:rsidP="008F4B01">
                  <w:pPr>
                    <w:pStyle w:val="DHHSbody"/>
                    <w:rPr>
                      <w:rFonts w:cs="Arial"/>
                    </w:rPr>
                  </w:pPr>
                </w:p>
                <w:p w14:paraId="5D00ED67" w14:textId="77777777" w:rsidR="008F4B01" w:rsidRPr="004176DE" w:rsidRDefault="008F4B01" w:rsidP="008F4B01">
                  <w:pPr>
                    <w:pStyle w:val="DHHSbody"/>
                    <w:rPr>
                      <w:rFonts w:cs="Arial"/>
                    </w:rPr>
                  </w:pPr>
                  <w:r w:rsidRPr="004176DE">
                    <w:rPr>
                      <w:rFonts w:cs="Arial"/>
                    </w:rPr>
                    <w:t>Prepared on 14 June 201</w:t>
                  </w:r>
                  <w:r>
                    <w:rPr>
                      <w:rFonts w:cs="Arial"/>
                    </w:rPr>
                    <w:t>6</w:t>
                  </w:r>
                </w:p>
                <w:p w14:paraId="07A0694E" w14:textId="77777777" w:rsidR="008F4B01" w:rsidRPr="004176DE" w:rsidRDefault="008F4B01" w:rsidP="008F4B01">
                  <w:pPr>
                    <w:pStyle w:val="DHHSbody"/>
                    <w:rPr>
                      <w:rFonts w:cs="Arial"/>
                    </w:rPr>
                  </w:pPr>
                </w:p>
                <w:p w14:paraId="2FF4837E" w14:textId="77777777" w:rsidR="008F4B01" w:rsidRPr="003D6A90" w:rsidRDefault="008F4B01" w:rsidP="008F4B01">
                  <w:pPr>
                    <w:pStyle w:val="DHHSbody"/>
                    <w:rPr>
                      <w:rFonts w:cs="Arial"/>
                      <w:color w:val="FF0000"/>
                    </w:rPr>
                  </w:pPr>
                  <w:r w:rsidRPr="003D6A90">
                    <w:rPr>
                      <w:rFonts w:cs="Arial"/>
                      <w:color w:val="FF0000"/>
                    </w:rPr>
                    <w:t>KEEP OUT OF REACH OF CHILDREN</w:t>
                  </w:r>
                </w:p>
                <w:p w14:paraId="52654E6A" w14:textId="77777777" w:rsidR="008F4B01" w:rsidRPr="004176DE" w:rsidRDefault="008F4B01" w:rsidP="008F4B01">
                  <w:pPr>
                    <w:pStyle w:val="DHHSbody"/>
                    <w:rPr>
                      <w:rFonts w:cs="Arial"/>
                    </w:rPr>
                  </w:pPr>
                  <w:r w:rsidRPr="004176DE">
                    <w:rPr>
                      <w:rFonts w:cs="Arial"/>
                    </w:rPr>
                    <w:t xml:space="preserve">Pharmacy Name </w:t>
                  </w:r>
                </w:p>
                <w:p w14:paraId="137E29F4" w14:textId="77777777" w:rsidR="008F4B01" w:rsidRPr="004176DE" w:rsidRDefault="008F4B01" w:rsidP="008F4B01">
                  <w:pPr>
                    <w:pStyle w:val="DHHSbody"/>
                    <w:rPr>
                      <w:rFonts w:cs="Arial"/>
                    </w:rPr>
                  </w:pPr>
                  <w:r w:rsidRPr="004176DE">
                    <w:rPr>
                      <w:rFonts w:cs="Arial"/>
                    </w:rPr>
                    <w:t>Address &amp; Phone Number</w:t>
                  </w:r>
                </w:p>
                <w:p w14:paraId="6A1C2944" w14:textId="77777777" w:rsidR="008F4B01" w:rsidRPr="004176DE" w:rsidRDefault="008F4B01" w:rsidP="008F4B01">
                  <w:pPr>
                    <w:pStyle w:val="DHHSbody"/>
                    <w:rPr>
                      <w:rFonts w:cs="Arial"/>
                    </w:rPr>
                  </w:pPr>
                  <w:r w:rsidRPr="004176DE">
                    <w:rPr>
                      <w:rFonts w:cs="Arial"/>
                    </w:rPr>
                    <w:t>Pharmacist ID</w:t>
                  </w:r>
                </w:p>
              </w:tc>
              <w:tc>
                <w:tcPr>
                  <w:tcW w:w="360" w:type="dxa"/>
                  <w:tcBorders>
                    <w:top w:val="nil"/>
                    <w:bottom w:val="nil"/>
                  </w:tcBorders>
                </w:tcPr>
                <w:p w14:paraId="5567F550" w14:textId="77777777" w:rsidR="008F4B01" w:rsidRPr="004176DE" w:rsidRDefault="008F4B01" w:rsidP="008F4B01">
                  <w:pPr>
                    <w:pStyle w:val="DHHSbody"/>
                    <w:rPr>
                      <w:rFonts w:cs="Arial"/>
                    </w:rPr>
                  </w:pPr>
                </w:p>
              </w:tc>
              <w:tc>
                <w:tcPr>
                  <w:tcW w:w="4588" w:type="dxa"/>
                </w:tcPr>
                <w:p w14:paraId="103ACF37" w14:textId="77777777" w:rsidR="008F4B01" w:rsidRPr="004176DE" w:rsidRDefault="008F4B01" w:rsidP="008F4B01">
                  <w:pPr>
                    <w:pStyle w:val="DHHSbody"/>
                    <w:rPr>
                      <w:rFonts w:cs="Arial"/>
                      <w:b/>
                      <w:lang w:val="it-IT"/>
                    </w:rPr>
                  </w:pPr>
                  <w:r w:rsidRPr="004176DE">
                    <w:rPr>
                      <w:rFonts w:cs="Arial"/>
                      <w:b/>
                      <w:lang w:val="it-IT"/>
                    </w:rPr>
                    <w:t>BUPRENORPHINE/NALOXONE FILM 2</w:t>
                  </w:r>
                  <w:r>
                    <w:rPr>
                      <w:rFonts w:cs="Arial"/>
                      <w:b/>
                      <w:lang w:val="it-IT"/>
                    </w:rPr>
                    <w:t xml:space="preserve"> </w:t>
                  </w:r>
                  <w:r w:rsidRPr="004176DE">
                    <w:rPr>
                      <w:rFonts w:cs="Arial"/>
                      <w:b/>
                      <w:lang w:val="it-IT"/>
                    </w:rPr>
                    <w:t>mg (Qty 9)</w:t>
                  </w:r>
                </w:p>
                <w:p w14:paraId="3B2C1998" w14:textId="77777777" w:rsidR="008F4B01" w:rsidRPr="004176DE" w:rsidRDefault="008F4B01" w:rsidP="008F4B01">
                  <w:pPr>
                    <w:pStyle w:val="DHHSbody"/>
                    <w:rPr>
                      <w:rFonts w:cs="Arial"/>
                      <w:lang w:val="it-IT"/>
                    </w:rPr>
                  </w:pPr>
                </w:p>
                <w:p w14:paraId="25DEA0EE" w14:textId="77777777" w:rsidR="008F4B01" w:rsidRPr="004176DE" w:rsidRDefault="008F4B01" w:rsidP="008F4B01">
                  <w:pPr>
                    <w:pStyle w:val="DHHSbody"/>
                    <w:rPr>
                      <w:rFonts w:cs="Arial"/>
                    </w:rPr>
                  </w:pPr>
                  <w:r w:rsidRPr="004176DE">
                    <w:rPr>
                      <w:rFonts w:cs="Arial"/>
                    </w:rPr>
                    <w:t>Dissolve under the tongue THREE films each day.</w:t>
                  </w:r>
                </w:p>
                <w:p w14:paraId="68D09397" w14:textId="77777777" w:rsidR="008F4B01" w:rsidRPr="004176DE" w:rsidRDefault="008F4B01" w:rsidP="008F4B01">
                  <w:pPr>
                    <w:pStyle w:val="DHHSbody"/>
                    <w:rPr>
                      <w:rFonts w:cs="Arial"/>
                    </w:rPr>
                  </w:pPr>
                  <w:r w:rsidRPr="004176DE">
                    <w:rPr>
                      <w:rFonts w:cs="Arial"/>
                    </w:rPr>
                    <w:t>To be taken on 15 June, 16 June and 17 June 201</w:t>
                  </w:r>
                  <w:r>
                    <w:rPr>
                      <w:rFonts w:cs="Arial"/>
                    </w:rPr>
                    <w:t>6</w:t>
                  </w:r>
                  <w:r w:rsidRPr="004176DE">
                    <w:rPr>
                      <w:rFonts w:cs="Arial"/>
                    </w:rPr>
                    <w:t xml:space="preserve"> by John Citizen.</w:t>
                  </w:r>
                </w:p>
                <w:p w14:paraId="24BAEC7C" w14:textId="77777777" w:rsidR="008F4B01" w:rsidRPr="004176DE" w:rsidRDefault="008F4B01" w:rsidP="008F4B01">
                  <w:pPr>
                    <w:pStyle w:val="DHHSbody"/>
                    <w:rPr>
                      <w:rFonts w:cs="Arial"/>
                    </w:rPr>
                  </w:pPr>
                </w:p>
                <w:p w14:paraId="320F28B7" w14:textId="77777777" w:rsidR="008F4B01" w:rsidRPr="004176DE" w:rsidRDefault="008F4B01" w:rsidP="008F4B01">
                  <w:pPr>
                    <w:pStyle w:val="DHHSbody"/>
                    <w:rPr>
                      <w:rFonts w:cs="Arial"/>
                    </w:rPr>
                  </w:pPr>
                  <w:r w:rsidRPr="004176DE">
                    <w:rPr>
                      <w:rFonts w:cs="Arial"/>
                    </w:rPr>
                    <w:t xml:space="preserve">(Please </w:t>
                  </w:r>
                  <w:proofErr w:type="gramStart"/>
                  <w:r w:rsidRPr="004176DE">
                    <w:rPr>
                      <w:rFonts w:cs="Arial"/>
                    </w:rPr>
                    <w:t>note:</w:t>
                  </w:r>
                  <w:proofErr w:type="gramEnd"/>
                  <w:r w:rsidRPr="004176DE">
                    <w:rPr>
                      <w:rFonts w:cs="Arial"/>
                    </w:rPr>
                    <w:t xml:space="preserve"> buprenorphine/naloxone 8</w:t>
                  </w:r>
                  <w:r>
                    <w:rPr>
                      <w:rFonts w:cs="Arial"/>
                    </w:rPr>
                    <w:t xml:space="preserve"> </w:t>
                  </w:r>
                  <w:r w:rsidRPr="004176DE">
                    <w:rPr>
                      <w:rFonts w:cs="Arial"/>
                    </w:rPr>
                    <w:t>mg films are packaged separately)</w:t>
                  </w:r>
                </w:p>
                <w:p w14:paraId="0A99BBE4" w14:textId="77777777" w:rsidR="008F4B01" w:rsidRDefault="008F4B01" w:rsidP="008F4B01">
                  <w:pPr>
                    <w:pStyle w:val="DHHSbody"/>
                    <w:rPr>
                      <w:rFonts w:cs="Arial"/>
                    </w:rPr>
                  </w:pPr>
                </w:p>
                <w:p w14:paraId="46C9D146" w14:textId="77777777" w:rsidR="008F4B01" w:rsidRPr="004176DE" w:rsidRDefault="008F4B01" w:rsidP="008F4B01">
                  <w:pPr>
                    <w:pStyle w:val="DHHSbody"/>
                    <w:rPr>
                      <w:rFonts w:cs="Arial"/>
                    </w:rPr>
                  </w:pPr>
                  <w:r w:rsidRPr="004176DE">
                    <w:rPr>
                      <w:rFonts w:cs="Arial"/>
                    </w:rPr>
                    <w:t>Prepared on 14 June 201</w:t>
                  </w:r>
                  <w:r>
                    <w:rPr>
                      <w:rFonts w:cs="Arial"/>
                    </w:rPr>
                    <w:t>6</w:t>
                  </w:r>
                </w:p>
                <w:p w14:paraId="476E5427" w14:textId="77777777" w:rsidR="008F4B01" w:rsidRPr="004176DE" w:rsidRDefault="008F4B01" w:rsidP="008F4B01">
                  <w:pPr>
                    <w:pStyle w:val="DHHSbody"/>
                    <w:rPr>
                      <w:rFonts w:cs="Arial"/>
                    </w:rPr>
                  </w:pPr>
                </w:p>
                <w:p w14:paraId="6E9F4152" w14:textId="77777777" w:rsidR="008F4B01" w:rsidRPr="003D6A90" w:rsidRDefault="008F4B01" w:rsidP="008F4B01">
                  <w:pPr>
                    <w:pStyle w:val="DHHSbody"/>
                    <w:rPr>
                      <w:rFonts w:cs="Arial"/>
                      <w:color w:val="FF0000"/>
                    </w:rPr>
                  </w:pPr>
                  <w:r w:rsidRPr="003D6A90">
                    <w:rPr>
                      <w:rFonts w:cs="Arial"/>
                      <w:color w:val="FF0000"/>
                    </w:rPr>
                    <w:t>KEEP OUT OF REACH OF CHILDREN</w:t>
                  </w:r>
                </w:p>
                <w:p w14:paraId="6E99C8DE" w14:textId="77777777" w:rsidR="008F4B01" w:rsidRPr="004176DE" w:rsidRDefault="008F4B01" w:rsidP="008F4B01">
                  <w:pPr>
                    <w:pStyle w:val="DHHSbody"/>
                    <w:rPr>
                      <w:rFonts w:cs="Arial"/>
                    </w:rPr>
                  </w:pPr>
                  <w:r w:rsidRPr="004176DE">
                    <w:rPr>
                      <w:rFonts w:cs="Arial"/>
                    </w:rPr>
                    <w:t xml:space="preserve">Pharmacy Name </w:t>
                  </w:r>
                </w:p>
                <w:p w14:paraId="1CBBE403" w14:textId="77777777" w:rsidR="008F4B01" w:rsidRPr="004176DE" w:rsidRDefault="008F4B01" w:rsidP="008F4B01">
                  <w:pPr>
                    <w:pStyle w:val="DHHSbody"/>
                    <w:rPr>
                      <w:rFonts w:cs="Arial"/>
                    </w:rPr>
                  </w:pPr>
                  <w:r w:rsidRPr="004176DE">
                    <w:rPr>
                      <w:rFonts w:cs="Arial"/>
                    </w:rPr>
                    <w:t>Address &amp; Phone Number</w:t>
                  </w:r>
                </w:p>
                <w:p w14:paraId="6F270833" w14:textId="77777777" w:rsidR="008F4B01" w:rsidRPr="004176DE" w:rsidRDefault="008F4B01" w:rsidP="008F4B01">
                  <w:pPr>
                    <w:pStyle w:val="DHHSbody"/>
                    <w:rPr>
                      <w:rFonts w:cs="Arial"/>
                    </w:rPr>
                  </w:pPr>
                  <w:r w:rsidRPr="004176DE">
                    <w:rPr>
                      <w:rFonts w:cs="Arial"/>
                    </w:rPr>
                    <w:t>Pharmacist ID</w:t>
                  </w:r>
                </w:p>
                <w:p w14:paraId="477286CF" w14:textId="77777777" w:rsidR="008F4B01" w:rsidRPr="004176DE" w:rsidRDefault="008F4B01" w:rsidP="008F4B01">
                  <w:pPr>
                    <w:pStyle w:val="DHHSbody"/>
                    <w:rPr>
                      <w:rFonts w:cs="Arial"/>
                    </w:rPr>
                  </w:pPr>
                </w:p>
              </w:tc>
            </w:tr>
            <w:tr w:rsidR="008F4B01" w:rsidRPr="004176DE" w14:paraId="6C4CEC84" w14:textId="77777777" w:rsidTr="008F4B01">
              <w:tc>
                <w:tcPr>
                  <w:tcW w:w="4675" w:type="dxa"/>
                </w:tcPr>
                <w:p w14:paraId="1F756D57" w14:textId="77777777" w:rsidR="008F4B01" w:rsidRPr="004176DE" w:rsidRDefault="008F4B01" w:rsidP="008F4B01">
                  <w:pPr>
                    <w:pStyle w:val="DHHSbody"/>
                    <w:rPr>
                      <w:rFonts w:cs="Arial"/>
                      <w:b/>
                    </w:rPr>
                  </w:pPr>
                  <w:r w:rsidRPr="004176DE">
                    <w:rPr>
                      <w:rFonts w:cs="Arial"/>
                    </w:rPr>
                    <w:t xml:space="preserve">“This medication may cause drowsiness and may increase the effects of alcohol. If affected do not drive a motor vehicle or operate machinery.” </w:t>
                  </w:r>
                  <w:r w:rsidRPr="004176DE">
                    <w:rPr>
                      <w:rFonts w:cs="Arial"/>
                      <w:i/>
                    </w:rPr>
                    <w:t>(commonly on an ancillary label)</w:t>
                  </w:r>
                </w:p>
              </w:tc>
              <w:tc>
                <w:tcPr>
                  <w:tcW w:w="360" w:type="dxa"/>
                  <w:tcBorders>
                    <w:top w:val="nil"/>
                    <w:bottom w:val="nil"/>
                  </w:tcBorders>
                </w:tcPr>
                <w:p w14:paraId="76F0533B" w14:textId="77777777" w:rsidR="008F4B01" w:rsidRPr="004176DE" w:rsidRDefault="008F4B01" w:rsidP="008F4B01">
                  <w:pPr>
                    <w:pStyle w:val="DHHSbody"/>
                    <w:rPr>
                      <w:rFonts w:cs="Arial"/>
                    </w:rPr>
                  </w:pPr>
                </w:p>
              </w:tc>
              <w:tc>
                <w:tcPr>
                  <w:tcW w:w="4588" w:type="dxa"/>
                </w:tcPr>
                <w:p w14:paraId="7CB5FA36" w14:textId="77777777" w:rsidR="008F4B01" w:rsidRPr="004176DE" w:rsidRDefault="008F4B01" w:rsidP="008F4B01">
                  <w:pPr>
                    <w:pStyle w:val="DHHSbody"/>
                    <w:rPr>
                      <w:rFonts w:cs="Arial"/>
                      <w:b/>
                    </w:rPr>
                  </w:pPr>
                  <w:r w:rsidRPr="004176DE">
                    <w:rPr>
                      <w:rFonts w:cs="Arial"/>
                    </w:rPr>
                    <w:t xml:space="preserve">“This medication may cause drowsiness and may increase the effects of alcohol. If affected do not drive a motor vehicle or operate machinery.” </w:t>
                  </w:r>
                  <w:r w:rsidRPr="004176DE">
                    <w:rPr>
                      <w:rFonts w:cs="Arial"/>
                      <w:i/>
                    </w:rPr>
                    <w:t>(commonly on an ancillary label)</w:t>
                  </w:r>
                </w:p>
              </w:tc>
            </w:tr>
            <w:tr w:rsidR="008F4B01" w:rsidRPr="004176DE" w14:paraId="30A3B486" w14:textId="77777777" w:rsidTr="008F4B01">
              <w:tc>
                <w:tcPr>
                  <w:tcW w:w="4675" w:type="dxa"/>
                </w:tcPr>
                <w:p w14:paraId="5E1A6A61" w14:textId="77777777" w:rsidR="008F4B01" w:rsidRPr="004176DE" w:rsidRDefault="008F4B01" w:rsidP="008F4B01">
                  <w:pPr>
                    <w:pStyle w:val="DHHSbody"/>
                    <w:rPr>
                      <w:rFonts w:cs="Arial"/>
                    </w:rPr>
                  </w:pPr>
                  <w:r w:rsidRPr="004176DE">
                    <w:rPr>
                      <w:rFonts w:cs="Arial"/>
                    </w:rPr>
                    <w:t>“May cause death or injury if taken by another person”</w:t>
                  </w:r>
                  <w:r>
                    <w:rPr>
                      <w:rFonts w:cs="Arial"/>
                    </w:rPr>
                    <w:t xml:space="preserve"> </w:t>
                  </w:r>
                  <w:r w:rsidRPr="004176DE">
                    <w:rPr>
                      <w:rFonts w:cs="Arial"/>
                      <w:i/>
                    </w:rPr>
                    <w:t>(on an ancillary label or the main label)</w:t>
                  </w:r>
                </w:p>
              </w:tc>
              <w:tc>
                <w:tcPr>
                  <w:tcW w:w="360" w:type="dxa"/>
                  <w:tcBorders>
                    <w:top w:val="nil"/>
                    <w:bottom w:val="nil"/>
                  </w:tcBorders>
                </w:tcPr>
                <w:p w14:paraId="366FF0C4" w14:textId="77777777" w:rsidR="008F4B01" w:rsidRPr="004176DE" w:rsidRDefault="008F4B01" w:rsidP="008F4B01">
                  <w:pPr>
                    <w:pStyle w:val="DHHSbody"/>
                    <w:rPr>
                      <w:rFonts w:cs="Arial"/>
                    </w:rPr>
                  </w:pPr>
                </w:p>
              </w:tc>
              <w:tc>
                <w:tcPr>
                  <w:tcW w:w="4588" w:type="dxa"/>
                </w:tcPr>
                <w:p w14:paraId="7F746DC2" w14:textId="77777777" w:rsidR="008F4B01" w:rsidRPr="004176DE" w:rsidRDefault="008F4B01" w:rsidP="008F4B01">
                  <w:pPr>
                    <w:pStyle w:val="DHHSbody"/>
                    <w:rPr>
                      <w:rFonts w:cs="Arial"/>
                    </w:rPr>
                  </w:pPr>
                  <w:r w:rsidRPr="004176DE">
                    <w:rPr>
                      <w:rFonts w:cs="Arial"/>
                    </w:rPr>
                    <w:t>“May cause death or injury if taken by another person”</w:t>
                  </w:r>
                  <w:r>
                    <w:rPr>
                      <w:rFonts w:cs="Arial"/>
                    </w:rPr>
                    <w:t xml:space="preserve"> </w:t>
                  </w:r>
                  <w:r w:rsidRPr="004176DE">
                    <w:rPr>
                      <w:rFonts w:cs="Arial"/>
                      <w:i/>
                    </w:rPr>
                    <w:t>(on an ancillary label or the main label)</w:t>
                  </w:r>
                </w:p>
              </w:tc>
            </w:tr>
          </w:tbl>
          <w:p w14:paraId="135134B3" w14:textId="77777777" w:rsidR="008F4B01" w:rsidRPr="004176DE" w:rsidRDefault="008F4B01" w:rsidP="008F4B01">
            <w:pPr>
              <w:pStyle w:val="DHHSbody"/>
              <w:rPr>
                <w:rFonts w:cs="Arial"/>
              </w:rPr>
            </w:pPr>
          </w:p>
        </w:tc>
      </w:tr>
    </w:tbl>
    <w:p w14:paraId="435CE7D1" w14:textId="77777777" w:rsidR="008F4B01" w:rsidRPr="004176DE" w:rsidRDefault="008F4B01" w:rsidP="008F4B01">
      <w:pPr>
        <w:pStyle w:val="DHHSbody"/>
        <w:rPr>
          <w:rFonts w:cs="Arial"/>
        </w:rPr>
      </w:pPr>
    </w:p>
    <w:p w14:paraId="5E360F7F" w14:textId="77777777" w:rsidR="00F55B25" w:rsidRDefault="00F55B25" w:rsidP="00F55B25">
      <w:pPr>
        <w:pStyle w:val="Heading1"/>
      </w:pPr>
      <w:r w:rsidRPr="003C6D2C">
        <w:lastRenderedPageBreak/>
        <w:t>For further information</w:t>
      </w:r>
      <w:r w:rsidR="00DD12F5">
        <w:t xml:space="preserve"> </w:t>
      </w:r>
      <w:r w:rsidR="00DD12F5" w:rsidRPr="00C4796F">
        <w:rPr>
          <w:sz w:val="24"/>
          <w:szCs w:val="24"/>
        </w:rPr>
        <w:t>(including compliance issues)</w:t>
      </w:r>
    </w:p>
    <w:p w14:paraId="6A0760D5" w14:textId="50B6D51A" w:rsidR="00B912B5" w:rsidRPr="001F5244" w:rsidRDefault="00B912B5" w:rsidP="00B912B5">
      <w:pPr>
        <w:pStyle w:val="Heading2"/>
      </w:pPr>
      <w:r w:rsidRPr="001F5244">
        <w:t>Department of Health</w:t>
      </w:r>
    </w:p>
    <w:p w14:paraId="381AABE3" w14:textId="77777777" w:rsidR="00B912B5" w:rsidRPr="00093AE1" w:rsidRDefault="00B912B5" w:rsidP="00B912B5">
      <w:pPr>
        <w:pStyle w:val="Heading3"/>
      </w:pPr>
      <w:r w:rsidRPr="00093AE1">
        <w:t>Medicines and Poisons Regulation</w:t>
      </w:r>
    </w:p>
    <w:p w14:paraId="7240FB81" w14:textId="77777777" w:rsidR="00B912B5" w:rsidRPr="00950450" w:rsidRDefault="00B912B5" w:rsidP="00B912B5">
      <w:pPr>
        <w:pStyle w:val="Bodynospace"/>
        <w:rPr>
          <w:sz w:val="20"/>
        </w:rPr>
      </w:pPr>
      <w:r w:rsidRPr="00950450">
        <w:rPr>
          <w:sz w:val="20"/>
        </w:rPr>
        <w:t>50 Lonsdale Street</w:t>
      </w:r>
    </w:p>
    <w:p w14:paraId="41FD6E1D" w14:textId="77777777" w:rsidR="00B912B5" w:rsidRPr="00950450" w:rsidRDefault="00B912B5" w:rsidP="00B912B5">
      <w:pPr>
        <w:pStyle w:val="Bodynospace"/>
        <w:rPr>
          <w:sz w:val="20"/>
        </w:rPr>
      </w:pPr>
      <w:r w:rsidRPr="00950450">
        <w:rPr>
          <w:sz w:val="20"/>
        </w:rPr>
        <w:t>Melbourne, 3000</w:t>
      </w:r>
    </w:p>
    <w:p w14:paraId="327617E4" w14:textId="77777777" w:rsidR="00B912B5" w:rsidRPr="00950450" w:rsidRDefault="00B912B5" w:rsidP="00B912B5">
      <w:pPr>
        <w:pStyle w:val="Bodynospace"/>
        <w:rPr>
          <w:sz w:val="20"/>
        </w:rPr>
      </w:pPr>
      <w:r w:rsidRPr="00950450">
        <w:rPr>
          <w:sz w:val="20"/>
        </w:rPr>
        <w:t>Fax: 1300 360 830</w:t>
      </w:r>
    </w:p>
    <w:p w14:paraId="777F58FF" w14:textId="77777777" w:rsidR="00B912B5" w:rsidRPr="00950450" w:rsidRDefault="00B912B5" w:rsidP="00B912B5">
      <w:pPr>
        <w:pStyle w:val="Bodynospace"/>
        <w:rPr>
          <w:sz w:val="20"/>
        </w:rPr>
      </w:pPr>
      <w:r w:rsidRPr="00950450">
        <w:rPr>
          <w:sz w:val="20"/>
        </w:rPr>
        <w:t>Email: dpcs@health.vic.gov.au</w:t>
      </w:r>
    </w:p>
    <w:p w14:paraId="6B86204D" w14:textId="77777777" w:rsidR="00B912B5" w:rsidRPr="00950450" w:rsidRDefault="00B912B5" w:rsidP="00B912B5">
      <w:pPr>
        <w:pStyle w:val="Bodynospace"/>
        <w:rPr>
          <w:sz w:val="20"/>
        </w:rPr>
      </w:pPr>
      <w:r w:rsidRPr="00950450">
        <w:rPr>
          <w:sz w:val="20"/>
        </w:rPr>
        <w:t>Web: www.health.vic.gov.au/dpcs</w:t>
      </w:r>
    </w:p>
    <w:p w14:paraId="139218F2" w14:textId="77777777" w:rsidR="00B912B5" w:rsidRPr="00950450" w:rsidRDefault="00B912B5" w:rsidP="00B912B5">
      <w:pPr>
        <w:pStyle w:val="Bodynospace"/>
        <w:rPr>
          <w:sz w:val="20"/>
        </w:rPr>
      </w:pPr>
    </w:p>
    <w:p w14:paraId="66D3AFD6" w14:textId="77777777" w:rsidR="00B912B5" w:rsidRPr="00950450" w:rsidRDefault="00B912B5" w:rsidP="00B912B5">
      <w:pPr>
        <w:pStyle w:val="Bullet1"/>
        <w:numPr>
          <w:ilvl w:val="0"/>
          <w:numId w:val="7"/>
        </w:numPr>
        <w:rPr>
          <w:sz w:val="20"/>
        </w:rPr>
      </w:pPr>
      <w:r w:rsidRPr="00950450">
        <w:rPr>
          <w:sz w:val="20"/>
        </w:rPr>
        <w:t>For information and details, relating to current, recent and pending Schedule 8 permits, please refer to the patient’s profile on the SafeScript database.</w:t>
      </w:r>
    </w:p>
    <w:p w14:paraId="620DA039" w14:textId="77777777" w:rsidR="00B912B5" w:rsidRPr="00950450" w:rsidRDefault="00B912B5" w:rsidP="00B912B5">
      <w:pPr>
        <w:pStyle w:val="Bullet1"/>
        <w:numPr>
          <w:ilvl w:val="0"/>
          <w:numId w:val="7"/>
        </w:numPr>
        <w:rPr>
          <w:rFonts w:eastAsia="Times New Roman" w:cs="Calibri"/>
          <w:spacing w:val="-3"/>
          <w:sz w:val="20"/>
        </w:rPr>
      </w:pPr>
      <w:r w:rsidRPr="00950450">
        <w:rPr>
          <w:rFonts w:eastAsia="Times New Roman" w:cs="Calibri"/>
          <w:spacing w:val="-3"/>
          <w:sz w:val="20"/>
        </w:rPr>
        <w:t xml:space="preserve">For queries relating to </w:t>
      </w:r>
      <w:r w:rsidRPr="00950450">
        <w:rPr>
          <w:rFonts w:cs="Calibri"/>
          <w:spacing w:val="-3"/>
          <w:sz w:val="20"/>
        </w:rPr>
        <w:t xml:space="preserve">the Act or regulations, </w:t>
      </w:r>
      <w:r w:rsidRPr="00950450">
        <w:rPr>
          <w:rFonts w:eastAsia="Times New Roman" w:cs="Calibri"/>
          <w:spacing w:val="-3"/>
          <w:sz w:val="20"/>
        </w:rPr>
        <w:t>please:</w:t>
      </w:r>
    </w:p>
    <w:p w14:paraId="3FC891BC" w14:textId="77777777" w:rsidR="00B912B5" w:rsidRPr="00950450" w:rsidRDefault="00B912B5" w:rsidP="00B912B5">
      <w:pPr>
        <w:pStyle w:val="Bullet2"/>
        <w:numPr>
          <w:ilvl w:val="1"/>
          <w:numId w:val="7"/>
        </w:numPr>
        <w:ind w:left="567" w:hanging="283"/>
        <w:rPr>
          <w:sz w:val="20"/>
        </w:rPr>
      </w:pPr>
      <w:r w:rsidRPr="00950450">
        <w:rPr>
          <w:sz w:val="20"/>
        </w:rPr>
        <w:t>refer to the ‘Documents to print or download’ that are available on the MPR website (see below); or</w:t>
      </w:r>
    </w:p>
    <w:p w14:paraId="0C8BA9C6" w14:textId="77777777" w:rsidR="00B912B5" w:rsidRPr="00950450" w:rsidRDefault="00B912B5" w:rsidP="00B912B5">
      <w:pPr>
        <w:pStyle w:val="Bullet2"/>
        <w:numPr>
          <w:ilvl w:val="1"/>
          <w:numId w:val="7"/>
        </w:numPr>
        <w:ind w:left="567" w:hanging="283"/>
        <w:rPr>
          <w:sz w:val="20"/>
        </w:rPr>
      </w:pPr>
      <w:r w:rsidRPr="00950450">
        <w:rPr>
          <w:sz w:val="20"/>
        </w:rPr>
        <w:t xml:space="preserve">if you are unable to address your query by referring to those documents, forward your query via e-mail to </w:t>
      </w:r>
      <w:hyperlink r:id="rId24" w:history="1">
        <w:r w:rsidRPr="00950450">
          <w:rPr>
            <w:rStyle w:val="Hyperlink"/>
            <w:rFonts w:eastAsia="Times New Roman" w:cs="Calibri"/>
            <w:spacing w:val="-3"/>
            <w:sz w:val="20"/>
          </w:rPr>
          <w:t>dpcs@health.vic.gov.au</w:t>
        </w:r>
      </w:hyperlink>
    </w:p>
    <w:p w14:paraId="24E18540" w14:textId="77777777" w:rsidR="0044544C" w:rsidRPr="00950450" w:rsidRDefault="0044544C" w:rsidP="00950450">
      <w:pPr>
        <w:pStyle w:val="Heading3"/>
        <w:rPr>
          <w:b w:val="0"/>
        </w:rPr>
      </w:pPr>
      <w:bookmarkStart w:id="3" w:name="_Hlk204067913"/>
      <w:r w:rsidRPr="00950450">
        <w:t>Documents to print or download from the MPR website</w:t>
      </w:r>
    </w:p>
    <w:p w14:paraId="7AC1BD71" w14:textId="77777777" w:rsidR="0044544C" w:rsidRPr="00950450" w:rsidRDefault="0044544C" w:rsidP="0044544C">
      <w:pPr>
        <w:spacing w:after="120" w:line="280" w:lineRule="atLeast"/>
        <w:rPr>
          <w:rFonts w:ascii="Arial" w:eastAsia="Times" w:hAnsi="Arial"/>
        </w:rPr>
      </w:pPr>
      <w:r w:rsidRPr="00950450">
        <w:rPr>
          <w:rFonts w:ascii="Arial" w:eastAsia="Times" w:hAnsi="Arial"/>
        </w:rPr>
        <w:t xml:space="preserve">The </w:t>
      </w:r>
      <w:hyperlink r:id="rId25" w:history="1">
        <w:r w:rsidRPr="00950450">
          <w:rPr>
            <w:rFonts w:ascii="Arial" w:eastAsia="Times" w:hAnsi="Arial"/>
            <w:color w:val="004C97"/>
            <w:u w:val="dotted"/>
          </w:rPr>
          <w:t>Medicines and poisons webpage</w:t>
        </w:r>
      </w:hyperlink>
      <w:r w:rsidRPr="00950450">
        <w:rPr>
          <w:rFonts w:ascii="Arial" w:eastAsia="Times" w:hAnsi="Arial"/>
        </w:rPr>
        <w:t xml:space="preserve"> &lt;http://www.health.vic.gov.au/dpcs&gt; on the </w:t>
      </w:r>
      <w:proofErr w:type="spellStart"/>
      <w:r w:rsidRPr="00950450">
        <w:rPr>
          <w:rFonts w:ascii="Arial" w:eastAsia="Times" w:hAnsi="Arial"/>
        </w:rPr>
        <w:t>Health.Vic</w:t>
      </w:r>
      <w:proofErr w:type="spellEnd"/>
      <w:r w:rsidRPr="00950450">
        <w:rPr>
          <w:rFonts w:ascii="Arial" w:eastAsia="Times" w:hAnsi="Arial"/>
        </w:rPr>
        <w:t xml:space="preserve"> website in the section for ‘</w:t>
      </w:r>
      <w:r w:rsidRPr="00950450">
        <w:rPr>
          <w:rFonts w:ascii="Arial" w:eastAsia="Times" w:hAnsi="Arial"/>
          <w:iCs/>
        </w:rPr>
        <w:t>Documents to print or download’,</w:t>
      </w:r>
      <w:r w:rsidRPr="00950450">
        <w:rPr>
          <w:rFonts w:ascii="Arial" w:eastAsia="Times" w:hAnsi="Arial"/>
        </w:rPr>
        <w:t xml:space="preserve"> contains summaries of legislative requirements that have been prepared in relation to issues that relate to multiple categories of health practitioner as well as to individual categories of health practitioner. These documents, which are intended to assist health practitioners to comply with key legislative requirements, include the following:</w:t>
      </w:r>
    </w:p>
    <w:p w14:paraId="758D860B" w14:textId="77777777" w:rsidR="0044544C" w:rsidRPr="00950450" w:rsidRDefault="0044544C" w:rsidP="0044544C">
      <w:pPr>
        <w:numPr>
          <w:ilvl w:val="0"/>
          <w:numId w:val="7"/>
        </w:numPr>
        <w:spacing w:after="40" w:line="280" w:lineRule="atLeast"/>
        <w:rPr>
          <w:rFonts w:ascii="Arial" w:eastAsia="Times" w:hAnsi="Arial"/>
        </w:rPr>
      </w:pPr>
      <w:r w:rsidRPr="00950450">
        <w:rPr>
          <w:rFonts w:ascii="Arial" w:eastAsia="Times" w:hAnsi="Arial"/>
        </w:rPr>
        <w:t>Issues relating to multiple categories of health practitioner, including:</w:t>
      </w:r>
    </w:p>
    <w:p w14:paraId="515C46B6" w14:textId="77777777" w:rsidR="0044544C" w:rsidRPr="00950450" w:rsidRDefault="0044544C" w:rsidP="0044544C">
      <w:pPr>
        <w:numPr>
          <w:ilvl w:val="1"/>
          <w:numId w:val="7"/>
        </w:numPr>
        <w:spacing w:after="40" w:line="280" w:lineRule="atLeast"/>
        <w:ind w:left="567" w:hanging="283"/>
        <w:rPr>
          <w:rFonts w:ascii="Arial" w:eastAsia="Times" w:hAnsi="Arial"/>
        </w:rPr>
      </w:pPr>
      <w:r w:rsidRPr="00950450">
        <w:rPr>
          <w:rFonts w:ascii="Arial" w:eastAsia="Times" w:hAnsi="Arial"/>
        </w:rPr>
        <w:t xml:space="preserve">Possession and storage </w:t>
      </w:r>
    </w:p>
    <w:p w14:paraId="5C11918D" w14:textId="77777777" w:rsidR="0044544C" w:rsidRPr="00950450" w:rsidRDefault="0044544C" w:rsidP="0044544C">
      <w:pPr>
        <w:numPr>
          <w:ilvl w:val="1"/>
          <w:numId w:val="7"/>
        </w:numPr>
        <w:spacing w:after="40" w:line="280" w:lineRule="atLeast"/>
        <w:ind w:left="567" w:hanging="283"/>
        <w:rPr>
          <w:rFonts w:ascii="Arial" w:eastAsia="Times" w:hAnsi="Arial"/>
        </w:rPr>
      </w:pPr>
      <w:r w:rsidRPr="00950450">
        <w:rPr>
          <w:rFonts w:ascii="Arial" w:eastAsia="Times" w:hAnsi="Arial"/>
        </w:rPr>
        <w:t xml:space="preserve">Supply, administration and recording </w:t>
      </w:r>
    </w:p>
    <w:p w14:paraId="2909BB78" w14:textId="77777777" w:rsidR="0044544C" w:rsidRPr="00950450" w:rsidRDefault="0044544C" w:rsidP="0044544C">
      <w:pPr>
        <w:numPr>
          <w:ilvl w:val="1"/>
          <w:numId w:val="7"/>
        </w:numPr>
        <w:spacing w:after="40" w:line="280" w:lineRule="atLeast"/>
        <w:ind w:left="567" w:hanging="283"/>
        <w:rPr>
          <w:rFonts w:ascii="Arial" w:eastAsia="Times" w:hAnsi="Arial"/>
        </w:rPr>
      </w:pPr>
      <w:r w:rsidRPr="00950450">
        <w:rPr>
          <w:rFonts w:ascii="Arial" w:eastAsia="Times" w:hAnsi="Arial"/>
        </w:rPr>
        <w:t xml:space="preserve">Prescribing </w:t>
      </w:r>
    </w:p>
    <w:p w14:paraId="7569BDFC" w14:textId="77777777" w:rsidR="0044544C" w:rsidRPr="00950450" w:rsidRDefault="0044544C" w:rsidP="0044544C">
      <w:pPr>
        <w:numPr>
          <w:ilvl w:val="1"/>
          <w:numId w:val="7"/>
        </w:numPr>
        <w:spacing w:after="40" w:line="280" w:lineRule="atLeast"/>
        <w:ind w:left="567" w:hanging="283"/>
        <w:rPr>
          <w:rFonts w:ascii="Arial" w:eastAsia="Times" w:hAnsi="Arial"/>
        </w:rPr>
      </w:pPr>
      <w:r w:rsidRPr="00950450">
        <w:rPr>
          <w:rFonts w:ascii="Arial" w:eastAsia="Times" w:hAnsi="Arial"/>
        </w:rPr>
        <w:t>Criteria for lawful prescriptions</w:t>
      </w:r>
    </w:p>
    <w:p w14:paraId="74AA731D" w14:textId="77777777" w:rsidR="0044544C" w:rsidRPr="00950450" w:rsidRDefault="0044544C" w:rsidP="0044544C">
      <w:pPr>
        <w:numPr>
          <w:ilvl w:val="1"/>
          <w:numId w:val="7"/>
        </w:numPr>
        <w:spacing w:after="40" w:line="280" w:lineRule="atLeast"/>
        <w:ind w:left="567" w:hanging="283"/>
        <w:rPr>
          <w:rFonts w:ascii="Arial" w:eastAsia="Times" w:hAnsi="Arial"/>
        </w:rPr>
      </w:pPr>
      <w:r w:rsidRPr="00950450">
        <w:rPr>
          <w:rFonts w:ascii="Arial" w:eastAsia="Times" w:hAnsi="Arial"/>
        </w:rPr>
        <w:t>All reasonable steps and other key terms</w:t>
      </w:r>
    </w:p>
    <w:p w14:paraId="428ED868" w14:textId="77777777" w:rsidR="0044544C" w:rsidRPr="00950450" w:rsidRDefault="0044544C" w:rsidP="0044544C">
      <w:pPr>
        <w:numPr>
          <w:ilvl w:val="0"/>
          <w:numId w:val="7"/>
        </w:numPr>
        <w:spacing w:after="40" w:line="280" w:lineRule="atLeast"/>
        <w:rPr>
          <w:rFonts w:ascii="Arial" w:eastAsia="Times" w:hAnsi="Arial"/>
        </w:rPr>
      </w:pPr>
      <w:r w:rsidRPr="00950450">
        <w:rPr>
          <w:rFonts w:ascii="Arial" w:eastAsia="Times" w:hAnsi="Arial"/>
        </w:rPr>
        <w:t>Summaries that are specific to individual categories of health practitioner:</w:t>
      </w:r>
    </w:p>
    <w:p w14:paraId="7D10DC74" w14:textId="77777777" w:rsidR="0044544C" w:rsidRPr="00950450" w:rsidRDefault="0044544C" w:rsidP="0044544C">
      <w:pPr>
        <w:numPr>
          <w:ilvl w:val="1"/>
          <w:numId w:val="7"/>
        </w:numPr>
        <w:spacing w:after="40" w:line="280" w:lineRule="atLeast"/>
        <w:ind w:left="567" w:hanging="283"/>
        <w:rPr>
          <w:rFonts w:ascii="Arial" w:eastAsia="Times" w:hAnsi="Arial"/>
        </w:rPr>
      </w:pPr>
      <w:r w:rsidRPr="00950450">
        <w:rPr>
          <w:rFonts w:ascii="Arial" w:eastAsia="Times" w:hAnsi="Arial"/>
        </w:rPr>
        <w:t>Medical practitioners</w:t>
      </w:r>
    </w:p>
    <w:p w14:paraId="0AE643B5" w14:textId="77777777" w:rsidR="0044544C" w:rsidRPr="00950450" w:rsidRDefault="0044544C" w:rsidP="0044544C">
      <w:pPr>
        <w:numPr>
          <w:ilvl w:val="1"/>
          <w:numId w:val="7"/>
        </w:numPr>
        <w:spacing w:after="40" w:line="280" w:lineRule="atLeast"/>
        <w:ind w:left="567" w:hanging="283"/>
        <w:rPr>
          <w:rFonts w:ascii="Arial" w:eastAsia="Times" w:hAnsi="Arial"/>
        </w:rPr>
      </w:pPr>
      <w:r w:rsidRPr="00950450">
        <w:rPr>
          <w:rFonts w:ascii="Arial" w:eastAsia="Times" w:hAnsi="Arial"/>
        </w:rPr>
        <w:t>Pharmacists</w:t>
      </w:r>
    </w:p>
    <w:p w14:paraId="3EC02A15" w14:textId="77777777" w:rsidR="0044544C" w:rsidRPr="00950450" w:rsidRDefault="0044544C" w:rsidP="0044544C">
      <w:pPr>
        <w:numPr>
          <w:ilvl w:val="1"/>
          <w:numId w:val="7"/>
        </w:numPr>
        <w:spacing w:after="40" w:line="280" w:lineRule="atLeast"/>
        <w:ind w:left="567" w:hanging="283"/>
        <w:rPr>
          <w:rFonts w:ascii="Arial" w:eastAsia="Times" w:hAnsi="Arial"/>
        </w:rPr>
      </w:pPr>
      <w:r w:rsidRPr="00950450">
        <w:rPr>
          <w:rFonts w:ascii="Arial" w:eastAsia="Times" w:hAnsi="Arial"/>
        </w:rPr>
        <w:t>Nurses and midwives</w:t>
      </w:r>
    </w:p>
    <w:p w14:paraId="601C926D" w14:textId="6B575E7A" w:rsidR="0044544C" w:rsidRPr="00950450" w:rsidRDefault="0044544C" w:rsidP="00950450">
      <w:pPr>
        <w:numPr>
          <w:ilvl w:val="1"/>
          <w:numId w:val="7"/>
        </w:numPr>
        <w:spacing w:after="40" w:line="280" w:lineRule="atLeast"/>
        <w:ind w:left="567" w:hanging="283"/>
        <w:rPr>
          <w:rFonts w:eastAsia="Times"/>
        </w:rPr>
      </w:pPr>
      <w:r w:rsidRPr="00950450">
        <w:rPr>
          <w:rFonts w:ascii="Arial" w:eastAsia="Times" w:hAnsi="Arial"/>
        </w:rPr>
        <w:t>Nurses and midwives with registration endorsement (e.g. nurse practitioners, authorised midwives, etc.)</w:t>
      </w:r>
    </w:p>
    <w:p w14:paraId="16B4A47F" w14:textId="0F30D9B4" w:rsidR="00C4796F" w:rsidRPr="00E93843" w:rsidRDefault="00C4796F" w:rsidP="00C4796F">
      <w:pPr>
        <w:pStyle w:val="Heading2"/>
        <w:rPr>
          <w:rFonts w:eastAsia="Times"/>
        </w:rPr>
      </w:pPr>
      <w:r w:rsidRPr="00E93843">
        <w:rPr>
          <w:rFonts w:eastAsia="MS Gothic"/>
        </w:rPr>
        <w:t xml:space="preserve">For information relating to </w:t>
      </w:r>
      <w:r w:rsidRPr="00E93843">
        <w:rPr>
          <w:rFonts w:eastAsia="Times"/>
        </w:rPr>
        <w:t>induction, education and program development</w:t>
      </w:r>
    </w:p>
    <w:p w14:paraId="2B174C18" w14:textId="70D1E430" w:rsidR="00A86DFE" w:rsidRPr="001F5244" w:rsidRDefault="00A86DFE" w:rsidP="00950450">
      <w:pPr>
        <w:pStyle w:val="Heading2"/>
        <w:rPr>
          <w:sz w:val="22"/>
          <w:szCs w:val="22"/>
        </w:rPr>
      </w:pPr>
      <w:r w:rsidRPr="00950450">
        <w:t>Department of Health</w:t>
      </w:r>
      <w:r w:rsidRPr="001F5244">
        <w:rPr>
          <w:sz w:val="22"/>
          <w:szCs w:val="22"/>
        </w:rPr>
        <w:t xml:space="preserve"> </w:t>
      </w:r>
    </w:p>
    <w:p w14:paraId="53A2A7B5" w14:textId="77777777" w:rsidR="00AC1E4C" w:rsidRPr="00950450" w:rsidRDefault="00AC1E4C" w:rsidP="00AC1E4C">
      <w:pPr>
        <w:rPr>
          <w:rFonts w:ascii="Arial" w:hAnsi="Arial" w:cs="Arial"/>
          <w:b/>
          <w:sz w:val="24"/>
          <w:szCs w:val="24"/>
        </w:rPr>
      </w:pPr>
      <w:r w:rsidRPr="00950450">
        <w:rPr>
          <w:rFonts w:ascii="Arial" w:hAnsi="Arial" w:cs="Arial"/>
          <w:b/>
          <w:sz w:val="24"/>
          <w:szCs w:val="24"/>
        </w:rPr>
        <w:t>Victorian Opioid Pharmacotherapy Program</w:t>
      </w:r>
    </w:p>
    <w:p w14:paraId="22089F20" w14:textId="77777777" w:rsidR="00AC1E4C" w:rsidRDefault="00AC1E4C" w:rsidP="00AC1E4C">
      <w:pPr>
        <w:rPr>
          <w:rFonts w:ascii="Arial" w:hAnsi="Arial" w:cs="Arial"/>
          <w:b/>
          <w:sz w:val="24"/>
          <w:szCs w:val="24"/>
        </w:rPr>
      </w:pPr>
      <w:r w:rsidRPr="00950450">
        <w:rPr>
          <w:rFonts w:ascii="Arial" w:hAnsi="Arial" w:cs="Arial"/>
          <w:b/>
          <w:sz w:val="24"/>
          <w:szCs w:val="24"/>
        </w:rPr>
        <w:t>Mental Health and Wellbeing Division</w:t>
      </w:r>
    </w:p>
    <w:p w14:paraId="428921FD" w14:textId="77777777" w:rsidR="00AC1E4C" w:rsidRPr="00950450" w:rsidRDefault="00AC1E4C" w:rsidP="00AC1E4C">
      <w:pPr>
        <w:rPr>
          <w:rFonts w:ascii="Arial" w:hAnsi="Arial" w:cs="Arial"/>
          <w:b/>
          <w:sz w:val="24"/>
          <w:szCs w:val="24"/>
        </w:rPr>
      </w:pPr>
    </w:p>
    <w:p w14:paraId="6729315F" w14:textId="77777777" w:rsidR="00AC1E4C" w:rsidRPr="00950450" w:rsidRDefault="00AC1E4C" w:rsidP="00AC1E4C">
      <w:pPr>
        <w:rPr>
          <w:rFonts w:ascii="Arial" w:hAnsi="Arial" w:cs="Arial"/>
          <w:bCs/>
        </w:rPr>
      </w:pPr>
      <w:r w:rsidRPr="00950450">
        <w:rPr>
          <w:rFonts w:ascii="Arial" w:hAnsi="Arial" w:cs="Arial"/>
          <w:bCs/>
        </w:rPr>
        <w:t xml:space="preserve">50 Lonsdale Street, </w:t>
      </w:r>
    </w:p>
    <w:p w14:paraId="3FCD5655" w14:textId="5E9DCF5E" w:rsidR="00AC1E4C" w:rsidRPr="00950450" w:rsidRDefault="00AC1E4C" w:rsidP="00AC1E4C">
      <w:pPr>
        <w:rPr>
          <w:rFonts w:ascii="Arial" w:hAnsi="Arial" w:cs="Arial"/>
          <w:bCs/>
        </w:rPr>
      </w:pPr>
      <w:r w:rsidRPr="00950450">
        <w:rPr>
          <w:rFonts w:ascii="Arial" w:hAnsi="Arial" w:cs="Arial"/>
          <w:bCs/>
        </w:rPr>
        <w:t>Melbourne, VIC 3000</w:t>
      </w:r>
    </w:p>
    <w:p w14:paraId="6F73F3F0" w14:textId="75FE192E" w:rsidR="00AC1E4C" w:rsidRPr="00950450" w:rsidRDefault="00AC1E4C" w:rsidP="00AC1E4C">
      <w:pPr>
        <w:rPr>
          <w:rFonts w:ascii="Arial" w:hAnsi="Arial" w:cs="Arial"/>
          <w:bCs/>
        </w:rPr>
      </w:pPr>
      <w:r w:rsidRPr="00950450">
        <w:rPr>
          <w:rFonts w:ascii="Arial" w:hAnsi="Arial" w:cs="Arial"/>
          <w:bCs/>
        </w:rPr>
        <w:t>Email: pharmacotherapy@health.vic.gov.au</w:t>
      </w:r>
    </w:p>
    <w:p w14:paraId="22716BCB" w14:textId="77777777" w:rsidR="00AC1E4C" w:rsidRPr="00555FE6" w:rsidRDefault="00AC1E4C" w:rsidP="00C4796F">
      <w:pPr>
        <w:rPr>
          <w:rFonts w:ascii="Arial" w:hAnsi="Arial" w:cs="Arial"/>
          <w:b/>
        </w:rPr>
      </w:pPr>
    </w:p>
    <w:p w14:paraId="5C6858EE" w14:textId="77777777" w:rsidR="00492B29" w:rsidRDefault="00492B29" w:rsidP="00555FE6">
      <w:pPr>
        <w:spacing w:after="120" w:line="280" w:lineRule="atLeast"/>
        <w:rPr>
          <w:rFonts w:ascii="Arial" w:hAnsi="Arial" w:cs="Arial"/>
          <w:bCs/>
        </w:rPr>
      </w:pPr>
    </w:p>
    <w:p w14:paraId="71F08BE2" w14:textId="7E7F2774" w:rsidR="00555FE6" w:rsidRPr="00950450" w:rsidRDefault="00492B29" w:rsidP="00950450">
      <w:pPr>
        <w:spacing w:after="120" w:line="280" w:lineRule="atLeast"/>
        <w:rPr>
          <w:rFonts w:ascii="Arial" w:hAnsi="Arial" w:cs="Arial"/>
          <w:bCs/>
        </w:rPr>
      </w:pPr>
      <w:r w:rsidRPr="00492B29">
        <w:rPr>
          <w:rFonts w:ascii="Arial" w:hAnsi="Arial" w:cs="Arial"/>
          <w:bCs/>
        </w:rPr>
        <w:lastRenderedPageBreak/>
        <w:t>Training is available for prescribers</w:t>
      </w:r>
      <w:r>
        <w:rPr>
          <w:rFonts w:ascii="Arial" w:hAnsi="Arial" w:cs="Arial"/>
          <w:bCs/>
        </w:rPr>
        <w:t xml:space="preserve"> and pharmacists </w:t>
      </w:r>
      <w:r w:rsidRPr="00492B29">
        <w:rPr>
          <w:rFonts w:ascii="Arial" w:hAnsi="Arial" w:cs="Arial"/>
          <w:bCs/>
        </w:rPr>
        <w:t>participating in the opioid pharmacotherapy program.</w:t>
      </w:r>
      <w:r>
        <w:rPr>
          <w:rFonts w:ascii="Arial" w:hAnsi="Arial" w:cs="Arial"/>
          <w:bCs/>
        </w:rPr>
        <w:t xml:space="preserve"> </w:t>
      </w:r>
      <w:r w:rsidR="00555FE6" w:rsidRPr="00950450">
        <w:rPr>
          <w:rFonts w:ascii="Arial" w:hAnsi="Arial" w:cs="Arial"/>
          <w:bCs/>
        </w:rPr>
        <w:t xml:space="preserve">Further information is available on the </w:t>
      </w:r>
      <w:hyperlink r:id="rId26" w:history="1">
        <w:r w:rsidR="006F4E5E" w:rsidRPr="0094768D">
          <w:rPr>
            <w:rStyle w:val="Hyperlink"/>
            <w:rFonts w:ascii="Arial" w:eastAsia="Times" w:hAnsi="Arial" w:cs="Arial"/>
          </w:rPr>
          <w:t>Medicines and poisons webpage</w:t>
        </w:r>
      </w:hyperlink>
      <w:r w:rsidR="00555FE6" w:rsidRPr="006F4E5E">
        <w:rPr>
          <w:rFonts w:ascii="Arial" w:hAnsi="Arial" w:cs="Arial"/>
          <w:bCs/>
        </w:rPr>
        <w:t xml:space="preserve"> </w:t>
      </w:r>
      <w:hyperlink r:id="rId27" w:history="1">
        <w:r w:rsidR="0094768D" w:rsidRPr="003312D8">
          <w:rPr>
            <w:rStyle w:val="Hyperlink"/>
            <w:rFonts w:ascii="Arial" w:hAnsi="Arial" w:cs="Arial"/>
            <w:bCs/>
          </w:rPr>
          <w:t>https://www.health.vic.gov.au/drugs-and-poisons/pharmacotherapy-training</w:t>
        </w:r>
      </w:hyperlink>
      <w:r w:rsidR="0094768D">
        <w:rPr>
          <w:rFonts w:ascii="Arial" w:hAnsi="Arial" w:cs="Arial"/>
          <w:bCs/>
        </w:rPr>
        <w:t>.</w:t>
      </w:r>
    </w:p>
    <w:bookmarkEnd w:id="3"/>
    <w:p w14:paraId="24AAC10A" w14:textId="77777777" w:rsidR="004363C5" w:rsidRPr="00DD65A7" w:rsidRDefault="004363C5" w:rsidP="004363C5">
      <w:pPr>
        <w:pStyle w:val="Heading1"/>
      </w:pPr>
      <w:r>
        <w:t>Other k</w:t>
      </w:r>
      <w:r w:rsidRPr="00DD65A7">
        <w:t>ey contact</w:t>
      </w:r>
      <w:r>
        <w:t xml:space="preserve"> details</w:t>
      </w:r>
      <w:r w:rsidR="00C4796F">
        <w:t xml:space="preserve"> and resources</w:t>
      </w:r>
    </w:p>
    <w:p w14:paraId="45BC617E" w14:textId="77777777" w:rsidR="004363C5" w:rsidRPr="00DD65A7" w:rsidRDefault="004363C5" w:rsidP="00C4796F">
      <w:pPr>
        <w:pStyle w:val="DHHSbullet1"/>
      </w:pPr>
      <w:r w:rsidRPr="00DD65A7">
        <w:t xml:space="preserve">To obtain </w:t>
      </w:r>
      <w:r w:rsidRPr="00A07B6D">
        <w:rPr>
          <w:b/>
        </w:rPr>
        <w:t>clinical advice</w:t>
      </w:r>
      <w:r w:rsidRPr="00DD65A7">
        <w:t xml:space="preserve"> from specialist consultants, registered health practitioners (only) may phone the </w:t>
      </w:r>
      <w:r w:rsidRPr="00A07B6D">
        <w:rPr>
          <w:b/>
        </w:rPr>
        <w:t>DACAS</w:t>
      </w:r>
      <w:r w:rsidRPr="00DD65A7">
        <w:t xml:space="preserve"> at any time on</w:t>
      </w:r>
      <w:r w:rsidRPr="00A07B6D">
        <w:rPr>
          <w:b/>
        </w:rPr>
        <w:t xml:space="preserve"> 1800 812 804</w:t>
      </w:r>
      <w:r>
        <w:rPr>
          <w:b/>
        </w:rPr>
        <w:t>.</w:t>
      </w:r>
    </w:p>
    <w:p w14:paraId="66F4F5D7" w14:textId="77777777" w:rsidR="004363C5" w:rsidRPr="00DD65A7" w:rsidRDefault="004363C5" w:rsidP="00C4796F">
      <w:pPr>
        <w:pStyle w:val="DHHSbullet1"/>
      </w:pPr>
      <w:r w:rsidRPr="00DD65A7">
        <w:t xml:space="preserve">For 24-hour confidential </w:t>
      </w:r>
      <w:r w:rsidRPr="00DD65A7">
        <w:rPr>
          <w:b/>
        </w:rPr>
        <w:t xml:space="preserve">drug and alcohol counselling </w:t>
      </w:r>
      <w:r w:rsidRPr="00DD65A7">
        <w:t>and advice about available</w:t>
      </w:r>
      <w:r w:rsidRPr="00DD65A7">
        <w:rPr>
          <w:b/>
        </w:rPr>
        <w:t xml:space="preserve"> treatment facilities</w:t>
      </w:r>
      <w:r w:rsidRPr="00DD65A7">
        <w:t xml:space="preserve">, patients, family or health practitioners may phone </w:t>
      </w:r>
      <w:r w:rsidRPr="00DD65A7">
        <w:rPr>
          <w:b/>
        </w:rPr>
        <w:t>Direct Line - 1800 888 236</w:t>
      </w:r>
      <w:r>
        <w:rPr>
          <w:b/>
        </w:rPr>
        <w:t>.</w:t>
      </w:r>
    </w:p>
    <w:p w14:paraId="5E88157E" w14:textId="77777777" w:rsidR="00C4796F" w:rsidRPr="004363C5" w:rsidRDefault="00C4796F" w:rsidP="005A7FFC">
      <w:pPr>
        <w:pStyle w:val="DHHSbullet1lastline"/>
      </w:pPr>
      <w:r>
        <w:t>F</w:t>
      </w:r>
      <w:r w:rsidRPr="009F6D96">
        <w:t xml:space="preserve">or advice and assistance in dealing with </w:t>
      </w:r>
      <w:r w:rsidRPr="00C4796F">
        <w:rPr>
          <w:b/>
        </w:rPr>
        <w:t>client-related issues</w:t>
      </w:r>
      <w:r w:rsidRPr="009F6D96">
        <w:t xml:space="preserve"> that might arise</w:t>
      </w:r>
      <w:r>
        <w:t>, contact t</w:t>
      </w:r>
      <w:r w:rsidRPr="009F6D96">
        <w:t xml:space="preserve">he Pharmacotherapy Advocacy and Mediation Service (PAMS) </w:t>
      </w:r>
      <w:r>
        <w:t>on</w:t>
      </w:r>
      <w:r w:rsidRPr="009F6D96">
        <w:t xml:space="preserve"> 1800 443 844</w:t>
      </w:r>
    </w:p>
    <w:p w14:paraId="25AD5B31" w14:textId="3E7FCDE2" w:rsidR="00C4796F" w:rsidRDefault="00C4796F" w:rsidP="00C4796F">
      <w:pPr>
        <w:pStyle w:val="DHHSbody"/>
      </w:pPr>
      <w:r>
        <w:t xml:space="preserve">Refer to the </w:t>
      </w:r>
      <w:hyperlink r:id="rId28" w:history="1">
        <w:r w:rsidRPr="008463D5">
          <w:rPr>
            <w:rStyle w:val="Hyperlink"/>
          </w:rPr>
          <w:t>Medicines and poisons webpage</w:t>
        </w:r>
      </w:hyperlink>
      <w:r>
        <w:t xml:space="preserve"> &lt;</w:t>
      </w:r>
      <w:r w:rsidR="00555FE6" w:rsidRPr="00555FE6">
        <w:t xml:space="preserve"> https://www.health.vic.gov.au/drugs-and-poisons/pharmacotherapy-opioid-replacement-therapy</w:t>
      </w:r>
      <w:r>
        <w:t xml:space="preserve">&gt; on the </w:t>
      </w:r>
      <w:proofErr w:type="spellStart"/>
      <w:proofErr w:type="gramStart"/>
      <w:r>
        <w:t>Health</w:t>
      </w:r>
      <w:proofErr w:type="gramEnd"/>
      <w:r>
        <w:t>.</w:t>
      </w:r>
      <w:r w:rsidR="00555FE6">
        <w:t>V</w:t>
      </w:r>
      <w:r>
        <w:t>ic</w:t>
      </w:r>
      <w:proofErr w:type="spellEnd"/>
      <w:r>
        <w:t xml:space="preserve"> website to download or review:</w:t>
      </w:r>
    </w:p>
    <w:p w14:paraId="0690272B" w14:textId="77777777" w:rsidR="00C4796F" w:rsidRPr="00C4796F" w:rsidRDefault="00C4796F" w:rsidP="00C4796F">
      <w:pPr>
        <w:pStyle w:val="DHHSbullet1"/>
      </w:pPr>
      <w:r w:rsidRPr="00C4796F">
        <w:t xml:space="preserve">Victoria’s </w:t>
      </w:r>
      <w:r w:rsidRPr="00C4796F">
        <w:rPr>
          <w:i/>
        </w:rPr>
        <w:t>Policy for maintenance pharmacotherapy for opioid dependence</w:t>
      </w:r>
    </w:p>
    <w:p w14:paraId="633B5138" w14:textId="77777777" w:rsidR="00C4796F" w:rsidRPr="00C4796F" w:rsidRDefault="00C4796F" w:rsidP="00C4796F">
      <w:pPr>
        <w:pStyle w:val="DHHSbullet1"/>
        <w:rPr>
          <w:i/>
        </w:rPr>
      </w:pPr>
      <w:r w:rsidRPr="00C4796F">
        <w:rPr>
          <w:i/>
        </w:rPr>
        <w:t>Summary of changes related to the use of long-acting injectable buprenorphine for opioid dependence</w:t>
      </w:r>
    </w:p>
    <w:p w14:paraId="75A7BED0" w14:textId="77777777" w:rsidR="00C4796F" w:rsidRPr="00BA3017" w:rsidRDefault="00C4796F" w:rsidP="00C4796F">
      <w:pPr>
        <w:pStyle w:val="DHHSbullet1lastline"/>
      </w:pPr>
      <w:r w:rsidRPr="00C4796F">
        <w:t>Brief clinical guidelines for use of depot buprenorphine (Buvidal and Sublocade)</w:t>
      </w:r>
      <w:bookmarkStart w:id="4" w:name="_Toc27747678"/>
      <w:bookmarkStart w:id="5" w:name="_Hlk34381439"/>
      <w:r w:rsidR="003B1272" w:rsidRPr="00BA3017">
        <w:t xml:space="preserve"> </w:t>
      </w:r>
      <w:hyperlink r:id="rId29" w:history="1">
        <w:r w:rsidRPr="00BA3017">
          <w:rPr>
            <w:color w:val="3366FF"/>
            <w:u w:val="dotted"/>
          </w:rPr>
          <w:t>National Guidelines for Medication-Assisted Treatment of Opioid Dependence (MATOD)</w:t>
        </w:r>
      </w:hyperlink>
      <w:r w:rsidRPr="00BA3017">
        <w:t xml:space="preserve"> &lt;</w:t>
      </w:r>
      <w:hyperlink w:history="1"/>
      <w:r w:rsidRPr="00BA3017">
        <w:t>https://www.health.gov.au/resources/publications/national-guidelines-for-medication-assisted-treatment-of-opioid-dependence&gt;</w:t>
      </w:r>
    </w:p>
    <w:p w14:paraId="3F5019DD" w14:textId="77777777" w:rsidR="0023345B" w:rsidRPr="00334323" w:rsidRDefault="0023345B" w:rsidP="0023345B">
      <w:pPr>
        <w:pStyle w:val="Heading1"/>
      </w:pPr>
      <w:r w:rsidRPr="00334323">
        <w:t xml:space="preserve">Depot buprenorphine injections: </w:t>
      </w:r>
      <w:r w:rsidRPr="00334323">
        <w:rPr>
          <w:sz w:val="32"/>
          <w:szCs w:val="32"/>
        </w:rPr>
        <w:t>Buvidal</w:t>
      </w:r>
      <w:r w:rsidRPr="00334323">
        <w:rPr>
          <w:sz w:val="32"/>
          <w:szCs w:val="32"/>
          <w:vertAlign w:val="superscript"/>
        </w:rPr>
        <w:t>®</w:t>
      </w:r>
      <w:r w:rsidRPr="00334323">
        <w:rPr>
          <w:sz w:val="32"/>
          <w:szCs w:val="32"/>
        </w:rPr>
        <w:t xml:space="preserve"> and Sublocade</w:t>
      </w:r>
      <w:r w:rsidRPr="00334323">
        <w:rPr>
          <w:sz w:val="32"/>
          <w:szCs w:val="32"/>
          <w:vertAlign w:val="superscript"/>
        </w:rPr>
        <w:t>®</w:t>
      </w:r>
      <w:bookmarkEnd w:id="4"/>
    </w:p>
    <w:p w14:paraId="7EFD0720" w14:textId="480A3B6E" w:rsidR="0023345B" w:rsidRPr="00334323" w:rsidRDefault="0023345B" w:rsidP="004363C5">
      <w:pPr>
        <w:pStyle w:val="DHHSbody"/>
      </w:pPr>
      <w:r w:rsidRPr="00334323">
        <w:t>Buvidal and Sublocade should be administered only by registered health practitioners</w:t>
      </w:r>
      <w:r w:rsidR="00334323">
        <w:t>,</w:t>
      </w:r>
      <w:r w:rsidRPr="00334323">
        <w:t xml:space="preserve"> </w:t>
      </w:r>
      <w:r w:rsidR="00334323" w:rsidRPr="00334323">
        <w:t>who have completed the administration training</w:t>
      </w:r>
      <w:r w:rsidR="00334323">
        <w:t>,</w:t>
      </w:r>
      <w:r w:rsidR="00334323" w:rsidRPr="00334323">
        <w:t xml:space="preserve"> </w:t>
      </w:r>
      <w:r w:rsidRPr="00334323">
        <w:t>and</w:t>
      </w:r>
      <w:r w:rsidR="00334323">
        <w:t xml:space="preserve"> should</w:t>
      </w:r>
      <w:r w:rsidRPr="00334323">
        <w:t xml:space="preserve"> </w:t>
      </w:r>
      <w:r w:rsidRPr="00334323">
        <w:rPr>
          <w:b/>
        </w:rPr>
        <w:t>NOT</w:t>
      </w:r>
      <w:r w:rsidRPr="00334323">
        <w:t xml:space="preserve"> supplied to </w:t>
      </w:r>
      <w:r w:rsidR="00334323">
        <w:t xml:space="preserve">(or handled by) </w:t>
      </w:r>
      <w:r w:rsidRPr="00334323">
        <w:t xml:space="preserve">patients or carers. </w:t>
      </w:r>
    </w:p>
    <w:p w14:paraId="4C0760A4" w14:textId="4B96CD1E" w:rsidR="0023345B" w:rsidRPr="00334323" w:rsidRDefault="00334323" w:rsidP="004363C5">
      <w:pPr>
        <w:pStyle w:val="DHHSbody"/>
      </w:pPr>
      <w:r>
        <w:t>T</w:t>
      </w:r>
      <w:r w:rsidR="0023345B" w:rsidRPr="00334323">
        <w:t xml:space="preserve">he following information is extremely basic and pharmacists are advised to review the </w:t>
      </w:r>
      <w:r w:rsidR="0023345B" w:rsidRPr="00334323">
        <w:rPr>
          <w:i/>
        </w:rPr>
        <w:t>‘Brief clinical guidelines for use of depot buprenorphine (Buvidal® and Sublocade®) in the treatment of opioid dependence</w:t>
      </w:r>
      <w:r w:rsidR="0023345B" w:rsidRPr="00334323">
        <w:t xml:space="preserve">’ if </w:t>
      </w:r>
      <w:r w:rsidR="004363C5" w:rsidRPr="00334323">
        <w:t>further</w:t>
      </w:r>
      <w:r w:rsidR="0023345B" w:rsidRPr="00334323">
        <w:t xml:space="preserve"> information is required.</w:t>
      </w:r>
      <w:r>
        <w:t xml:space="preserve"> The link to this document is shown on page 1</w:t>
      </w:r>
      <w:r w:rsidR="00BF2E7A">
        <w:t>9</w:t>
      </w:r>
      <w:r>
        <w:t>.</w:t>
      </w:r>
    </w:p>
    <w:p w14:paraId="521363E5" w14:textId="77777777" w:rsidR="0023345B" w:rsidRPr="00334323" w:rsidRDefault="0023345B" w:rsidP="0023345B">
      <w:pPr>
        <w:pStyle w:val="Heading2"/>
        <w:rPr>
          <w:rFonts w:eastAsia="Times"/>
        </w:rPr>
      </w:pPr>
      <w:bookmarkStart w:id="6" w:name="_Hlk34219532"/>
      <w:r w:rsidRPr="00334323">
        <w:rPr>
          <w:rFonts w:eastAsia="Times"/>
        </w:rPr>
        <w:t>Buvidal</w:t>
      </w:r>
      <w:r w:rsidRPr="00334323">
        <w:rPr>
          <w:rFonts w:eastAsia="Times"/>
          <w:vertAlign w:val="superscript"/>
        </w:rPr>
        <w:t>®</w:t>
      </w:r>
    </w:p>
    <w:bookmarkEnd w:id="6"/>
    <w:p w14:paraId="4CEC2CBF" w14:textId="77777777" w:rsidR="0023345B" w:rsidRPr="00334323" w:rsidRDefault="0023345B" w:rsidP="004363C5">
      <w:pPr>
        <w:pStyle w:val="DHHSbody"/>
        <w:rPr>
          <w:lang w:val="en-US"/>
        </w:rPr>
      </w:pPr>
      <w:r w:rsidRPr="00334323">
        <w:rPr>
          <w:b/>
          <w:lang w:val="en-US"/>
        </w:rPr>
        <w:t>Buvidal</w:t>
      </w:r>
      <w:r w:rsidRPr="00334323">
        <w:rPr>
          <w:lang w:val="en-US"/>
        </w:rPr>
        <w:t xml:space="preserve"> is a modified-release formulation presented in prefilled syringes for subcutaneous injection.</w:t>
      </w:r>
    </w:p>
    <w:p w14:paraId="1B7D6C16" w14:textId="77777777" w:rsidR="0023345B" w:rsidRPr="00334323" w:rsidRDefault="0023345B" w:rsidP="004363C5">
      <w:pPr>
        <w:pStyle w:val="DHHSbullet1"/>
        <w:rPr>
          <w:lang w:val="en-US"/>
        </w:rPr>
      </w:pPr>
      <w:r w:rsidRPr="00334323">
        <w:rPr>
          <w:lang w:val="en-US"/>
        </w:rPr>
        <w:t xml:space="preserve">There are 4 dose strengths of Buvidal Weekly for </w:t>
      </w:r>
      <w:proofErr w:type="gramStart"/>
      <w:r w:rsidRPr="00334323">
        <w:rPr>
          <w:lang w:val="en-US"/>
        </w:rPr>
        <w:t>once</w:t>
      </w:r>
      <w:proofErr w:type="gramEnd"/>
      <w:r w:rsidRPr="00334323">
        <w:rPr>
          <w:lang w:val="en-US"/>
        </w:rPr>
        <w:t xml:space="preserve"> weekly injection</w:t>
      </w:r>
    </w:p>
    <w:p w14:paraId="35A85385" w14:textId="77777777" w:rsidR="0023345B" w:rsidRPr="00334323" w:rsidRDefault="0023345B" w:rsidP="004363C5">
      <w:pPr>
        <w:pStyle w:val="DHHSbullet1"/>
        <w:rPr>
          <w:lang w:val="en-US"/>
        </w:rPr>
      </w:pPr>
      <w:r w:rsidRPr="00334323">
        <w:rPr>
          <w:lang w:val="en-US"/>
        </w:rPr>
        <w:t>There are 3 dose strengths of Buvidal Monthly for monthly injection</w:t>
      </w:r>
    </w:p>
    <w:p w14:paraId="1598F2C1" w14:textId="77777777" w:rsidR="0023345B" w:rsidRPr="00334323" w:rsidRDefault="0023345B" w:rsidP="004363C5">
      <w:pPr>
        <w:pStyle w:val="DHHSbullet1lastline"/>
        <w:rPr>
          <w:lang w:val="en-US"/>
        </w:rPr>
      </w:pPr>
      <w:r w:rsidRPr="00334323">
        <w:rPr>
          <w:lang w:val="en-US"/>
        </w:rPr>
        <w:t>Refrigeration is not required; Buvidal is to be stored at room temperature (</w:t>
      </w:r>
      <w:r w:rsidR="00334323">
        <w:rPr>
          <w:lang w:val="en-US"/>
        </w:rPr>
        <w:t xml:space="preserve">i.e. </w:t>
      </w:r>
      <w:r w:rsidRPr="00334323">
        <w:rPr>
          <w:lang w:val="en-US"/>
        </w:rPr>
        <w:t>below 25</w:t>
      </w:r>
      <w:r w:rsidRPr="00334323">
        <w:rPr>
          <w:vertAlign w:val="superscript"/>
          <w:lang w:val="en-US"/>
        </w:rPr>
        <w:t>o</w:t>
      </w:r>
      <w:r w:rsidRPr="00334323">
        <w:rPr>
          <w:lang w:val="en-US"/>
        </w:rPr>
        <w:t>C)</w:t>
      </w:r>
    </w:p>
    <w:p w14:paraId="27A59CFF" w14:textId="77777777" w:rsidR="0023345B" w:rsidRPr="00334323" w:rsidRDefault="0023345B" w:rsidP="0023345B">
      <w:pPr>
        <w:pStyle w:val="Heading2"/>
        <w:rPr>
          <w:rFonts w:eastAsia="Times"/>
        </w:rPr>
      </w:pPr>
      <w:r w:rsidRPr="00334323">
        <w:rPr>
          <w:rFonts w:eastAsia="Times"/>
        </w:rPr>
        <w:t>Sublocade</w:t>
      </w:r>
      <w:r w:rsidRPr="00334323">
        <w:rPr>
          <w:rFonts w:eastAsia="Times"/>
          <w:vertAlign w:val="superscript"/>
        </w:rPr>
        <w:t>®</w:t>
      </w:r>
    </w:p>
    <w:p w14:paraId="1784B609" w14:textId="77777777" w:rsidR="0023345B" w:rsidRPr="00334323" w:rsidRDefault="0023345B" w:rsidP="004363C5">
      <w:pPr>
        <w:pStyle w:val="DHHSbody"/>
      </w:pPr>
      <w:r w:rsidRPr="00334323">
        <w:rPr>
          <w:b/>
        </w:rPr>
        <w:t>Sublocade</w:t>
      </w:r>
      <w:r w:rsidRPr="00334323">
        <w:t xml:space="preserve"> is an extended-release formulation presented in prefilled syringes for subcutaneous injection.</w:t>
      </w:r>
    </w:p>
    <w:p w14:paraId="5948311D" w14:textId="77777777" w:rsidR="0023345B" w:rsidRPr="00334323" w:rsidRDefault="0023345B" w:rsidP="004363C5">
      <w:pPr>
        <w:pStyle w:val="DHHSbullet1"/>
        <w:rPr>
          <w:lang w:val="en-US"/>
        </w:rPr>
      </w:pPr>
      <w:r w:rsidRPr="00334323">
        <w:rPr>
          <w:lang w:val="en-US"/>
        </w:rPr>
        <w:t>There are 2 dose strengths of Sublocade intended for monthly injection.</w:t>
      </w:r>
    </w:p>
    <w:p w14:paraId="41910811" w14:textId="77777777" w:rsidR="0023345B" w:rsidRPr="00334323" w:rsidRDefault="0023345B" w:rsidP="004363C5">
      <w:pPr>
        <w:pStyle w:val="DHHSbullet1"/>
        <w:rPr>
          <w:lang w:val="en-US"/>
        </w:rPr>
      </w:pPr>
      <w:r w:rsidRPr="00334323">
        <w:rPr>
          <w:lang w:val="en-US"/>
        </w:rPr>
        <w:t>REFRIGERATION IS REQUIRED FOR THE STORAGE OF SUBLOCADE (2 to 8</w:t>
      </w:r>
      <w:r w:rsidRPr="00334323">
        <w:rPr>
          <w:vertAlign w:val="superscript"/>
          <w:lang w:val="en-US"/>
        </w:rPr>
        <w:t>o</w:t>
      </w:r>
      <w:r w:rsidRPr="00334323">
        <w:rPr>
          <w:lang w:val="en-US"/>
        </w:rPr>
        <w:t>C).</w:t>
      </w:r>
    </w:p>
    <w:p w14:paraId="73EF488B" w14:textId="77777777" w:rsidR="0023345B" w:rsidRPr="00334323" w:rsidRDefault="0023345B" w:rsidP="004363C5">
      <w:pPr>
        <w:pStyle w:val="DHHSbullet2lastline"/>
        <w:rPr>
          <w:lang w:val="en-US"/>
        </w:rPr>
      </w:pPr>
      <w:r w:rsidRPr="00334323">
        <w:rPr>
          <w:lang w:val="en-US"/>
        </w:rPr>
        <w:t>However, Sublocade may be stored at room temperature (below 30</w:t>
      </w:r>
      <w:r w:rsidRPr="00334323">
        <w:rPr>
          <w:vertAlign w:val="superscript"/>
          <w:lang w:val="en-US"/>
        </w:rPr>
        <w:t>o</w:t>
      </w:r>
      <w:r w:rsidRPr="00334323">
        <w:rPr>
          <w:lang w:val="en-US"/>
        </w:rPr>
        <w:t>C) for up to 7 days before use.</w:t>
      </w:r>
    </w:p>
    <w:p w14:paraId="3DBEEA91" w14:textId="77777777" w:rsidR="0023345B" w:rsidRPr="00334323" w:rsidRDefault="0023345B" w:rsidP="00110867">
      <w:pPr>
        <w:pStyle w:val="Heading1"/>
      </w:pPr>
      <w:bookmarkStart w:id="7" w:name="_Hlk34220560"/>
      <w:r w:rsidRPr="00334323">
        <w:t>Commencing buprenorphine depot treatment</w:t>
      </w:r>
    </w:p>
    <w:bookmarkEnd w:id="7"/>
    <w:p w14:paraId="60399012" w14:textId="77777777" w:rsidR="0023345B" w:rsidRPr="00334323" w:rsidRDefault="0023345B" w:rsidP="004363C5">
      <w:pPr>
        <w:pStyle w:val="DHHSbody"/>
      </w:pPr>
      <w:r w:rsidRPr="00334323">
        <w:t xml:space="preserve">It is anticipated that </w:t>
      </w:r>
      <w:r w:rsidR="00BA3017" w:rsidRPr="00334323">
        <w:t xml:space="preserve">all (or most) </w:t>
      </w:r>
      <w:r w:rsidRPr="00334323">
        <w:t xml:space="preserve">patients </w:t>
      </w:r>
      <w:r w:rsidR="00BA3017" w:rsidRPr="00334323">
        <w:t>who are to receive a</w:t>
      </w:r>
      <w:r w:rsidRPr="00334323">
        <w:t xml:space="preserve"> buprenorphine depot </w:t>
      </w:r>
      <w:r w:rsidR="00BA3017" w:rsidRPr="00334323">
        <w:t>injection will first need to be stabilised</w:t>
      </w:r>
      <w:r w:rsidR="00334323">
        <w:t>,</w:t>
      </w:r>
      <w:r w:rsidRPr="00334323">
        <w:t xml:space="preserve"> </w:t>
      </w:r>
      <w:r w:rsidR="00334323" w:rsidRPr="00334323">
        <w:t>for a period not less than 7 days</w:t>
      </w:r>
      <w:r w:rsidR="00334323">
        <w:t>,</w:t>
      </w:r>
      <w:r w:rsidR="00334323" w:rsidRPr="00334323">
        <w:t xml:space="preserve"> </w:t>
      </w:r>
      <w:r w:rsidRPr="00334323">
        <w:t>with buprenorphine in a sublingual formulation</w:t>
      </w:r>
      <w:r w:rsidR="00BA3017" w:rsidRPr="00334323">
        <w:t>.</w:t>
      </w:r>
      <w:r w:rsidR="0038459A">
        <w:t xml:space="preserve"> </w:t>
      </w:r>
      <w:r w:rsidRPr="00334323">
        <w:t xml:space="preserve">There is limited </w:t>
      </w:r>
      <w:r w:rsidRPr="00334323">
        <w:lastRenderedPageBreak/>
        <w:t>experience and no documented evidence regarding transferring patients from methadone directly to depot buprenorphine treatment.</w:t>
      </w:r>
    </w:p>
    <w:p w14:paraId="1B58E2C0" w14:textId="77777777" w:rsidR="0023345B" w:rsidRPr="00334323" w:rsidRDefault="0023345B" w:rsidP="0023345B">
      <w:pPr>
        <w:pStyle w:val="Heading2"/>
        <w:rPr>
          <w:rFonts w:eastAsia="Times"/>
        </w:rPr>
      </w:pPr>
      <w:r w:rsidRPr="00334323">
        <w:rPr>
          <w:rFonts w:eastAsia="Times"/>
        </w:rPr>
        <w:t>Related issues:</w:t>
      </w:r>
    </w:p>
    <w:p w14:paraId="3BFF9BEB" w14:textId="77777777" w:rsidR="0038459A" w:rsidRPr="00334323" w:rsidRDefault="0038459A" w:rsidP="0038459A">
      <w:pPr>
        <w:pStyle w:val="DHHSbullet1"/>
      </w:pPr>
      <w:r w:rsidRPr="00334323">
        <w:t>As with any Schedule 8 poison, a permit must be obtained before a medical practitioner commences treating an opioid-dependent patient with buprenorphine depot injections.</w:t>
      </w:r>
    </w:p>
    <w:p w14:paraId="580D5ABD" w14:textId="77777777" w:rsidR="0023345B" w:rsidRPr="00334323" w:rsidRDefault="0023345B" w:rsidP="004363C5">
      <w:pPr>
        <w:pStyle w:val="DHHSbullet1"/>
      </w:pPr>
      <w:r w:rsidRPr="00334323">
        <w:t xml:space="preserve">As buprenorphine depot injections </w:t>
      </w:r>
      <w:r w:rsidR="00074D79" w:rsidRPr="00334323">
        <w:t>may</w:t>
      </w:r>
      <w:r w:rsidRPr="00334323">
        <w:t xml:space="preserve"> not be dispensed at pharmacies, there will be no dispensing details to be captured on SafeScript. Therefore, the permit </w:t>
      </w:r>
      <w:r w:rsidR="00074D79" w:rsidRPr="00334323">
        <w:t>may</w:t>
      </w:r>
      <w:r w:rsidRPr="00334323">
        <w:t xml:space="preserve"> be the sole means of indicating that a patient might have had a buprenorphine depot injection administered.</w:t>
      </w:r>
    </w:p>
    <w:bookmarkEnd w:id="5"/>
    <w:p w14:paraId="135EF2BC" w14:textId="77777777" w:rsidR="0023345B" w:rsidRPr="00BA3017" w:rsidRDefault="00C4796F" w:rsidP="00C4796F">
      <w:pPr>
        <w:pStyle w:val="Heading3"/>
      </w:pPr>
      <w:r>
        <w:t>Additional reference material</w:t>
      </w:r>
    </w:p>
    <w:bookmarkStart w:id="8" w:name="_Toc11229043"/>
    <w:p w14:paraId="3C92C341" w14:textId="77777777" w:rsidR="0023345B" w:rsidRPr="00BA3017" w:rsidRDefault="0023345B" w:rsidP="0023345B">
      <w:pPr>
        <w:spacing w:after="120" w:line="270" w:lineRule="atLeast"/>
        <w:rPr>
          <w:rFonts w:ascii="Arial" w:eastAsia="Times" w:hAnsi="Arial"/>
          <w:color w:val="3366FF"/>
          <w:u w:val="dotted"/>
        </w:rPr>
      </w:pPr>
      <w:r w:rsidRPr="00BA3017">
        <w:rPr>
          <w:rFonts w:ascii="Arial" w:eastAsia="Times" w:hAnsi="Arial"/>
        </w:rPr>
        <w:fldChar w:fldCharType="begin"/>
      </w:r>
      <w:r w:rsidRPr="00BA3017">
        <w:rPr>
          <w:rFonts w:ascii="Arial" w:eastAsia="Times" w:hAnsi="Arial"/>
        </w:rPr>
        <w:instrText xml:space="preserve"> HYPERLINK "https://www.ebs.tga.gov.au/ebs/picmi/picmirepository.nsf/pdf?OpenAgent&amp;id=CP-2018-PI-02610-1" </w:instrText>
      </w:r>
      <w:r w:rsidRPr="00BA3017">
        <w:rPr>
          <w:rFonts w:ascii="Arial" w:eastAsia="Times" w:hAnsi="Arial"/>
        </w:rPr>
      </w:r>
      <w:r w:rsidRPr="00BA3017">
        <w:rPr>
          <w:rFonts w:ascii="Arial" w:eastAsia="Times" w:hAnsi="Arial"/>
        </w:rPr>
        <w:fldChar w:fldCharType="separate"/>
      </w:r>
      <w:r w:rsidRPr="00BA3017">
        <w:rPr>
          <w:rFonts w:ascii="Arial" w:eastAsia="Times" w:hAnsi="Arial"/>
          <w:color w:val="3366FF"/>
          <w:u w:val="dotted"/>
        </w:rPr>
        <w:t>Buvidal Weekly product information</w:t>
      </w:r>
      <w:r w:rsidRPr="00BA3017">
        <w:rPr>
          <w:rFonts w:ascii="Arial" w:eastAsia="Times" w:hAnsi="Arial"/>
        </w:rPr>
        <w:fldChar w:fldCharType="end"/>
      </w:r>
      <w:r w:rsidRPr="00BA3017">
        <w:rPr>
          <w:rFonts w:ascii="Arial" w:eastAsia="Times" w:hAnsi="Arial"/>
        </w:rPr>
        <w:t xml:space="preserve"> Australia &lt;</w:t>
      </w:r>
      <w:bookmarkEnd w:id="8"/>
      <w:r w:rsidRPr="00BA3017">
        <w:rPr>
          <w:rFonts w:ascii="Arial" w:eastAsia="Times" w:hAnsi="Arial"/>
        </w:rPr>
        <w:t>https://www.ebs.tga.gov.au/ebs/picmi/picmirepository.nsf/pdf?OpenAgent&amp;id=CP-2018-PI-02610-1&gt;</w:t>
      </w:r>
    </w:p>
    <w:bookmarkStart w:id="9" w:name="aUSTRALIAN_PRODUCT_INFORMATION"/>
    <w:bookmarkStart w:id="10" w:name="_Buvidal®_monthly_product"/>
    <w:bookmarkStart w:id="11" w:name="_Ref3291079"/>
    <w:bookmarkStart w:id="12" w:name="_Toc11229044"/>
    <w:bookmarkEnd w:id="9"/>
    <w:bookmarkEnd w:id="10"/>
    <w:p w14:paraId="65596DDA" w14:textId="77777777" w:rsidR="0023345B" w:rsidRPr="00BA3017" w:rsidRDefault="0023345B" w:rsidP="0023345B">
      <w:pPr>
        <w:spacing w:after="120" w:line="270" w:lineRule="atLeast"/>
        <w:rPr>
          <w:rFonts w:ascii="Arial" w:eastAsia="Times" w:hAnsi="Arial"/>
          <w:color w:val="3366FF"/>
          <w:u w:val="dotted"/>
        </w:rPr>
      </w:pPr>
      <w:r w:rsidRPr="00BA3017">
        <w:rPr>
          <w:rFonts w:ascii="Arial" w:eastAsia="Times" w:hAnsi="Arial"/>
        </w:rPr>
        <w:fldChar w:fldCharType="begin"/>
      </w:r>
      <w:r w:rsidRPr="00BA3017">
        <w:rPr>
          <w:rFonts w:ascii="Arial" w:eastAsia="Times" w:hAnsi="Arial"/>
        </w:rPr>
        <w:instrText xml:space="preserve"> HYPERLINK "https://www.ebs.tga.gov.au/ebs/picmi/picmirepository.nsf/pdf?OpenAgent&amp;id=CP-2018-PI-02610-1" </w:instrText>
      </w:r>
      <w:r w:rsidRPr="00BA3017">
        <w:rPr>
          <w:rFonts w:ascii="Arial" w:eastAsia="Times" w:hAnsi="Arial"/>
        </w:rPr>
      </w:r>
      <w:r w:rsidRPr="00BA3017">
        <w:rPr>
          <w:rFonts w:ascii="Arial" w:eastAsia="Times" w:hAnsi="Arial"/>
        </w:rPr>
        <w:fldChar w:fldCharType="separate"/>
      </w:r>
      <w:r w:rsidRPr="00BA3017">
        <w:rPr>
          <w:rFonts w:ascii="Arial" w:eastAsia="Times" w:hAnsi="Arial"/>
          <w:color w:val="3366FF"/>
          <w:u w:val="dotted"/>
        </w:rPr>
        <w:t>Buvidal Monthly product information</w:t>
      </w:r>
      <w:r w:rsidRPr="00BA3017">
        <w:rPr>
          <w:rFonts w:ascii="Arial" w:eastAsia="Times" w:hAnsi="Arial"/>
        </w:rPr>
        <w:fldChar w:fldCharType="end"/>
      </w:r>
      <w:r w:rsidRPr="00BA3017">
        <w:rPr>
          <w:rFonts w:ascii="Arial" w:eastAsia="Times" w:hAnsi="Arial"/>
        </w:rPr>
        <w:t xml:space="preserve"> Australia </w:t>
      </w:r>
      <w:bookmarkEnd w:id="11"/>
      <w:bookmarkEnd w:id="12"/>
      <w:r w:rsidRPr="00BA3017">
        <w:rPr>
          <w:rFonts w:ascii="Arial" w:eastAsia="Times" w:hAnsi="Arial"/>
        </w:rPr>
        <w:t>&lt;https://www.ebs.tga.gov.au/ebs/picmi/picmirepository.nsf/pdf?OpenAgent&amp;id=CP-2018-PI-02611-1&gt;</w:t>
      </w:r>
    </w:p>
    <w:bookmarkStart w:id="13" w:name="_Sublocade®_prescribing_information"/>
    <w:bookmarkStart w:id="14" w:name="_Ref3291080"/>
    <w:bookmarkStart w:id="15" w:name="_Toc11229045"/>
    <w:bookmarkEnd w:id="13"/>
    <w:p w14:paraId="32D82AD9" w14:textId="05F3216A" w:rsidR="0023345B" w:rsidRPr="00BA3017" w:rsidRDefault="0023345B" w:rsidP="0023345B">
      <w:pPr>
        <w:spacing w:after="120" w:line="270" w:lineRule="atLeast"/>
        <w:rPr>
          <w:rFonts w:ascii="Arial" w:eastAsia="Times" w:hAnsi="Arial"/>
        </w:rPr>
      </w:pPr>
      <w:r w:rsidRPr="00BA3017">
        <w:rPr>
          <w:rFonts w:ascii="Arial" w:eastAsia="Times" w:hAnsi="Arial"/>
        </w:rPr>
        <w:fldChar w:fldCharType="begin"/>
      </w:r>
      <w:r w:rsidR="00C05F60">
        <w:rPr>
          <w:rFonts w:ascii="Arial" w:eastAsia="Times" w:hAnsi="Arial"/>
        </w:rPr>
        <w:instrText>HYPERLINK "http://www.health.vic.gov.au/dpcs"</w:instrText>
      </w:r>
      <w:r w:rsidRPr="00BA3017">
        <w:rPr>
          <w:rFonts w:ascii="Arial" w:eastAsia="Times" w:hAnsi="Arial"/>
        </w:rPr>
      </w:r>
      <w:r w:rsidRPr="00BA3017">
        <w:rPr>
          <w:rFonts w:ascii="Arial" w:eastAsia="Times" w:hAnsi="Arial"/>
        </w:rPr>
        <w:fldChar w:fldCharType="separate"/>
      </w:r>
      <w:r w:rsidRPr="00BA3017">
        <w:rPr>
          <w:rFonts w:ascii="Arial" w:eastAsia="Times" w:hAnsi="Arial"/>
          <w:color w:val="3366FF"/>
          <w:u w:val="dotted"/>
        </w:rPr>
        <w:t>Sublocade product information</w:t>
      </w:r>
      <w:r w:rsidRPr="00BA3017">
        <w:rPr>
          <w:rFonts w:ascii="Arial" w:eastAsia="Times" w:hAnsi="Arial"/>
        </w:rPr>
        <w:fldChar w:fldCharType="end"/>
      </w:r>
      <w:r w:rsidRPr="00BA3017">
        <w:rPr>
          <w:rFonts w:ascii="Arial" w:eastAsia="Times" w:hAnsi="Arial"/>
        </w:rPr>
        <w:t xml:space="preserve"> Australia &lt;</w:t>
      </w:r>
      <w:r w:rsidR="00C05F60" w:rsidRPr="00C05F60">
        <w:t xml:space="preserve"> </w:t>
      </w:r>
      <w:r w:rsidR="00C05F60" w:rsidRPr="00C05F60">
        <w:rPr>
          <w:rFonts w:ascii="Arial" w:eastAsia="Times" w:hAnsi="Arial"/>
        </w:rPr>
        <w:t>www.health.vic.gov.au/dpcs</w:t>
      </w:r>
      <w:r w:rsidR="00C05F60" w:rsidRPr="00C05F60" w:rsidDel="00C05F60">
        <w:rPr>
          <w:rFonts w:ascii="Arial" w:eastAsia="Times" w:hAnsi="Arial"/>
        </w:rPr>
        <w:t xml:space="preserve"> </w:t>
      </w:r>
      <w:r w:rsidRPr="00BA3017">
        <w:rPr>
          <w:rFonts w:ascii="Arial" w:eastAsia="Times" w:hAnsi="Arial"/>
        </w:rPr>
        <w:t>&gt;</w:t>
      </w:r>
    </w:p>
    <w:p w14:paraId="29F09AD4" w14:textId="07445C33" w:rsidR="0023345B" w:rsidRPr="007F5D69" w:rsidRDefault="0023345B" w:rsidP="0023345B">
      <w:pPr>
        <w:spacing w:after="120" w:line="270" w:lineRule="atLeast"/>
        <w:rPr>
          <w:rFonts w:ascii="Arial" w:eastAsia="Times" w:hAnsi="Arial"/>
        </w:rPr>
      </w:pPr>
      <w:hyperlink r:id="rId30" w:history="1">
        <w:r w:rsidRPr="00BA3017">
          <w:rPr>
            <w:rFonts w:ascii="Arial" w:eastAsia="Times" w:hAnsi="Arial"/>
            <w:color w:val="3366FF"/>
            <w:u w:val="dotted"/>
          </w:rPr>
          <w:t>Sublocade prescribing information</w:t>
        </w:r>
      </w:hyperlink>
      <w:r w:rsidRPr="00BA3017">
        <w:rPr>
          <w:rFonts w:ascii="Arial" w:eastAsia="Times" w:hAnsi="Arial"/>
        </w:rPr>
        <w:t xml:space="preserve"> US</w:t>
      </w:r>
      <w:bookmarkEnd w:id="14"/>
      <w:bookmarkEnd w:id="15"/>
      <w:r w:rsidRPr="00BA3017">
        <w:rPr>
          <w:rFonts w:ascii="Arial" w:eastAsia="Times" w:hAnsi="Arial"/>
        </w:rPr>
        <w:t xml:space="preserve"> </w:t>
      </w:r>
      <w:r w:rsidR="0094768D">
        <w:rPr>
          <w:rFonts w:ascii="Arial" w:eastAsia="Times" w:hAnsi="Arial"/>
        </w:rPr>
        <w:t>&lt;</w:t>
      </w:r>
      <w:r w:rsidRPr="00BA3017">
        <w:rPr>
          <w:rFonts w:ascii="Arial" w:eastAsia="Times" w:hAnsi="Arial"/>
        </w:rPr>
        <w:t>https://www.sublocade.com/Content/pdf/prescribing-information.pdf</w:t>
      </w:r>
      <w:r w:rsidR="0094768D">
        <w:rPr>
          <w:rFonts w:ascii="Arial" w:eastAsia="Times" w:hAnsi="Arial"/>
        </w:rPr>
        <w:t>&gt;</w:t>
      </w:r>
      <w:r w:rsidRPr="00BA3017">
        <w:rPr>
          <w:rFonts w:ascii="Arial" w:eastAsia="Times" w:hAnsi="Arial"/>
        </w:rPr>
        <w:fldChar w:fldCharType="begin"/>
      </w:r>
      <w:r w:rsidRPr="00BA3017">
        <w:rPr>
          <w:rFonts w:ascii="Arial" w:eastAsia="Times" w:hAnsi="Arial"/>
        </w:rPr>
        <w:instrText xml:space="preserve"> ADDIN EN.REFLIST </w:instrText>
      </w:r>
      <w:r w:rsidRPr="00BA3017">
        <w:rPr>
          <w:rFonts w:ascii="Arial" w:eastAsia="Times" w:hAnsi="Arial"/>
        </w:rPr>
        <w:fldChar w:fldCharType="end"/>
      </w:r>
    </w:p>
    <w:p w14:paraId="0E70823F" w14:textId="77777777" w:rsidR="0023345B" w:rsidRDefault="0023345B" w:rsidP="003C6D2C">
      <w:pPr>
        <w:pStyle w:val="DHHSbody"/>
        <w:rPr>
          <w:rStyle w:val="Hyperlink"/>
        </w:rPr>
      </w:pPr>
    </w:p>
    <w:tbl>
      <w:tblPr>
        <w:tblW w:w="4800" w:type="pct"/>
        <w:tblInd w:w="113" w:type="dxa"/>
        <w:tblCellMar>
          <w:top w:w="113" w:type="dxa"/>
          <w:bottom w:w="57" w:type="dxa"/>
        </w:tblCellMar>
        <w:tblLook w:val="00A0" w:firstRow="1" w:lastRow="0" w:firstColumn="1" w:lastColumn="0" w:noHBand="0" w:noVBand="0"/>
      </w:tblPr>
      <w:tblGrid>
        <w:gridCol w:w="9786"/>
      </w:tblGrid>
      <w:tr w:rsidR="002802E3" w:rsidRPr="002802E3" w14:paraId="38DEA18A" w14:textId="77777777" w:rsidTr="006A4FEC">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F99B0B0" w14:textId="77777777" w:rsidR="0044544C" w:rsidRDefault="0044544C" w:rsidP="0044544C">
            <w:pPr>
              <w:pStyle w:val="Imprint"/>
              <w:rPr>
                <w:rStyle w:val="Hyperlink"/>
              </w:rPr>
            </w:pPr>
            <w:r w:rsidRPr="0055119B">
              <w:t xml:space="preserve">To receive this document in another format </w:t>
            </w:r>
            <w:hyperlink r:id="rId31" w:history="1">
              <w:r w:rsidRPr="00950450">
                <w:rPr>
                  <w:rStyle w:val="Hyperlink"/>
                  <w:color w:val="auto"/>
                  <w:u w:val="none"/>
                </w:rPr>
                <w:t xml:space="preserve">email </w:t>
              </w:r>
              <w:r w:rsidRPr="00A938C0">
                <w:rPr>
                  <w:rStyle w:val="Hyperlink"/>
                </w:rPr>
                <w:t>dpcs@health.vic.gov.au</w:t>
              </w:r>
            </w:hyperlink>
          </w:p>
          <w:p w14:paraId="161BFE8C" w14:textId="77777777" w:rsidR="0044544C" w:rsidRPr="0055119B" w:rsidRDefault="0044544C" w:rsidP="0044544C">
            <w:pPr>
              <w:pStyle w:val="Imprint"/>
            </w:pPr>
            <w:r w:rsidRPr="0055119B">
              <w:t>Authorised and published by the Victorian Government, 1 Treasury Place, Melbourne.</w:t>
            </w:r>
          </w:p>
          <w:p w14:paraId="34EB1057" w14:textId="1AF43A08" w:rsidR="002802E3" w:rsidRPr="000071F9" w:rsidRDefault="0044544C" w:rsidP="00A32657">
            <w:pPr>
              <w:pStyle w:val="DHHSbody"/>
            </w:pPr>
            <w:r w:rsidRPr="0055119B">
              <w:t xml:space="preserve">© State of Victoria, Australia, </w:t>
            </w:r>
            <w:r w:rsidRPr="001E2A36">
              <w:t xml:space="preserve">Department of </w:t>
            </w:r>
            <w:r w:rsidRPr="00BF2E7A">
              <w:t>Health</w:t>
            </w:r>
            <w:r w:rsidRPr="00950450">
              <w:rPr>
                <w:rFonts w:cs="Arial"/>
              </w:rPr>
              <w:t xml:space="preserve">, </w:t>
            </w:r>
            <w:r w:rsidRPr="00950450">
              <w:rPr>
                <w:rFonts w:eastAsia="Times New Roman" w:cs="Arial"/>
              </w:rPr>
              <w:t>July 2025</w:t>
            </w:r>
            <w:r w:rsidRPr="00950450">
              <w:rPr>
                <w:rFonts w:cs="Arial"/>
              </w:rPr>
              <w:t>.</w:t>
            </w:r>
          </w:p>
        </w:tc>
      </w:tr>
    </w:tbl>
    <w:p w14:paraId="4FE7ECFE" w14:textId="77777777" w:rsidR="006A4FEC" w:rsidRPr="00906490" w:rsidRDefault="006A4FEC" w:rsidP="00FF6D9D">
      <w:pPr>
        <w:pStyle w:val="DHHSbody"/>
      </w:pPr>
    </w:p>
    <w:sectPr w:rsidR="006A4FEC"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BC910" w14:textId="77777777" w:rsidR="007C1131" w:rsidRDefault="007C1131">
      <w:r>
        <w:separator/>
      </w:r>
    </w:p>
  </w:endnote>
  <w:endnote w:type="continuationSeparator" w:id="0">
    <w:p w14:paraId="5314DA1B" w14:textId="77777777" w:rsidR="007C1131" w:rsidRDefault="007C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1E27" w14:textId="1F21E03A" w:rsidR="00961FDA" w:rsidRDefault="00961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913827"/>
      <w:docPartObj>
        <w:docPartGallery w:val="Page Numbers (Bottom of Page)"/>
        <w:docPartUnique/>
      </w:docPartObj>
    </w:sdtPr>
    <w:sdtEndPr>
      <w:rPr>
        <w:noProof/>
      </w:rPr>
    </w:sdtEndPr>
    <w:sdtContent>
      <w:p w14:paraId="725A9D22" w14:textId="520858B0" w:rsidR="00961FDA" w:rsidRDefault="00961F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DC5570" w14:textId="27C939E5" w:rsidR="00BA3017" w:rsidRPr="00F65AA9" w:rsidRDefault="00961FDA" w:rsidP="0051568D">
    <w:pPr>
      <w:pStyle w:val="DHHSfooter"/>
    </w:pPr>
    <w:r>
      <w:t>Pharmacotherapy self-assessment – for pharmacists providing opioid-replacement therapy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06C7" w14:textId="37003C9B" w:rsidR="00961FDA" w:rsidRDefault="00961F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8397" w14:textId="640F38BB" w:rsidR="00961FDA" w:rsidRDefault="00961F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AB3F" w14:textId="12806E2C" w:rsidR="00BA3017" w:rsidRPr="00A11421" w:rsidRDefault="00BA3017" w:rsidP="0051568D">
    <w:pPr>
      <w:pStyle w:val="DHHSfooter"/>
    </w:pPr>
    <w:r>
      <w:t>Pharmacotherapy self-assessment – for use by pharmacists providing opioid-replacement therapy</w:t>
    </w:r>
    <w:r w:rsidRPr="00A11421">
      <w:tab/>
    </w:r>
    <w:r w:rsidRPr="00A11421">
      <w:fldChar w:fldCharType="begin"/>
    </w:r>
    <w:r w:rsidRPr="00A11421">
      <w:instrText xml:space="preserve"> PAGE </w:instrText>
    </w:r>
    <w:r w:rsidRPr="00A11421">
      <w:fldChar w:fldCharType="separate"/>
    </w:r>
    <w:r>
      <w:rPr>
        <w:noProof/>
      </w:rPr>
      <w:t>18</w:t>
    </w:r>
    <w:r w:rsidRPr="00A1142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3EDE" w14:textId="2AC2E964" w:rsidR="00961FDA" w:rsidRDefault="00961FD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6383" w14:textId="24DF6F70" w:rsidR="00961FDA" w:rsidRDefault="00961FD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6CE8" w14:textId="00785EF4" w:rsidR="00BA3017" w:rsidRPr="00A11421" w:rsidRDefault="00BA3017" w:rsidP="0051568D">
    <w:pPr>
      <w:pStyle w:val="DHHSfooter"/>
    </w:pPr>
    <w:r>
      <w:t>Pharmacotherapy self-assessment – for pharmacists providing opioid-replacement therapy</w:t>
    </w:r>
    <w:r w:rsidRPr="00A11421">
      <w:tab/>
    </w:r>
    <w:r w:rsidRPr="00A11421">
      <w:fldChar w:fldCharType="begin"/>
    </w:r>
    <w:r w:rsidRPr="00A11421">
      <w:instrText xml:space="preserve"> PAGE </w:instrText>
    </w:r>
    <w:r w:rsidRPr="00A11421">
      <w:fldChar w:fldCharType="separate"/>
    </w:r>
    <w:r>
      <w:rPr>
        <w:noProof/>
      </w:rPr>
      <w:t>18</w:t>
    </w:r>
    <w:r w:rsidRPr="00A11421">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27A6" w14:textId="2CE8F7D5" w:rsidR="00961FDA" w:rsidRDefault="00961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F57F" w14:textId="77777777" w:rsidR="007C1131" w:rsidRDefault="007C1131" w:rsidP="002862F1">
      <w:pPr>
        <w:spacing w:before="120"/>
      </w:pPr>
      <w:r>
        <w:separator/>
      </w:r>
    </w:p>
  </w:footnote>
  <w:footnote w:type="continuationSeparator" w:id="0">
    <w:p w14:paraId="41634366" w14:textId="77777777" w:rsidR="007C1131" w:rsidRDefault="007C1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88B5" w14:textId="77777777" w:rsidR="00BA3017" w:rsidRPr="0051568D" w:rsidRDefault="00BA3017" w:rsidP="0051568D">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34BF" w14:textId="77777777" w:rsidR="00BA3017" w:rsidRPr="0051568D" w:rsidRDefault="00BA3017"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669"/>
    <w:multiLevelType w:val="hybridMultilevel"/>
    <w:tmpl w:val="E94CC60C"/>
    <w:lvl w:ilvl="0" w:tplc="8824581E">
      <w:start w:val="1"/>
      <w:numFmt w:val="bullet"/>
      <w:lvlText w:val=""/>
      <w:lvlJc w:val="left"/>
      <w:pPr>
        <w:tabs>
          <w:tab w:val="num" w:pos="720"/>
        </w:tabs>
        <w:ind w:left="720" w:hanging="360"/>
      </w:pPr>
      <w:rPr>
        <w:rFonts w:ascii="Wingdings" w:hAnsi="Wingdings" w:hint="default"/>
        <w:sz w:val="32"/>
      </w:rPr>
    </w:lvl>
    <w:lvl w:ilvl="1" w:tplc="0C090001">
      <w:start w:val="1"/>
      <w:numFmt w:val="bullet"/>
      <w:lvlText w:val=""/>
      <w:lvlJc w:val="left"/>
      <w:pPr>
        <w:tabs>
          <w:tab w:val="num" w:pos="1440"/>
        </w:tabs>
        <w:ind w:left="1440" w:hanging="360"/>
      </w:pPr>
      <w:rPr>
        <w:rFonts w:ascii="Symbol" w:hAnsi="Symbol"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0FB4FBB"/>
    <w:multiLevelType w:val="hybridMultilevel"/>
    <w:tmpl w:val="153AD832"/>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0575011E"/>
    <w:multiLevelType w:val="hybridMultilevel"/>
    <w:tmpl w:val="EFBA5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B12904"/>
    <w:multiLevelType w:val="hybridMultilevel"/>
    <w:tmpl w:val="8F927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8D43DB"/>
    <w:multiLevelType w:val="multilevel"/>
    <w:tmpl w:val="4B4E7622"/>
    <w:numStyleLink w:val="ZZNumbers"/>
  </w:abstractNum>
  <w:abstractNum w:abstractNumId="7" w15:restartNumberingAfterBreak="0">
    <w:nsid w:val="0E020CC8"/>
    <w:multiLevelType w:val="hybridMultilevel"/>
    <w:tmpl w:val="16F06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C03E51"/>
    <w:multiLevelType w:val="hybridMultilevel"/>
    <w:tmpl w:val="F61640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A613B6"/>
    <w:multiLevelType w:val="hybridMultilevel"/>
    <w:tmpl w:val="A67A2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846F43"/>
    <w:multiLevelType w:val="hybridMultilevel"/>
    <w:tmpl w:val="39EEC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D496B98"/>
    <w:multiLevelType w:val="hybridMultilevel"/>
    <w:tmpl w:val="DE340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0B0278"/>
    <w:multiLevelType w:val="hybridMultilevel"/>
    <w:tmpl w:val="7A102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19280E"/>
    <w:multiLevelType w:val="hybridMultilevel"/>
    <w:tmpl w:val="D4263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2C4CC9"/>
    <w:multiLevelType w:val="hybridMultilevel"/>
    <w:tmpl w:val="6F209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060453"/>
    <w:multiLevelType w:val="hybridMultilevel"/>
    <w:tmpl w:val="3DDEF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D97065"/>
    <w:multiLevelType w:val="hybridMultilevel"/>
    <w:tmpl w:val="351AB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606792D"/>
    <w:multiLevelType w:val="hybridMultilevel"/>
    <w:tmpl w:val="8E64055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17042F"/>
    <w:multiLevelType w:val="hybridMultilevel"/>
    <w:tmpl w:val="3D0A1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BB40D4"/>
    <w:multiLevelType w:val="hybridMultilevel"/>
    <w:tmpl w:val="902EC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1F632D"/>
    <w:multiLevelType w:val="hybridMultilevel"/>
    <w:tmpl w:val="05F60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17798B"/>
    <w:multiLevelType w:val="hybridMultilevel"/>
    <w:tmpl w:val="ACE4142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864582"/>
    <w:multiLevelType w:val="hybridMultilevel"/>
    <w:tmpl w:val="AB5EC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472963">
    <w:abstractNumId w:val="1"/>
  </w:num>
  <w:num w:numId="2" w16cid:durableId="1390231632">
    <w:abstractNumId w:val="3"/>
  </w:num>
  <w:num w:numId="3" w16cid:durableId="4742947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97380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72052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64052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1415973">
    <w:abstractNumId w:val="18"/>
  </w:num>
  <w:num w:numId="8" w16cid:durableId="633102619">
    <w:abstractNumId w:val="11"/>
  </w:num>
  <w:num w:numId="9" w16cid:durableId="112754173">
    <w:abstractNumId w:val="10"/>
  </w:num>
  <w:num w:numId="10" w16cid:durableId="598874483">
    <w:abstractNumId w:val="14"/>
  </w:num>
  <w:num w:numId="11" w16cid:durableId="752051003">
    <w:abstractNumId w:val="21"/>
  </w:num>
  <w:num w:numId="12" w16cid:durableId="1614164856">
    <w:abstractNumId w:val="20"/>
  </w:num>
  <w:num w:numId="13" w16cid:durableId="2106608324">
    <w:abstractNumId w:val="13"/>
  </w:num>
  <w:num w:numId="14" w16cid:durableId="1736708472">
    <w:abstractNumId w:val="7"/>
  </w:num>
  <w:num w:numId="15" w16cid:durableId="686909942">
    <w:abstractNumId w:val="15"/>
  </w:num>
  <w:num w:numId="16" w16cid:durableId="43524125">
    <w:abstractNumId w:val="19"/>
  </w:num>
  <w:num w:numId="17" w16cid:durableId="159195798">
    <w:abstractNumId w:val="23"/>
  </w:num>
  <w:num w:numId="18" w16cid:durableId="2027755549">
    <w:abstractNumId w:val="18"/>
    <w:lvlOverride w:ilvl="0"/>
    <w:lvlOverride w:ilvl="1"/>
    <w:lvlOverride w:ilvl="2"/>
    <w:lvlOverride w:ilvl="3"/>
    <w:lvlOverride w:ilvl="4"/>
    <w:lvlOverride w:ilvl="5"/>
    <w:lvlOverride w:ilvl="6"/>
    <w:lvlOverride w:ilvl="7">
      <w:startOverride w:val="1"/>
    </w:lvlOverride>
    <w:lvlOverride w:ilvl="8">
      <w:startOverride w:val="1"/>
    </w:lvlOverride>
  </w:num>
  <w:num w:numId="19" w16cid:durableId="1122724613">
    <w:abstractNumId w:val="22"/>
  </w:num>
  <w:num w:numId="20" w16cid:durableId="2127187610">
    <w:abstractNumId w:val="18"/>
    <w:lvlOverride w:ilvl="0"/>
    <w:lvlOverride w:ilvl="1"/>
    <w:lvlOverride w:ilvl="2"/>
    <w:lvlOverride w:ilvl="3"/>
    <w:lvlOverride w:ilvl="4"/>
    <w:lvlOverride w:ilvl="5"/>
    <w:lvlOverride w:ilvl="6"/>
    <w:lvlOverride w:ilvl="7">
      <w:startOverride w:val="1"/>
    </w:lvlOverride>
    <w:lvlOverride w:ilvl="8">
      <w:startOverride w:val="1"/>
    </w:lvlOverride>
  </w:num>
  <w:num w:numId="21" w16cid:durableId="1570380528">
    <w:abstractNumId w:val="18"/>
    <w:lvlOverride w:ilvl="0"/>
    <w:lvlOverride w:ilvl="1"/>
    <w:lvlOverride w:ilvl="2"/>
    <w:lvlOverride w:ilvl="3"/>
    <w:lvlOverride w:ilvl="4"/>
    <w:lvlOverride w:ilvl="5"/>
    <w:lvlOverride w:ilvl="6"/>
    <w:lvlOverride w:ilvl="7">
      <w:startOverride w:val="1"/>
    </w:lvlOverride>
    <w:lvlOverride w:ilvl="8">
      <w:startOverride w:val="1"/>
    </w:lvlOverride>
  </w:num>
  <w:num w:numId="22" w16cid:durableId="1257402848">
    <w:abstractNumId w:val="0"/>
  </w:num>
  <w:num w:numId="23" w16cid:durableId="1329819777">
    <w:abstractNumId w:val="2"/>
  </w:num>
  <w:num w:numId="24" w16cid:durableId="456460533">
    <w:abstractNumId w:val="8"/>
  </w:num>
  <w:num w:numId="25" w16cid:durableId="1831142227">
    <w:abstractNumId w:val="5"/>
  </w:num>
  <w:num w:numId="26" w16cid:durableId="52238617">
    <w:abstractNumId w:val="16"/>
  </w:num>
  <w:num w:numId="27" w16cid:durableId="228659686">
    <w:abstractNumId w:val="24"/>
  </w:num>
  <w:num w:numId="28" w16cid:durableId="1836454079">
    <w:abstractNumId w:val="4"/>
  </w:num>
  <w:num w:numId="29" w16cid:durableId="381441505">
    <w:abstractNumId w:val="17"/>
  </w:num>
  <w:num w:numId="30" w16cid:durableId="331178528">
    <w:abstractNumId w:val="9"/>
  </w:num>
  <w:num w:numId="31" w16cid:durableId="140649317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efaultTableStyle w:val="TableGrid"/>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5C"/>
    <w:rsid w:val="000071F9"/>
    <w:rsid w:val="000072B6"/>
    <w:rsid w:val="0001021B"/>
    <w:rsid w:val="00011D89"/>
    <w:rsid w:val="0002143D"/>
    <w:rsid w:val="00024D89"/>
    <w:rsid w:val="000250B6"/>
    <w:rsid w:val="000258B6"/>
    <w:rsid w:val="00032699"/>
    <w:rsid w:val="00033D81"/>
    <w:rsid w:val="00041BF0"/>
    <w:rsid w:val="000424B7"/>
    <w:rsid w:val="0004536B"/>
    <w:rsid w:val="00046B68"/>
    <w:rsid w:val="00050BC7"/>
    <w:rsid w:val="000527DD"/>
    <w:rsid w:val="00053A6A"/>
    <w:rsid w:val="000578B2"/>
    <w:rsid w:val="00060959"/>
    <w:rsid w:val="00063071"/>
    <w:rsid w:val="000663CD"/>
    <w:rsid w:val="000733FE"/>
    <w:rsid w:val="00074219"/>
    <w:rsid w:val="00074D79"/>
    <w:rsid w:val="00074ED5"/>
    <w:rsid w:val="0009113B"/>
    <w:rsid w:val="00094861"/>
    <w:rsid w:val="00094DA3"/>
    <w:rsid w:val="00095214"/>
    <w:rsid w:val="00096CD1"/>
    <w:rsid w:val="000A012C"/>
    <w:rsid w:val="000A0EB9"/>
    <w:rsid w:val="000A186C"/>
    <w:rsid w:val="000A6666"/>
    <w:rsid w:val="000B543D"/>
    <w:rsid w:val="000B5BF7"/>
    <w:rsid w:val="000B6BC8"/>
    <w:rsid w:val="000C42EA"/>
    <w:rsid w:val="000C4546"/>
    <w:rsid w:val="000D1242"/>
    <w:rsid w:val="000D1E72"/>
    <w:rsid w:val="000D1E97"/>
    <w:rsid w:val="000E3CC7"/>
    <w:rsid w:val="000E6BD4"/>
    <w:rsid w:val="000F1F1E"/>
    <w:rsid w:val="000F2259"/>
    <w:rsid w:val="00100E96"/>
    <w:rsid w:val="0010392D"/>
    <w:rsid w:val="0010447F"/>
    <w:rsid w:val="00104FE3"/>
    <w:rsid w:val="00107A6F"/>
    <w:rsid w:val="00110867"/>
    <w:rsid w:val="00120BD3"/>
    <w:rsid w:val="00122FEA"/>
    <w:rsid w:val="001232BD"/>
    <w:rsid w:val="00124ED5"/>
    <w:rsid w:val="00131172"/>
    <w:rsid w:val="001447B3"/>
    <w:rsid w:val="00152073"/>
    <w:rsid w:val="00161939"/>
    <w:rsid w:val="00161AA0"/>
    <w:rsid w:val="00162093"/>
    <w:rsid w:val="001771DD"/>
    <w:rsid w:val="00177995"/>
    <w:rsid w:val="00177A8C"/>
    <w:rsid w:val="00181EB3"/>
    <w:rsid w:val="00186B33"/>
    <w:rsid w:val="00192F9D"/>
    <w:rsid w:val="00196EB8"/>
    <w:rsid w:val="00196EFB"/>
    <w:rsid w:val="001979FF"/>
    <w:rsid w:val="00197B17"/>
    <w:rsid w:val="001A3ACE"/>
    <w:rsid w:val="001C277E"/>
    <w:rsid w:val="001C2A72"/>
    <w:rsid w:val="001C2D1E"/>
    <w:rsid w:val="001D0B75"/>
    <w:rsid w:val="001D31B6"/>
    <w:rsid w:val="001D3AA9"/>
    <w:rsid w:val="001D3C09"/>
    <w:rsid w:val="001D44E8"/>
    <w:rsid w:val="001D60EC"/>
    <w:rsid w:val="001E2DAF"/>
    <w:rsid w:val="001E33FC"/>
    <w:rsid w:val="001E3CA1"/>
    <w:rsid w:val="001E44DF"/>
    <w:rsid w:val="001E5FFF"/>
    <w:rsid w:val="001E68A5"/>
    <w:rsid w:val="001E6BB0"/>
    <w:rsid w:val="001F3826"/>
    <w:rsid w:val="001F5244"/>
    <w:rsid w:val="001F6E46"/>
    <w:rsid w:val="001F7C91"/>
    <w:rsid w:val="00206463"/>
    <w:rsid w:val="00206F2F"/>
    <w:rsid w:val="0021053D"/>
    <w:rsid w:val="00210A92"/>
    <w:rsid w:val="00216C03"/>
    <w:rsid w:val="00220C04"/>
    <w:rsid w:val="0022278D"/>
    <w:rsid w:val="00226602"/>
    <w:rsid w:val="0022701F"/>
    <w:rsid w:val="002333F5"/>
    <w:rsid w:val="0023345B"/>
    <w:rsid w:val="002334E2"/>
    <w:rsid w:val="00233724"/>
    <w:rsid w:val="0024322F"/>
    <w:rsid w:val="002432E1"/>
    <w:rsid w:val="00246207"/>
    <w:rsid w:val="00246C5E"/>
    <w:rsid w:val="00247AC3"/>
    <w:rsid w:val="00251343"/>
    <w:rsid w:val="002523C8"/>
    <w:rsid w:val="00254F58"/>
    <w:rsid w:val="002620BC"/>
    <w:rsid w:val="00262802"/>
    <w:rsid w:val="00263A90"/>
    <w:rsid w:val="0026408B"/>
    <w:rsid w:val="00267C3E"/>
    <w:rsid w:val="002709BB"/>
    <w:rsid w:val="002763B3"/>
    <w:rsid w:val="002802E3"/>
    <w:rsid w:val="002807B6"/>
    <w:rsid w:val="0028213D"/>
    <w:rsid w:val="002862F1"/>
    <w:rsid w:val="00291373"/>
    <w:rsid w:val="002940C1"/>
    <w:rsid w:val="0029597D"/>
    <w:rsid w:val="0029613B"/>
    <w:rsid w:val="002962C3"/>
    <w:rsid w:val="0029752B"/>
    <w:rsid w:val="002A483C"/>
    <w:rsid w:val="002A4BA4"/>
    <w:rsid w:val="002B1729"/>
    <w:rsid w:val="002B36C7"/>
    <w:rsid w:val="002B4DD4"/>
    <w:rsid w:val="002B5277"/>
    <w:rsid w:val="002B5375"/>
    <w:rsid w:val="002B77C1"/>
    <w:rsid w:val="002C2728"/>
    <w:rsid w:val="002D301A"/>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34323"/>
    <w:rsid w:val="003406C6"/>
    <w:rsid w:val="003418CC"/>
    <w:rsid w:val="003459BD"/>
    <w:rsid w:val="00350D38"/>
    <w:rsid w:val="00351B36"/>
    <w:rsid w:val="00352D4F"/>
    <w:rsid w:val="00355622"/>
    <w:rsid w:val="00357B4E"/>
    <w:rsid w:val="00365123"/>
    <w:rsid w:val="003744CF"/>
    <w:rsid w:val="00374717"/>
    <w:rsid w:val="0037676C"/>
    <w:rsid w:val="00381B80"/>
    <w:rsid w:val="003829E5"/>
    <w:rsid w:val="0038459A"/>
    <w:rsid w:val="003956CC"/>
    <w:rsid w:val="00395AA9"/>
    <w:rsid w:val="00395C9A"/>
    <w:rsid w:val="003A6B67"/>
    <w:rsid w:val="003B0185"/>
    <w:rsid w:val="003B1272"/>
    <w:rsid w:val="003B15E6"/>
    <w:rsid w:val="003C2045"/>
    <w:rsid w:val="003C43A1"/>
    <w:rsid w:val="003C4FC0"/>
    <w:rsid w:val="003C55F4"/>
    <w:rsid w:val="003C6D2C"/>
    <w:rsid w:val="003C7A3F"/>
    <w:rsid w:val="003D2766"/>
    <w:rsid w:val="003D3E8F"/>
    <w:rsid w:val="003D544B"/>
    <w:rsid w:val="003D6475"/>
    <w:rsid w:val="003E375C"/>
    <w:rsid w:val="003F0445"/>
    <w:rsid w:val="003F0CF0"/>
    <w:rsid w:val="003F14B1"/>
    <w:rsid w:val="003F3289"/>
    <w:rsid w:val="00401FCF"/>
    <w:rsid w:val="00406285"/>
    <w:rsid w:val="004148F9"/>
    <w:rsid w:val="004166B9"/>
    <w:rsid w:val="0042084E"/>
    <w:rsid w:val="00421EEF"/>
    <w:rsid w:val="00422D4A"/>
    <w:rsid w:val="00424D65"/>
    <w:rsid w:val="004363C5"/>
    <w:rsid w:val="004369E9"/>
    <w:rsid w:val="0044116E"/>
    <w:rsid w:val="00442C6C"/>
    <w:rsid w:val="00443CBE"/>
    <w:rsid w:val="00443E8A"/>
    <w:rsid w:val="004441BC"/>
    <w:rsid w:val="0044544C"/>
    <w:rsid w:val="004468B4"/>
    <w:rsid w:val="00446A86"/>
    <w:rsid w:val="00451D1A"/>
    <w:rsid w:val="0045230A"/>
    <w:rsid w:val="0045504E"/>
    <w:rsid w:val="00455EB7"/>
    <w:rsid w:val="00457337"/>
    <w:rsid w:val="004653AA"/>
    <w:rsid w:val="00467F63"/>
    <w:rsid w:val="00471A8C"/>
    <w:rsid w:val="0047372D"/>
    <w:rsid w:val="004743DD"/>
    <w:rsid w:val="00474CEA"/>
    <w:rsid w:val="00474EA9"/>
    <w:rsid w:val="00483968"/>
    <w:rsid w:val="00484F86"/>
    <w:rsid w:val="004901B2"/>
    <w:rsid w:val="00490746"/>
    <w:rsid w:val="00490852"/>
    <w:rsid w:val="00492B29"/>
    <w:rsid w:val="00492F30"/>
    <w:rsid w:val="00493A80"/>
    <w:rsid w:val="004946F4"/>
    <w:rsid w:val="0049487E"/>
    <w:rsid w:val="004976E2"/>
    <w:rsid w:val="004A0BB4"/>
    <w:rsid w:val="004A160D"/>
    <w:rsid w:val="004A3E81"/>
    <w:rsid w:val="004A5C62"/>
    <w:rsid w:val="004A707D"/>
    <w:rsid w:val="004B0DD4"/>
    <w:rsid w:val="004C6EEE"/>
    <w:rsid w:val="004C702B"/>
    <w:rsid w:val="004D016B"/>
    <w:rsid w:val="004D1B22"/>
    <w:rsid w:val="004D36F2"/>
    <w:rsid w:val="004E138F"/>
    <w:rsid w:val="004E40CB"/>
    <w:rsid w:val="004E4649"/>
    <w:rsid w:val="004E5C2B"/>
    <w:rsid w:val="004F00DD"/>
    <w:rsid w:val="004F2133"/>
    <w:rsid w:val="004F41C8"/>
    <w:rsid w:val="004F55F1"/>
    <w:rsid w:val="004F6936"/>
    <w:rsid w:val="004F6AF9"/>
    <w:rsid w:val="00500731"/>
    <w:rsid w:val="00503DC6"/>
    <w:rsid w:val="0050542B"/>
    <w:rsid w:val="00506F5D"/>
    <w:rsid w:val="005126D0"/>
    <w:rsid w:val="00514944"/>
    <w:rsid w:val="0051568D"/>
    <w:rsid w:val="00526C15"/>
    <w:rsid w:val="00536499"/>
    <w:rsid w:val="00543903"/>
    <w:rsid w:val="00543F11"/>
    <w:rsid w:val="00547A95"/>
    <w:rsid w:val="00551057"/>
    <w:rsid w:val="00555FE6"/>
    <w:rsid w:val="00562FC6"/>
    <w:rsid w:val="00572031"/>
    <w:rsid w:val="00576197"/>
    <w:rsid w:val="00576E84"/>
    <w:rsid w:val="00582B8C"/>
    <w:rsid w:val="0058757E"/>
    <w:rsid w:val="00595EA5"/>
    <w:rsid w:val="00596A4B"/>
    <w:rsid w:val="00597507"/>
    <w:rsid w:val="005A1EE6"/>
    <w:rsid w:val="005A7FFC"/>
    <w:rsid w:val="005B21B6"/>
    <w:rsid w:val="005B3A08"/>
    <w:rsid w:val="005B7A63"/>
    <w:rsid w:val="005C0955"/>
    <w:rsid w:val="005C49DA"/>
    <w:rsid w:val="005C50F3"/>
    <w:rsid w:val="005C5D91"/>
    <w:rsid w:val="005D07B8"/>
    <w:rsid w:val="005D32EA"/>
    <w:rsid w:val="005D6597"/>
    <w:rsid w:val="005E062A"/>
    <w:rsid w:val="005E14E7"/>
    <w:rsid w:val="005E26A3"/>
    <w:rsid w:val="005E447E"/>
    <w:rsid w:val="005F0775"/>
    <w:rsid w:val="005F0CF5"/>
    <w:rsid w:val="005F21EB"/>
    <w:rsid w:val="005F4CFF"/>
    <w:rsid w:val="00605908"/>
    <w:rsid w:val="00610D7C"/>
    <w:rsid w:val="00613414"/>
    <w:rsid w:val="00620F21"/>
    <w:rsid w:val="00623DEC"/>
    <w:rsid w:val="0062408D"/>
    <w:rsid w:val="006240CC"/>
    <w:rsid w:val="00625380"/>
    <w:rsid w:val="00627DA7"/>
    <w:rsid w:val="006358B4"/>
    <w:rsid w:val="00641812"/>
    <w:rsid w:val="006419AA"/>
    <w:rsid w:val="00643F73"/>
    <w:rsid w:val="00643F76"/>
    <w:rsid w:val="00644B7E"/>
    <w:rsid w:val="006454E6"/>
    <w:rsid w:val="00646A68"/>
    <w:rsid w:val="0065092E"/>
    <w:rsid w:val="006557A7"/>
    <w:rsid w:val="00656290"/>
    <w:rsid w:val="006621D7"/>
    <w:rsid w:val="0066302A"/>
    <w:rsid w:val="00670325"/>
    <w:rsid w:val="00670597"/>
    <w:rsid w:val="006706D0"/>
    <w:rsid w:val="00674F9D"/>
    <w:rsid w:val="00677574"/>
    <w:rsid w:val="00682A71"/>
    <w:rsid w:val="0068454C"/>
    <w:rsid w:val="00687D1B"/>
    <w:rsid w:val="00691B62"/>
    <w:rsid w:val="006933B5"/>
    <w:rsid w:val="00693D14"/>
    <w:rsid w:val="006A18C2"/>
    <w:rsid w:val="006A4421"/>
    <w:rsid w:val="006A4FEC"/>
    <w:rsid w:val="006A56B1"/>
    <w:rsid w:val="006B077C"/>
    <w:rsid w:val="006B6803"/>
    <w:rsid w:val="006C23C9"/>
    <w:rsid w:val="006D2A3F"/>
    <w:rsid w:val="006D2FBC"/>
    <w:rsid w:val="006D7180"/>
    <w:rsid w:val="006E138B"/>
    <w:rsid w:val="006F1FDC"/>
    <w:rsid w:val="006F2BDA"/>
    <w:rsid w:val="006F4E5E"/>
    <w:rsid w:val="007013EF"/>
    <w:rsid w:val="007015C5"/>
    <w:rsid w:val="007173CA"/>
    <w:rsid w:val="007216AA"/>
    <w:rsid w:val="00721AB5"/>
    <w:rsid w:val="00721DEF"/>
    <w:rsid w:val="00724A43"/>
    <w:rsid w:val="00726D3B"/>
    <w:rsid w:val="007346E4"/>
    <w:rsid w:val="00740F22"/>
    <w:rsid w:val="00741F1A"/>
    <w:rsid w:val="007450F8"/>
    <w:rsid w:val="0074696E"/>
    <w:rsid w:val="00750135"/>
    <w:rsid w:val="00750EC2"/>
    <w:rsid w:val="00752B28"/>
    <w:rsid w:val="00752E99"/>
    <w:rsid w:val="00754E36"/>
    <w:rsid w:val="00763139"/>
    <w:rsid w:val="00764DE2"/>
    <w:rsid w:val="00770F37"/>
    <w:rsid w:val="007711A0"/>
    <w:rsid w:val="00772D5E"/>
    <w:rsid w:val="00776928"/>
    <w:rsid w:val="00782561"/>
    <w:rsid w:val="00785677"/>
    <w:rsid w:val="00786F16"/>
    <w:rsid w:val="00796E20"/>
    <w:rsid w:val="00797C32"/>
    <w:rsid w:val="007A6849"/>
    <w:rsid w:val="007A7051"/>
    <w:rsid w:val="007B0914"/>
    <w:rsid w:val="007B1374"/>
    <w:rsid w:val="007B589F"/>
    <w:rsid w:val="007B6186"/>
    <w:rsid w:val="007B73BC"/>
    <w:rsid w:val="007C1131"/>
    <w:rsid w:val="007C20B9"/>
    <w:rsid w:val="007C7301"/>
    <w:rsid w:val="007C7859"/>
    <w:rsid w:val="007D237D"/>
    <w:rsid w:val="007D2BDE"/>
    <w:rsid w:val="007D2FB6"/>
    <w:rsid w:val="007D6E2D"/>
    <w:rsid w:val="007E0DE2"/>
    <w:rsid w:val="007E3B98"/>
    <w:rsid w:val="007E53F9"/>
    <w:rsid w:val="007F31B6"/>
    <w:rsid w:val="007F546C"/>
    <w:rsid w:val="007F60C8"/>
    <w:rsid w:val="007F625F"/>
    <w:rsid w:val="007F665E"/>
    <w:rsid w:val="007F6750"/>
    <w:rsid w:val="00800412"/>
    <w:rsid w:val="00801C55"/>
    <w:rsid w:val="0080587B"/>
    <w:rsid w:val="00806468"/>
    <w:rsid w:val="008155F0"/>
    <w:rsid w:val="00816735"/>
    <w:rsid w:val="00820141"/>
    <w:rsid w:val="00820E0C"/>
    <w:rsid w:val="00821920"/>
    <w:rsid w:val="008338A2"/>
    <w:rsid w:val="00841AA9"/>
    <w:rsid w:val="00853EE4"/>
    <w:rsid w:val="00855535"/>
    <w:rsid w:val="00857F82"/>
    <w:rsid w:val="00861D22"/>
    <w:rsid w:val="0086255E"/>
    <w:rsid w:val="008633F0"/>
    <w:rsid w:val="008653F5"/>
    <w:rsid w:val="00866240"/>
    <w:rsid w:val="00867D9D"/>
    <w:rsid w:val="00872E0A"/>
    <w:rsid w:val="0087331A"/>
    <w:rsid w:val="00875285"/>
    <w:rsid w:val="0088049D"/>
    <w:rsid w:val="00884B62"/>
    <w:rsid w:val="0088529C"/>
    <w:rsid w:val="00887903"/>
    <w:rsid w:val="0089270A"/>
    <w:rsid w:val="00893AF6"/>
    <w:rsid w:val="00894BC4"/>
    <w:rsid w:val="008A4F2F"/>
    <w:rsid w:val="008A5B32"/>
    <w:rsid w:val="008B2EE4"/>
    <w:rsid w:val="008B4D3D"/>
    <w:rsid w:val="008B57C7"/>
    <w:rsid w:val="008C2F92"/>
    <w:rsid w:val="008C4FA5"/>
    <w:rsid w:val="008D2846"/>
    <w:rsid w:val="008D4236"/>
    <w:rsid w:val="008D462F"/>
    <w:rsid w:val="008D6DCF"/>
    <w:rsid w:val="008E4376"/>
    <w:rsid w:val="008E7A0A"/>
    <w:rsid w:val="008F4B01"/>
    <w:rsid w:val="00900719"/>
    <w:rsid w:val="00900D3F"/>
    <w:rsid w:val="009017AC"/>
    <w:rsid w:val="00904A1C"/>
    <w:rsid w:val="00905030"/>
    <w:rsid w:val="00906490"/>
    <w:rsid w:val="009111B2"/>
    <w:rsid w:val="00914EEA"/>
    <w:rsid w:val="00924AE1"/>
    <w:rsid w:val="009269B1"/>
    <w:rsid w:val="0092724D"/>
    <w:rsid w:val="00937BD9"/>
    <w:rsid w:val="0094768D"/>
    <w:rsid w:val="00950450"/>
    <w:rsid w:val="00950E2C"/>
    <w:rsid w:val="00951D50"/>
    <w:rsid w:val="009525EB"/>
    <w:rsid w:val="00954874"/>
    <w:rsid w:val="00961400"/>
    <w:rsid w:val="00961FDA"/>
    <w:rsid w:val="00963646"/>
    <w:rsid w:val="00965E92"/>
    <w:rsid w:val="009853E1"/>
    <w:rsid w:val="00986E6B"/>
    <w:rsid w:val="00991769"/>
    <w:rsid w:val="00994386"/>
    <w:rsid w:val="009A13D8"/>
    <w:rsid w:val="009A279E"/>
    <w:rsid w:val="009A27E4"/>
    <w:rsid w:val="009B0A6F"/>
    <w:rsid w:val="009B0A94"/>
    <w:rsid w:val="009B2DF0"/>
    <w:rsid w:val="009B59E9"/>
    <w:rsid w:val="009B70AA"/>
    <w:rsid w:val="009B7E4E"/>
    <w:rsid w:val="009C1A4E"/>
    <w:rsid w:val="009C7A7E"/>
    <w:rsid w:val="009D02E8"/>
    <w:rsid w:val="009D4292"/>
    <w:rsid w:val="009D51D0"/>
    <w:rsid w:val="009D5FA9"/>
    <w:rsid w:val="009D6145"/>
    <w:rsid w:val="009D70A4"/>
    <w:rsid w:val="009E08D1"/>
    <w:rsid w:val="009E1B95"/>
    <w:rsid w:val="009E496F"/>
    <w:rsid w:val="009E4B0D"/>
    <w:rsid w:val="009E4B88"/>
    <w:rsid w:val="009E7156"/>
    <w:rsid w:val="009E7F92"/>
    <w:rsid w:val="009F02A3"/>
    <w:rsid w:val="009F2F27"/>
    <w:rsid w:val="009F34AA"/>
    <w:rsid w:val="009F6BCB"/>
    <w:rsid w:val="009F7B78"/>
    <w:rsid w:val="00A0057A"/>
    <w:rsid w:val="00A00904"/>
    <w:rsid w:val="00A11230"/>
    <w:rsid w:val="00A11421"/>
    <w:rsid w:val="00A144CD"/>
    <w:rsid w:val="00A157B1"/>
    <w:rsid w:val="00A15E9B"/>
    <w:rsid w:val="00A22229"/>
    <w:rsid w:val="00A3259A"/>
    <w:rsid w:val="00A32657"/>
    <w:rsid w:val="00A44882"/>
    <w:rsid w:val="00A47375"/>
    <w:rsid w:val="00A539A0"/>
    <w:rsid w:val="00A53C64"/>
    <w:rsid w:val="00A54715"/>
    <w:rsid w:val="00A549DE"/>
    <w:rsid w:val="00A6061C"/>
    <w:rsid w:val="00A609E7"/>
    <w:rsid w:val="00A62D44"/>
    <w:rsid w:val="00A66835"/>
    <w:rsid w:val="00A66E1A"/>
    <w:rsid w:val="00A67263"/>
    <w:rsid w:val="00A7161C"/>
    <w:rsid w:val="00A77AA3"/>
    <w:rsid w:val="00A84711"/>
    <w:rsid w:val="00A854EB"/>
    <w:rsid w:val="00A86DFE"/>
    <w:rsid w:val="00A872E5"/>
    <w:rsid w:val="00A91406"/>
    <w:rsid w:val="00A96E65"/>
    <w:rsid w:val="00A97C72"/>
    <w:rsid w:val="00AA5C48"/>
    <w:rsid w:val="00AA63D4"/>
    <w:rsid w:val="00AB06E8"/>
    <w:rsid w:val="00AB1CD3"/>
    <w:rsid w:val="00AB352F"/>
    <w:rsid w:val="00AC1E4C"/>
    <w:rsid w:val="00AC274B"/>
    <w:rsid w:val="00AC4764"/>
    <w:rsid w:val="00AC6D36"/>
    <w:rsid w:val="00AD0CBA"/>
    <w:rsid w:val="00AD26E2"/>
    <w:rsid w:val="00AD3341"/>
    <w:rsid w:val="00AD6F1F"/>
    <w:rsid w:val="00AD784C"/>
    <w:rsid w:val="00AE126A"/>
    <w:rsid w:val="00AE3005"/>
    <w:rsid w:val="00AE3BD5"/>
    <w:rsid w:val="00AE59A0"/>
    <w:rsid w:val="00AF0C57"/>
    <w:rsid w:val="00AF26F3"/>
    <w:rsid w:val="00AF3EC6"/>
    <w:rsid w:val="00AF5F04"/>
    <w:rsid w:val="00B00672"/>
    <w:rsid w:val="00B01B4D"/>
    <w:rsid w:val="00B06571"/>
    <w:rsid w:val="00B068BA"/>
    <w:rsid w:val="00B13851"/>
    <w:rsid w:val="00B13B1C"/>
    <w:rsid w:val="00B20B38"/>
    <w:rsid w:val="00B22291"/>
    <w:rsid w:val="00B23F9A"/>
    <w:rsid w:val="00B2417B"/>
    <w:rsid w:val="00B24E6F"/>
    <w:rsid w:val="00B25977"/>
    <w:rsid w:val="00B26735"/>
    <w:rsid w:val="00B26CB5"/>
    <w:rsid w:val="00B2752E"/>
    <w:rsid w:val="00B307CC"/>
    <w:rsid w:val="00B326B7"/>
    <w:rsid w:val="00B42116"/>
    <w:rsid w:val="00B431E8"/>
    <w:rsid w:val="00B45141"/>
    <w:rsid w:val="00B5273A"/>
    <w:rsid w:val="00B57329"/>
    <w:rsid w:val="00B62B50"/>
    <w:rsid w:val="00B635B7"/>
    <w:rsid w:val="00B63AE8"/>
    <w:rsid w:val="00B63AEC"/>
    <w:rsid w:val="00B65950"/>
    <w:rsid w:val="00B66D83"/>
    <w:rsid w:val="00B6729E"/>
    <w:rsid w:val="00B672C0"/>
    <w:rsid w:val="00B728B9"/>
    <w:rsid w:val="00B748AC"/>
    <w:rsid w:val="00B75646"/>
    <w:rsid w:val="00B757A4"/>
    <w:rsid w:val="00B84D09"/>
    <w:rsid w:val="00B90729"/>
    <w:rsid w:val="00B907DA"/>
    <w:rsid w:val="00B912B5"/>
    <w:rsid w:val="00B950BC"/>
    <w:rsid w:val="00B9714C"/>
    <w:rsid w:val="00BA3017"/>
    <w:rsid w:val="00BA3F8D"/>
    <w:rsid w:val="00BB39A1"/>
    <w:rsid w:val="00BB6BCF"/>
    <w:rsid w:val="00BB7A10"/>
    <w:rsid w:val="00BC7468"/>
    <w:rsid w:val="00BC7D4F"/>
    <w:rsid w:val="00BC7ED7"/>
    <w:rsid w:val="00BD2850"/>
    <w:rsid w:val="00BE038F"/>
    <w:rsid w:val="00BE28D2"/>
    <w:rsid w:val="00BE4A64"/>
    <w:rsid w:val="00BF2E7A"/>
    <w:rsid w:val="00BF7F58"/>
    <w:rsid w:val="00C01381"/>
    <w:rsid w:val="00C05F60"/>
    <w:rsid w:val="00C079B8"/>
    <w:rsid w:val="00C10387"/>
    <w:rsid w:val="00C1203F"/>
    <w:rsid w:val="00C123EA"/>
    <w:rsid w:val="00C12627"/>
    <w:rsid w:val="00C12A49"/>
    <w:rsid w:val="00C133EE"/>
    <w:rsid w:val="00C27136"/>
    <w:rsid w:val="00C27DE9"/>
    <w:rsid w:val="00C3137D"/>
    <w:rsid w:val="00C33388"/>
    <w:rsid w:val="00C35484"/>
    <w:rsid w:val="00C4173A"/>
    <w:rsid w:val="00C4796F"/>
    <w:rsid w:val="00C602FF"/>
    <w:rsid w:val="00C61174"/>
    <w:rsid w:val="00C6148F"/>
    <w:rsid w:val="00C62F7A"/>
    <w:rsid w:val="00C63B9C"/>
    <w:rsid w:val="00C6682F"/>
    <w:rsid w:val="00C671D3"/>
    <w:rsid w:val="00C7275E"/>
    <w:rsid w:val="00C74C5D"/>
    <w:rsid w:val="00C863C4"/>
    <w:rsid w:val="00C93C3E"/>
    <w:rsid w:val="00C96674"/>
    <w:rsid w:val="00CA07A8"/>
    <w:rsid w:val="00CA12E3"/>
    <w:rsid w:val="00CA3D8B"/>
    <w:rsid w:val="00CA6611"/>
    <w:rsid w:val="00CA6AE6"/>
    <w:rsid w:val="00CA782F"/>
    <w:rsid w:val="00CB111C"/>
    <w:rsid w:val="00CB3285"/>
    <w:rsid w:val="00CC0C72"/>
    <w:rsid w:val="00CC2BFD"/>
    <w:rsid w:val="00CD2A63"/>
    <w:rsid w:val="00CD3476"/>
    <w:rsid w:val="00CD64DF"/>
    <w:rsid w:val="00CF2F50"/>
    <w:rsid w:val="00CF70B3"/>
    <w:rsid w:val="00D00602"/>
    <w:rsid w:val="00D02919"/>
    <w:rsid w:val="00D04C61"/>
    <w:rsid w:val="00D05B8D"/>
    <w:rsid w:val="00D065A2"/>
    <w:rsid w:val="00D07F00"/>
    <w:rsid w:val="00D14E55"/>
    <w:rsid w:val="00D174DB"/>
    <w:rsid w:val="00D17B72"/>
    <w:rsid w:val="00D25701"/>
    <w:rsid w:val="00D3185C"/>
    <w:rsid w:val="00D33E72"/>
    <w:rsid w:val="00D35BD6"/>
    <w:rsid w:val="00D361B5"/>
    <w:rsid w:val="00D411A2"/>
    <w:rsid w:val="00D456AA"/>
    <w:rsid w:val="00D4606D"/>
    <w:rsid w:val="00D50B9C"/>
    <w:rsid w:val="00D52D73"/>
    <w:rsid w:val="00D52E58"/>
    <w:rsid w:val="00D65BC0"/>
    <w:rsid w:val="00D714CC"/>
    <w:rsid w:val="00D75EA7"/>
    <w:rsid w:val="00D7793F"/>
    <w:rsid w:val="00D81F21"/>
    <w:rsid w:val="00D874ED"/>
    <w:rsid w:val="00D95470"/>
    <w:rsid w:val="00DA0AEC"/>
    <w:rsid w:val="00DA2619"/>
    <w:rsid w:val="00DA4239"/>
    <w:rsid w:val="00DB0B61"/>
    <w:rsid w:val="00DB1BEA"/>
    <w:rsid w:val="00DC090B"/>
    <w:rsid w:val="00DC1679"/>
    <w:rsid w:val="00DC2CF1"/>
    <w:rsid w:val="00DC398F"/>
    <w:rsid w:val="00DC4FCF"/>
    <w:rsid w:val="00DC50E0"/>
    <w:rsid w:val="00DC6386"/>
    <w:rsid w:val="00DD1130"/>
    <w:rsid w:val="00DD12F5"/>
    <w:rsid w:val="00DD1951"/>
    <w:rsid w:val="00DD4CF0"/>
    <w:rsid w:val="00DD6628"/>
    <w:rsid w:val="00DE244F"/>
    <w:rsid w:val="00DE3250"/>
    <w:rsid w:val="00DE6028"/>
    <w:rsid w:val="00DE78A3"/>
    <w:rsid w:val="00DF16E5"/>
    <w:rsid w:val="00DF1A71"/>
    <w:rsid w:val="00DF439E"/>
    <w:rsid w:val="00DF68C7"/>
    <w:rsid w:val="00DF731A"/>
    <w:rsid w:val="00E170DC"/>
    <w:rsid w:val="00E26818"/>
    <w:rsid w:val="00E27FFC"/>
    <w:rsid w:val="00E30B15"/>
    <w:rsid w:val="00E32F9B"/>
    <w:rsid w:val="00E34807"/>
    <w:rsid w:val="00E40181"/>
    <w:rsid w:val="00E557FA"/>
    <w:rsid w:val="00E56A01"/>
    <w:rsid w:val="00E629A1"/>
    <w:rsid w:val="00E65D16"/>
    <w:rsid w:val="00E6794C"/>
    <w:rsid w:val="00E711A2"/>
    <w:rsid w:val="00E71591"/>
    <w:rsid w:val="00E758D4"/>
    <w:rsid w:val="00E82C55"/>
    <w:rsid w:val="00E92AC3"/>
    <w:rsid w:val="00E93843"/>
    <w:rsid w:val="00EA39EC"/>
    <w:rsid w:val="00EB00E0"/>
    <w:rsid w:val="00EC059F"/>
    <w:rsid w:val="00EC1F24"/>
    <w:rsid w:val="00EC22F6"/>
    <w:rsid w:val="00ED1166"/>
    <w:rsid w:val="00ED3B51"/>
    <w:rsid w:val="00ED5B9B"/>
    <w:rsid w:val="00ED6BAD"/>
    <w:rsid w:val="00ED7447"/>
    <w:rsid w:val="00EE1488"/>
    <w:rsid w:val="00EE4D5D"/>
    <w:rsid w:val="00EE5131"/>
    <w:rsid w:val="00EE55C0"/>
    <w:rsid w:val="00EF109B"/>
    <w:rsid w:val="00EF36AF"/>
    <w:rsid w:val="00F00F9C"/>
    <w:rsid w:val="00F01E5F"/>
    <w:rsid w:val="00F02ABA"/>
    <w:rsid w:val="00F0437A"/>
    <w:rsid w:val="00F11037"/>
    <w:rsid w:val="00F14378"/>
    <w:rsid w:val="00F16F1B"/>
    <w:rsid w:val="00F229BC"/>
    <w:rsid w:val="00F24B93"/>
    <w:rsid w:val="00F250A9"/>
    <w:rsid w:val="00F2519F"/>
    <w:rsid w:val="00F30FF4"/>
    <w:rsid w:val="00F3122E"/>
    <w:rsid w:val="00F331AD"/>
    <w:rsid w:val="00F35287"/>
    <w:rsid w:val="00F37586"/>
    <w:rsid w:val="00F43A37"/>
    <w:rsid w:val="00F4641B"/>
    <w:rsid w:val="00F46EB8"/>
    <w:rsid w:val="00F473D2"/>
    <w:rsid w:val="00F47BD0"/>
    <w:rsid w:val="00F511E4"/>
    <w:rsid w:val="00F52D09"/>
    <w:rsid w:val="00F52E08"/>
    <w:rsid w:val="00F54413"/>
    <w:rsid w:val="00F54BDD"/>
    <w:rsid w:val="00F55B21"/>
    <w:rsid w:val="00F55B25"/>
    <w:rsid w:val="00F56EF6"/>
    <w:rsid w:val="00F61A9F"/>
    <w:rsid w:val="00F64696"/>
    <w:rsid w:val="00F65AA9"/>
    <w:rsid w:val="00F6768F"/>
    <w:rsid w:val="00F67722"/>
    <w:rsid w:val="00F71DDC"/>
    <w:rsid w:val="00F72C2C"/>
    <w:rsid w:val="00F748E5"/>
    <w:rsid w:val="00F74958"/>
    <w:rsid w:val="00F76CAB"/>
    <w:rsid w:val="00F772C6"/>
    <w:rsid w:val="00F815B5"/>
    <w:rsid w:val="00F85195"/>
    <w:rsid w:val="00F938BA"/>
    <w:rsid w:val="00FA2C46"/>
    <w:rsid w:val="00FA3525"/>
    <w:rsid w:val="00FA49EA"/>
    <w:rsid w:val="00FB4769"/>
    <w:rsid w:val="00FB4CDA"/>
    <w:rsid w:val="00FC0F81"/>
    <w:rsid w:val="00FC1BA5"/>
    <w:rsid w:val="00FC395C"/>
    <w:rsid w:val="00FC7947"/>
    <w:rsid w:val="00FD3766"/>
    <w:rsid w:val="00FD47C4"/>
    <w:rsid w:val="00FE2DCF"/>
    <w:rsid w:val="00FE6443"/>
    <w:rsid w:val="00FF2FCE"/>
    <w:rsid w:val="00FF42FD"/>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31A4DC"/>
  <w15:docId w15:val="{6CD89139-B2D6-4D75-98D9-0FFB9CD5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46A86"/>
    <w:rPr>
      <w:rFonts w:ascii="Cambria" w:hAnsi="Cambria"/>
      <w:lang w:eastAsia="en-US"/>
    </w:rPr>
  </w:style>
  <w:style w:type="paragraph" w:styleId="Heading1">
    <w:name w:val="heading 1"/>
    <w:next w:val="DHHSbody"/>
    <w:link w:val="Heading1Char"/>
    <w:uiPriority w:val="1"/>
    <w:qFormat/>
    <w:rsid w:val="00AD6F1F"/>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AD6F1F"/>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AD6F1F"/>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AD6F1F"/>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914EEA"/>
    <w:rPr>
      <w:rFonts w:ascii="Tahoma" w:hAnsi="Tahoma" w:cs="Tahoma"/>
      <w:sz w:val="16"/>
      <w:szCs w:val="16"/>
    </w:rPr>
  </w:style>
  <w:style w:type="character" w:customStyle="1" w:styleId="BalloonTextChar">
    <w:name w:val="Balloon Text Char"/>
    <w:basedOn w:val="DefaultParagraphFont"/>
    <w:link w:val="BalloonText"/>
    <w:uiPriority w:val="99"/>
    <w:semiHidden/>
    <w:rsid w:val="00914EEA"/>
    <w:rPr>
      <w:rFonts w:ascii="Tahoma" w:hAnsi="Tahoma" w:cs="Tahoma"/>
      <w:sz w:val="16"/>
      <w:szCs w:val="16"/>
      <w:lang w:eastAsia="en-US"/>
    </w:rPr>
  </w:style>
  <w:style w:type="paragraph" w:customStyle="1" w:styleId="DHbody">
    <w:name w:val="DH body"/>
    <w:link w:val="DHbodyChar"/>
    <w:rsid w:val="00474EA9"/>
    <w:pPr>
      <w:spacing w:after="120" w:line="270" w:lineRule="exact"/>
    </w:pPr>
    <w:rPr>
      <w:rFonts w:ascii="Arial" w:eastAsia="Times" w:hAnsi="Arial"/>
      <w:lang w:eastAsia="en-US"/>
    </w:rPr>
  </w:style>
  <w:style w:type="character" w:customStyle="1" w:styleId="DHbodyChar">
    <w:name w:val="DH body Char"/>
    <w:link w:val="DHbody"/>
    <w:rsid w:val="00474EA9"/>
    <w:rPr>
      <w:rFonts w:ascii="Arial" w:eastAsia="Times" w:hAnsi="Arial"/>
      <w:lang w:eastAsia="en-US"/>
    </w:rPr>
  </w:style>
  <w:style w:type="paragraph" w:customStyle="1" w:styleId="DHheading2">
    <w:name w:val="DH heading 2"/>
    <w:next w:val="DHbody"/>
    <w:link w:val="DHheading2Char"/>
    <w:rsid w:val="00E557FA"/>
    <w:pPr>
      <w:spacing w:before="240" w:after="90" w:line="320" w:lineRule="exact"/>
    </w:pPr>
    <w:rPr>
      <w:rFonts w:ascii="Arial" w:hAnsi="Arial"/>
      <w:b/>
      <w:bCs/>
      <w:sz w:val="28"/>
      <w:szCs w:val="24"/>
      <w:lang w:eastAsia="en-US"/>
    </w:rPr>
  </w:style>
  <w:style w:type="character" w:customStyle="1" w:styleId="DHheading2Char">
    <w:name w:val="DH heading 2 Char"/>
    <w:link w:val="DHheading2"/>
    <w:rsid w:val="00E557FA"/>
    <w:rPr>
      <w:rFonts w:ascii="Arial" w:hAnsi="Arial"/>
      <w:b/>
      <w:bCs/>
      <w:sz w:val="28"/>
      <w:szCs w:val="24"/>
      <w:lang w:eastAsia="en-US"/>
    </w:rPr>
  </w:style>
  <w:style w:type="numbering" w:customStyle="1" w:styleId="ZZBullets1">
    <w:name w:val="ZZ Bullets1"/>
    <w:rsid w:val="00BB6BCF"/>
  </w:style>
  <w:style w:type="numbering" w:customStyle="1" w:styleId="ZZBullets2">
    <w:name w:val="ZZ Bullets2"/>
    <w:rsid w:val="00063071"/>
  </w:style>
  <w:style w:type="numbering" w:customStyle="1" w:styleId="ZZBullets3">
    <w:name w:val="ZZ Bullets3"/>
    <w:rsid w:val="00EA39EC"/>
  </w:style>
  <w:style w:type="character" w:styleId="UnresolvedMention">
    <w:name w:val="Unresolved Mention"/>
    <w:basedOn w:val="DefaultParagraphFont"/>
    <w:uiPriority w:val="99"/>
    <w:semiHidden/>
    <w:unhideWhenUsed/>
    <w:rsid w:val="00F229BC"/>
    <w:rPr>
      <w:color w:val="605E5C"/>
      <w:shd w:val="clear" w:color="auto" w:fill="E1DFDD"/>
    </w:rPr>
  </w:style>
  <w:style w:type="character" w:styleId="Emphasis">
    <w:name w:val="Emphasis"/>
    <w:basedOn w:val="DefaultParagraphFont"/>
    <w:uiPriority w:val="20"/>
    <w:qFormat/>
    <w:rsid w:val="00B26735"/>
    <w:rPr>
      <w:i/>
      <w:iCs/>
    </w:rPr>
  </w:style>
  <w:style w:type="paragraph" w:styleId="ListParagraph">
    <w:name w:val="List Paragraph"/>
    <w:basedOn w:val="Normal"/>
    <w:uiPriority w:val="72"/>
    <w:qFormat/>
    <w:rsid w:val="0023345B"/>
    <w:pPr>
      <w:ind w:left="720"/>
      <w:contextualSpacing/>
    </w:pPr>
  </w:style>
  <w:style w:type="paragraph" w:styleId="Revision">
    <w:name w:val="Revision"/>
    <w:hidden/>
    <w:uiPriority w:val="71"/>
    <w:rsid w:val="00961FDA"/>
    <w:rPr>
      <w:rFonts w:ascii="Cambria" w:hAnsi="Cambria"/>
      <w:lang w:eastAsia="en-US"/>
    </w:rPr>
  </w:style>
  <w:style w:type="character" w:customStyle="1" w:styleId="FooterChar">
    <w:name w:val="Footer Char"/>
    <w:basedOn w:val="DefaultParagraphFont"/>
    <w:link w:val="Footer"/>
    <w:uiPriority w:val="99"/>
    <w:rsid w:val="00961FDA"/>
    <w:rPr>
      <w:rFonts w:ascii="Arial" w:hAnsi="Arial" w:cs="Arial"/>
      <w:sz w:val="18"/>
      <w:szCs w:val="18"/>
      <w:lang w:eastAsia="en-US"/>
    </w:rPr>
  </w:style>
  <w:style w:type="paragraph" w:customStyle="1" w:styleId="Body">
    <w:name w:val="Body"/>
    <w:link w:val="BodyChar"/>
    <w:qFormat/>
    <w:rsid w:val="00A84711"/>
    <w:pPr>
      <w:spacing w:after="120" w:line="280" w:lineRule="atLeast"/>
    </w:pPr>
    <w:rPr>
      <w:rFonts w:ascii="Arial" w:eastAsia="Times" w:hAnsi="Arial"/>
      <w:sz w:val="21"/>
      <w:lang w:eastAsia="en-US"/>
    </w:rPr>
  </w:style>
  <w:style w:type="character" w:customStyle="1" w:styleId="BodyChar">
    <w:name w:val="Body Char"/>
    <w:basedOn w:val="DefaultParagraphFont"/>
    <w:link w:val="Body"/>
    <w:rsid w:val="00A84711"/>
    <w:rPr>
      <w:rFonts w:ascii="Arial" w:eastAsia="Times" w:hAnsi="Arial"/>
      <w:sz w:val="21"/>
      <w:lang w:eastAsia="en-US"/>
    </w:rPr>
  </w:style>
  <w:style w:type="paragraph" w:customStyle="1" w:styleId="Bodynospace">
    <w:name w:val="Body no space"/>
    <w:basedOn w:val="Body"/>
    <w:uiPriority w:val="1"/>
    <w:rsid w:val="00B912B5"/>
    <w:pPr>
      <w:spacing w:after="0"/>
    </w:pPr>
  </w:style>
  <w:style w:type="paragraph" w:customStyle="1" w:styleId="Bullet1">
    <w:name w:val="Bullet 1"/>
    <w:basedOn w:val="Body"/>
    <w:qFormat/>
    <w:rsid w:val="00B912B5"/>
    <w:pPr>
      <w:spacing w:after="40"/>
      <w:ind w:left="284" w:hanging="284"/>
    </w:pPr>
  </w:style>
  <w:style w:type="paragraph" w:customStyle="1" w:styleId="Bullet2">
    <w:name w:val="Bullet 2"/>
    <w:basedOn w:val="Body"/>
    <w:uiPriority w:val="2"/>
    <w:qFormat/>
    <w:rsid w:val="00B912B5"/>
    <w:pPr>
      <w:spacing w:after="40"/>
      <w:ind w:left="567" w:hanging="283"/>
    </w:pPr>
  </w:style>
  <w:style w:type="numbering" w:customStyle="1" w:styleId="ZZBullets4">
    <w:name w:val="ZZ Bullets4"/>
    <w:rsid w:val="0044544C"/>
  </w:style>
  <w:style w:type="paragraph" w:customStyle="1" w:styleId="Accessibilitypara">
    <w:name w:val="Accessibility para"/>
    <w:uiPriority w:val="8"/>
    <w:rsid w:val="0044544C"/>
    <w:pPr>
      <w:spacing w:before="240" w:after="200" w:line="300" w:lineRule="atLeast"/>
    </w:pPr>
    <w:rPr>
      <w:rFonts w:ascii="Arial" w:eastAsia="Times" w:hAnsi="Arial"/>
      <w:sz w:val="24"/>
      <w:szCs w:val="19"/>
      <w:lang w:eastAsia="en-US"/>
    </w:rPr>
  </w:style>
  <w:style w:type="paragraph" w:customStyle="1" w:styleId="Imprint">
    <w:name w:val="Imprint"/>
    <w:basedOn w:val="Body"/>
    <w:uiPriority w:val="11"/>
    <w:rsid w:val="0044544C"/>
    <w:pPr>
      <w:spacing w:after="60" w:line="270" w:lineRule="atLeast"/>
    </w:pPr>
    <w:rPr>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984412">
      <w:bodyDiv w:val="1"/>
      <w:marLeft w:val="0"/>
      <w:marRight w:val="0"/>
      <w:marTop w:val="0"/>
      <w:marBottom w:val="0"/>
      <w:divBdr>
        <w:top w:val="none" w:sz="0" w:space="0" w:color="auto"/>
        <w:left w:val="none" w:sz="0" w:space="0" w:color="auto"/>
        <w:bottom w:val="none" w:sz="0" w:space="0" w:color="auto"/>
        <w:right w:val="none" w:sz="0" w:space="0" w:color="auto"/>
      </w:divBdr>
    </w:div>
    <w:div w:id="101669110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21026538">
      <w:bodyDiv w:val="1"/>
      <w:marLeft w:val="0"/>
      <w:marRight w:val="0"/>
      <w:marTop w:val="0"/>
      <w:marBottom w:val="0"/>
      <w:divBdr>
        <w:top w:val="none" w:sz="0" w:space="0" w:color="auto"/>
        <w:left w:val="none" w:sz="0" w:space="0" w:color="auto"/>
        <w:bottom w:val="none" w:sz="0" w:space="0" w:color="auto"/>
        <w:right w:val="none" w:sz="0" w:space="0" w:color="auto"/>
      </w:divBdr>
    </w:div>
    <w:div w:id="185730774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12750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hyperlink" Target="https://www.health.vic.gov.au/drugs-and-poisons/pharmacotherapy-training" TargetMode="External"/><Relationship Id="rId3" Type="http://schemas.openxmlformats.org/officeDocument/2006/relationships/styles" Target="styles.xml"/><Relationship Id="rId21" Type="http://schemas.openxmlformats.org/officeDocument/2006/relationships/hyperlink" Target="http://www.health.vic.gov.au/dpcs"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hyperlink" Target="http://www.health.vic.gov.au/dpc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yperlink" Target="http://www.legislation.vic.gov.au/" TargetMode="External"/><Relationship Id="rId29" Type="http://schemas.openxmlformats.org/officeDocument/2006/relationships/hyperlink" Target="https://www.health.gov.au/resources/publications/national-guidelines-for-medication-assisted-treatment-of-opioid-depend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dpcs@health.vic.gov.a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health.vic.gov.au/drugs-and-poisons/pharmacotherapy-opioid-replacement-therapy" TargetMode="External"/><Relationship Id="rId28" Type="http://schemas.openxmlformats.org/officeDocument/2006/relationships/hyperlink" Target="http://www.health.vic.gov.au/dpcs" TargetMode="External"/><Relationship Id="rId10" Type="http://schemas.openxmlformats.org/officeDocument/2006/relationships/footer" Target="footer3.xml"/><Relationship Id="rId19" Type="http://schemas.openxmlformats.org/officeDocument/2006/relationships/image" Target="media/image1.png"/><Relationship Id="rId31" Type="http://schemas.openxmlformats.org/officeDocument/2006/relationships/hyperlink" Target="mailto:email%20dpcs@health.vic.gov.a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hyperlink" Target="http://www.health.vic.gov.au/dpcs" TargetMode="External"/><Relationship Id="rId27" Type="http://schemas.openxmlformats.org/officeDocument/2006/relationships/hyperlink" Target="https://www.health.vic.gov.au/drugs-and-poisons/pharmacotherapy-training" TargetMode="External"/><Relationship Id="rId30" Type="http://schemas.openxmlformats.org/officeDocument/2006/relationships/hyperlink" Target="https://www.sublocade.com/Content/pdf/prescribing-inform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476A8-F469-42A8-AA92-5509B836C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8072</Words>
  <Characters>46012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Pharmacotherapy self-assessment form</vt:lpstr>
    </vt:vector>
  </TitlesOfParts>
  <Company>Department of Health and Human Services</Company>
  <LinksUpToDate>false</LinksUpToDate>
  <CharactersWithSpaces>53977</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Pharmacotherapy self-assessment form</dc:title>
  <dc:subject>For pharmacists providing opioid-replacement therapy</dc:subject>
  <dc:creator>Regulation, Health Protection &amp; Emergency Management</dc:creator>
  <cp:lastModifiedBy>Tyler McPherson (Health)</cp:lastModifiedBy>
  <cp:revision>2</cp:revision>
  <cp:lastPrinted>2015-08-21T04:17:00Z</cp:lastPrinted>
  <dcterms:created xsi:type="dcterms:W3CDTF">2025-08-14T00:52:00Z</dcterms:created>
  <dcterms:modified xsi:type="dcterms:W3CDTF">2025-08-14T00:52:00Z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lassificationContentMarkingFooterShapeIds">
    <vt:lpwstr>48dbb68f</vt:lpwstr>
  </property>
  <property fmtid="{D5CDD505-2E9C-101B-9397-08002B2CF9AE}" pid="4" name="ClassificationContentMarkingFooterFontProps">
    <vt:lpwstr>#000000,10,Arial Black</vt:lpwstr>
  </property>
  <property fmtid="{D5CDD505-2E9C-101B-9397-08002B2CF9AE}" pid="5" name="ClassificationContentMarkingFooterText">
    <vt:lpwstr>OFFICIAL</vt:lpwstr>
  </property>
  <property fmtid="{D5CDD505-2E9C-101B-9397-08002B2CF9AE}" pid="6" name="MSIP_Label_efdf5488-3066-4b6c-8fea-9472b8a1f34c_Enabled">
    <vt:lpwstr>true</vt:lpwstr>
  </property>
  <property fmtid="{D5CDD505-2E9C-101B-9397-08002B2CF9AE}" pid="7" name="MSIP_Label_efdf5488-3066-4b6c-8fea-9472b8a1f34c_SetDate">
    <vt:lpwstr>2025-07-21T07:38:02Z</vt:lpwstr>
  </property>
  <property fmtid="{D5CDD505-2E9C-101B-9397-08002B2CF9AE}" pid="8" name="MSIP_Label_efdf5488-3066-4b6c-8fea-9472b8a1f34c_Method">
    <vt:lpwstr>Privileged</vt:lpwstr>
  </property>
  <property fmtid="{D5CDD505-2E9C-101B-9397-08002B2CF9AE}" pid="9" name="MSIP_Label_efdf5488-3066-4b6c-8fea-9472b8a1f34c_Name">
    <vt:lpwstr>efdf5488-3066-4b6c-8fea-9472b8a1f34c</vt:lpwstr>
  </property>
  <property fmtid="{D5CDD505-2E9C-101B-9397-08002B2CF9AE}" pid="10" name="MSIP_Label_efdf5488-3066-4b6c-8fea-9472b8a1f34c_SiteId">
    <vt:lpwstr>c0e0601f-0fac-449c-9c88-a104c4eb9f28</vt:lpwstr>
  </property>
  <property fmtid="{D5CDD505-2E9C-101B-9397-08002B2CF9AE}" pid="11" name="MSIP_Label_efdf5488-3066-4b6c-8fea-9472b8a1f34c_ActionId">
    <vt:lpwstr>dd20d706-ba14-449d-8f2a-de543f7ad867</vt:lpwstr>
  </property>
  <property fmtid="{D5CDD505-2E9C-101B-9397-08002B2CF9AE}" pid="12" name="MSIP_Label_efdf5488-3066-4b6c-8fea-9472b8a1f34c_ContentBits">
    <vt:lpwstr>0</vt:lpwstr>
  </property>
  <property fmtid="{D5CDD505-2E9C-101B-9397-08002B2CF9AE}" pid="13" name="MSIP_Label_efdf5488-3066-4b6c-8fea-9472b8a1f34c_Tag">
    <vt:lpwstr>10, 0, 1, 1</vt:lpwstr>
  </property>
</Properties>
</file>