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316B" w14:textId="77777777" w:rsidR="00F3042C" w:rsidRDefault="00F3042C" w:rsidP="00EC40D5">
      <w:pPr>
        <w:pStyle w:val="Sectionbreakfirstpage"/>
      </w:pPr>
    </w:p>
    <w:p w14:paraId="68D19675" w14:textId="77777777" w:rsidR="00F3042C" w:rsidRDefault="00F3042C" w:rsidP="00EC40D5">
      <w:pPr>
        <w:pStyle w:val="Sectionbreakfirstpage"/>
      </w:pPr>
    </w:p>
    <w:p w14:paraId="4B85F65F" w14:textId="77777777" w:rsidR="00F3042C" w:rsidRDefault="00F3042C" w:rsidP="00EC40D5">
      <w:pPr>
        <w:pStyle w:val="Sectionbreakfirstpage"/>
      </w:pPr>
    </w:p>
    <w:p w14:paraId="6D497B9E" w14:textId="77777777" w:rsidR="00A62D44" w:rsidRPr="004C6EEE" w:rsidRDefault="0001677A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45F7CB17" wp14:editId="4E3710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967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845D3" w14:textId="77777777" w:rsidR="00F3042C" w:rsidRDefault="00D374FA" w:rsidP="00F3042C">
      <w:pPr>
        <w:pStyle w:val="Heading3"/>
        <w:spacing w:before="1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E62C" wp14:editId="49B3BB19">
                <wp:simplePos x="0" y="0"/>
                <wp:positionH relativeFrom="margin">
                  <wp:posOffset>-66675</wp:posOffset>
                </wp:positionH>
                <wp:positionV relativeFrom="paragraph">
                  <wp:posOffset>83185</wp:posOffset>
                </wp:positionV>
                <wp:extent cx="6343650" cy="981075"/>
                <wp:effectExtent l="0" t="0" r="0" b="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C808" w14:textId="77777777" w:rsidR="00F3042C" w:rsidRPr="00E660F4" w:rsidRDefault="00F3042C" w:rsidP="008315AD">
                            <w:pPr>
                              <w:pStyle w:val="Heading1"/>
                            </w:pPr>
                            <w:r w:rsidRPr="00E660F4">
                              <w:t>Subcutaneous immunoglobulin</w:t>
                            </w:r>
                          </w:p>
                          <w:p w14:paraId="73BEA0E3" w14:textId="77777777" w:rsidR="00F3042C" w:rsidRPr="00F3042C" w:rsidRDefault="00F3042C" w:rsidP="008315AD">
                            <w:pPr>
                              <w:pStyle w:val="Heading2"/>
                            </w:pPr>
                            <w:r w:rsidRPr="00F3042C">
                              <w:t>An introduction for patients</w:t>
                            </w:r>
                          </w:p>
                          <w:p w14:paraId="732F1754" w14:textId="77777777" w:rsidR="00F3042C" w:rsidRPr="00F3042C" w:rsidRDefault="00F3042C" w:rsidP="00F3042C">
                            <w:pPr>
                              <w:rPr>
                                <w:color w:val="808080" w:themeColor="background1" w:themeShade="80"/>
                                <w:sz w:val="28"/>
                              </w:rPr>
                            </w:pPr>
                            <w:r w:rsidRPr="00F3042C">
                              <w:rPr>
                                <w:color w:val="808080" w:themeColor="background1" w:themeShade="80"/>
                                <w:sz w:val="28"/>
                              </w:rPr>
                              <w:t>OFFICIAL</w:t>
                            </w:r>
                            <w:r w:rsidRPr="00F3042C">
                              <w:rPr>
                                <w:color w:val="808080" w:themeColor="background1" w:themeShade="80"/>
                                <w:sz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5E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5.25pt;margin-top:6.55pt;width:499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" filled="f" stroked="f" strokeweight=".5pt">
                <v:textbox>
                  <w:txbxContent>
                    <w:p w14:paraId="0A18C808" w14:textId="77777777" w:rsidR="00F3042C" w:rsidRPr="00E660F4" w:rsidRDefault="00F3042C" w:rsidP="008315AD">
                      <w:pPr>
                        <w:pStyle w:val="Heading1"/>
                      </w:pPr>
                      <w:r w:rsidRPr="00E660F4">
                        <w:t>Subcutaneous immunoglobulin</w:t>
                      </w:r>
                    </w:p>
                    <w:p w14:paraId="73BEA0E3" w14:textId="77777777" w:rsidR="00F3042C" w:rsidRPr="00F3042C" w:rsidRDefault="00F3042C" w:rsidP="008315AD">
                      <w:pPr>
                        <w:pStyle w:val="Heading2"/>
                      </w:pPr>
                      <w:r w:rsidRPr="00F3042C">
                        <w:t>An introduction for patients</w:t>
                      </w:r>
                    </w:p>
                    <w:p w14:paraId="732F1754" w14:textId="77777777" w:rsidR="00F3042C" w:rsidRPr="00F3042C" w:rsidRDefault="00F3042C" w:rsidP="00F3042C">
                      <w:pPr>
                        <w:rPr>
                          <w:color w:val="808080" w:themeColor="background1" w:themeShade="80"/>
                          <w:sz w:val="28"/>
                        </w:rPr>
                      </w:pPr>
                      <w:r w:rsidRPr="00F3042C">
                        <w:rPr>
                          <w:color w:val="808080" w:themeColor="background1" w:themeShade="80"/>
                          <w:sz w:val="28"/>
                        </w:rPr>
                        <w:t>OFFICIAL</w:t>
                      </w:r>
                      <w:r w:rsidRPr="00F3042C">
                        <w:rPr>
                          <w:color w:val="808080" w:themeColor="background1" w:themeShade="80"/>
                          <w:sz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B7902" w14:textId="77777777" w:rsidR="00B406DE" w:rsidRDefault="00B406DE" w:rsidP="00F3042C">
      <w:pPr>
        <w:pStyle w:val="Heading3"/>
        <w:spacing w:before="120" w:after="0"/>
      </w:pPr>
    </w:p>
    <w:p w14:paraId="399E14E6" w14:textId="77777777" w:rsidR="00B406DE" w:rsidRPr="00B406DE" w:rsidRDefault="00B406DE" w:rsidP="00B406DE">
      <w:pPr>
        <w:pStyle w:val="Body"/>
      </w:pPr>
    </w:p>
    <w:p w14:paraId="009486DD" w14:textId="77777777" w:rsidR="00B406DE" w:rsidRDefault="00B406DE" w:rsidP="00F3042C">
      <w:pPr>
        <w:pStyle w:val="Heading3"/>
        <w:spacing w:before="120" w:after="0"/>
      </w:pPr>
    </w:p>
    <w:p w14:paraId="5D066E73" w14:textId="77777777" w:rsidR="00BB0533" w:rsidRPr="008315AD" w:rsidRDefault="00BB0533" w:rsidP="008315AD">
      <w:pPr>
        <w:pStyle w:val="Heading3"/>
      </w:pPr>
      <w:r w:rsidRPr="008315AD">
        <w:t>What is subcutaneous immunoglobulin (SCIg)?</w:t>
      </w:r>
    </w:p>
    <w:p w14:paraId="5AC82B63" w14:textId="1F361D56" w:rsidR="00205D05" w:rsidRPr="008315AD" w:rsidRDefault="00205D05" w:rsidP="008315AD">
      <w:pPr>
        <w:pStyle w:val="Body"/>
      </w:pPr>
      <w:r w:rsidRPr="008315AD">
        <w:t>SCIg is immunoglobulin made from plasma (the liquid part of blood containing important proteins like antibodies)</w:t>
      </w:r>
      <w:r w:rsidR="00860425">
        <w:t xml:space="preserve"> that is administered subcutaneously</w:t>
      </w:r>
      <w:r w:rsidRPr="008315AD">
        <w:t xml:space="preserve">. Immunoglobulins (commonly known as antibodies) are used to treat people who are unable to make enough of their own, or their antibodies do not work properly. </w:t>
      </w:r>
      <w:r w:rsidR="008511CE">
        <w:t>In</w:t>
      </w:r>
      <w:r w:rsidRPr="008315AD">
        <w:t xml:space="preserve"> Australia </w:t>
      </w:r>
      <w:r w:rsidR="008511CE">
        <w:t xml:space="preserve">immunoglobulin therapy </w:t>
      </w:r>
      <w:r w:rsidRPr="008315AD">
        <w:t xml:space="preserve">has mostly been </w:t>
      </w:r>
      <w:r w:rsidR="008511CE">
        <w:t>intravenous</w:t>
      </w:r>
      <w:r w:rsidR="002B79B3">
        <w:t>,</w:t>
      </w:r>
      <w:r w:rsidR="009F4A20">
        <w:t xml:space="preserve"> </w:t>
      </w:r>
      <w:r w:rsidR="00D6410C">
        <w:t>given via a drip into the vein</w:t>
      </w:r>
      <w:r w:rsidR="009F4A20">
        <w:t xml:space="preserve">, </w:t>
      </w:r>
      <w:r w:rsidR="00D6410C">
        <w:t xml:space="preserve">but </w:t>
      </w:r>
      <w:r w:rsidR="009F4A20">
        <w:t>it’s also</w:t>
      </w:r>
      <w:r w:rsidRPr="008315AD">
        <w:t xml:space="preserve"> available as SCIg (an infusion into the fatty tissue under the skin) which may </w:t>
      </w:r>
      <w:r w:rsidR="00D6410C">
        <w:t>be more convenient and beneficial for patients.</w:t>
      </w:r>
    </w:p>
    <w:p w14:paraId="4C3552B3" w14:textId="77777777" w:rsidR="00A62D44" w:rsidRPr="008315AD" w:rsidRDefault="00205D05" w:rsidP="008315AD">
      <w:pPr>
        <w:pStyle w:val="Heading3"/>
      </w:pPr>
      <w:r w:rsidRPr="008315AD">
        <w:t>Why would I consider SCIg?</w:t>
      </w:r>
    </w:p>
    <w:p w14:paraId="34B27FC9" w14:textId="39A02ED9" w:rsidR="00205D05" w:rsidRPr="008315AD" w:rsidRDefault="00205D05" w:rsidP="008315AD">
      <w:pPr>
        <w:pStyle w:val="Body"/>
      </w:pPr>
      <w:r w:rsidRPr="008315AD">
        <w:t>SCIg is well tolerated and safe. The choice of</w:t>
      </w:r>
      <w:r w:rsidR="002B79B3">
        <w:t xml:space="preserve"> intravenous immunoglobulin</w:t>
      </w:r>
      <w:r w:rsidRPr="008315AD">
        <w:t xml:space="preserve"> </w:t>
      </w:r>
      <w:r w:rsidR="002B79B3">
        <w:t>(</w:t>
      </w:r>
      <w:r w:rsidRPr="008315AD">
        <w:t>IVIg</w:t>
      </w:r>
      <w:r w:rsidR="002B79B3">
        <w:t>)</w:t>
      </w:r>
      <w:r w:rsidRPr="008315AD">
        <w:t xml:space="preserve"> or SCIg will depend on several factors and should be discussed with your treating doctor. The table below summarises the differences for you.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73C24" w14:paraId="39637A6F" w14:textId="77777777" w:rsidTr="00924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7A6A7C75" w14:textId="5D0AA353" w:rsidR="00473C24" w:rsidRPr="008315AD" w:rsidRDefault="00473C24" w:rsidP="008315AD">
            <w:pPr>
              <w:pStyle w:val="Tablecolhead"/>
            </w:pPr>
            <w:r w:rsidRPr="008315AD">
              <w:t>SCIg</w:t>
            </w:r>
          </w:p>
        </w:tc>
        <w:tc>
          <w:tcPr>
            <w:tcW w:w="5097" w:type="dxa"/>
          </w:tcPr>
          <w:p w14:paraId="62357F5A" w14:textId="4AAC6D4E" w:rsidR="00473C24" w:rsidRPr="008315AD" w:rsidRDefault="00473C24" w:rsidP="008315A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IVIg</w:t>
            </w:r>
          </w:p>
        </w:tc>
      </w:tr>
      <w:tr w:rsidR="00473C24" w14:paraId="6B9065B5" w14:textId="77777777" w:rsidTr="0092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385CCCE4" w14:textId="6E2F6C94" w:rsidR="00473C24" w:rsidRPr="008315AD" w:rsidRDefault="00473C24" w:rsidP="008315AD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rFonts w:ascii="Verdana" w:hAnsi="Verdana"/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59F1C145" wp14:editId="0FCD3C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353060" cy="292735"/>
                  <wp:effectExtent l="0" t="0" r="8890" b="0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3"/>
                          <a:stretch/>
                        </pic:blipFill>
                        <pic:spPr bwMode="auto">
                          <a:xfrm>
                            <a:off x="0" y="0"/>
                            <a:ext cx="3530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 xml:space="preserve">You can have it at home.                        </w:t>
            </w:r>
          </w:p>
        </w:tc>
        <w:tc>
          <w:tcPr>
            <w:tcW w:w="5097" w:type="dxa"/>
          </w:tcPr>
          <w:p w14:paraId="5B2D1520" w14:textId="32BC0518" w:rsidR="00473C24" w:rsidRPr="008315AD" w:rsidRDefault="00473C24" w:rsidP="008315A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3586">
              <w:rPr>
                <w:rFonts w:ascii="Verdana" w:hAnsi="Verdana"/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6666DF76" wp14:editId="5D75F3F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360000" cy="360000"/>
                  <wp:effectExtent l="0" t="0" r="2540" b="2540"/>
                  <wp:wrapSquare wrapText="bothSides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>Therapy is usually in a hospital.</w:t>
            </w:r>
          </w:p>
        </w:tc>
      </w:tr>
      <w:tr w:rsidR="00473C24" w14:paraId="2E72185A" w14:textId="77777777" w:rsidTr="0092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1D9ABEFA" w14:textId="6F6FE669" w:rsidR="00473C24" w:rsidRPr="008315AD" w:rsidRDefault="00473C24" w:rsidP="008315AD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31B794EB" wp14:editId="50A378B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185877" cy="336589"/>
                  <wp:effectExtent l="0" t="0" r="5080" b="6350"/>
                  <wp:wrapSquare wrapText="bothSides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96" r="23880"/>
                          <a:stretch/>
                        </pic:blipFill>
                        <pic:spPr bwMode="auto">
                          <a:xfrm rot="10800000">
                            <a:off x="0" y="0"/>
                            <a:ext cx="185877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E74BE" w:rsidRPr="00924F12">
              <w:t xml:space="preserve"> </w:t>
            </w:r>
            <w:r w:rsidR="001E74BE" w:rsidRPr="008315AD">
              <w:rPr>
                <w:b w:val="0"/>
                <w:bCs w:val="0"/>
              </w:rPr>
              <w:t>You give yourself the infusion into the fatty tissue under the skin.</w:t>
            </w:r>
          </w:p>
        </w:tc>
        <w:tc>
          <w:tcPr>
            <w:tcW w:w="5097" w:type="dxa"/>
          </w:tcPr>
          <w:p w14:paraId="549D37CA" w14:textId="67E923FE" w:rsidR="00473C24" w:rsidRPr="008315AD" w:rsidRDefault="00473C24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7948E0" wp14:editId="2C800F3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360000" cy="360000"/>
                  <wp:effectExtent l="0" t="0" r="0" b="2540"/>
                  <wp:wrapSquare wrapText="bothSides"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74BE" w:rsidRPr="008315AD">
              <w:t xml:space="preserve"> An intravenous infusion given by a health care professional.</w:t>
            </w:r>
          </w:p>
        </w:tc>
      </w:tr>
      <w:tr w:rsidR="00473C24" w14:paraId="596B71A5" w14:textId="77777777" w:rsidTr="0092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67BBB34E" w14:textId="1B866247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Must meet SCIg criteria</w:t>
            </w:r>
            <w:r w:rsidR="00924F12" w:rsidRPr="008315AD">
              <w:rPr>
                <w:b w:val="0"/>
                <w:bCs w:val="0"/>
              </w:rPr>
              <w:t>.</w:t>
            </w:r>
          </w:p>
          <w:p w14:paraId="6A1CF19C" w14:textId="760ED7EE" w:rsidR="00473C24" w:rsidRPr="00924F12" w:rsidRDefault="001E74BE" w:rsidP="008315AD">
            <w:pPr>
              <w:pStyle w:val="Tabletext"/>
            </w:pPr>
            <w:r w:rsidRPr="008315AD">
              <w:rPr>
                <w:b w:val="0"/>
                <w:bCs w:val="0"/>
              </w:rPr>
              <w:t>Can be used in patients who have frequent reactions to IVIg</w:t>
            </w:r>
            <w:r w:rsidR="005A6FA0" w:rsidRPr="008315AD">
              <w:rPr>
                <w:b w:val="0"/>
                <w:bCs w:val="0"/>
              </w:rPr>
              <w:t>.</w:t>
            </w:r>
          </w:p>
        </w:tc>
        <w:tc>
          <w:tcPr>
            <w:tcW w:w="5097" w:type="dxa"/>
          </w:tcPr>
          <w:p w14:paraId="736DE15C" w14:textId="7892D258" w:rsidR="00473C24" w:rsidRPr="008315AD" w:rsidRDefault="001E74BE" w:rsidP="008315A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Must meet IVIg criteria.</w:t>
            </w:r>
          </w:p>
        </w:tc>
      </w:tr>
      <w:tr w:rsidR="00473C24" w14:paraId="5F228DD7" w14:textId="77777777" w:rsidTr="0092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560D9840" w14:textId="79832A70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46E6BB33" wp14:editId="5690872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2540" b="0"/>
                  <wp:wrapSquare wrapText="bothSides"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>Can be given at a time that fits into your routine,</w:t>
            </w:r>
            <w:r w:rsidR="009F4A20">
              <w:rPr>
                <w:b w:val="0"/>
                <w:bCs w:val="0"/>
              </w:rPr>
              <w:t xml:space="preserve"> offering</w:t>
            </w:r>
            <w:r w:rsidRPr="008315AD">
              <w:rPr>
                <w:b w:val="0"/>
                <w:bCs w:val="0"/>
              </w:rPr>
              <w:t xml:space="preserve"> more flexibility and independence. </w:t>
            </w:r>
          </w:p>
          <w:p w14:paraId="09F39E16" w14:textId="4F4D242C" w:rsidR="00473C24" w:rsidRPr="00DF3341" w:rsidRDefault="001E74BE" w:rsidP="008315AD">
            <w:pPr>
              <w:pStyle w:val="Tabletext"/>
            </w:pPr>
            <w:r w:rsidRPr="008315AD">
              <w:rPr>
                <w:b w:val="0"/>
                <w:bCs w:val="0"/>
              </w:rPr>
              <w:t>Fewer hospital visits, less expense.</w:t>
            </w:r>
          </w:p>
        </w:tc>
        <w:tc>
          <w:tcPr>
            <w:tcW w:w="5097" w:type="dxa"/>
          </w:tcPr>
          <w:p w14:paraId="7B495027" w14:textId="5786EE92" w:rsidR="001E74BE" w:rsidRPr="008315AD" w:rsidRDefault="001E74BE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65408" behindDoc="0" locked="0" layoutInCell="1" allowOverlap="1" wp14:anchorId="6AD0070A" wp14:editId="4D5EA81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58861" cy="360000"/>
                  <wp:effectExtent l="0" t="0" r="3175" b="2540"/>
                  <wp:wrapSquare wrapText="bothSides"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6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 xml:space="preserve">You are required to attend hospital every month or as required by your doctor. </w:t>
            </w:r>
          </w:p>
          <w:p w14:paraId="62046EFB" w14:textId="422776E3" w:rsidR="00473C24" w:rsidRPr="008315AD" w:rsidRDefault="001E74BE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Arranged by the hospital when times are available.</w:t>
            </w:r>
          </w:p>
        </w:tc>
      </w:tr>
      <w:tr w:rsidR="00473C24" w14:paraId="5F894587" w14:textId="77777777" w:rsidTr="005A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244B623F" w14:textId="71495E03" w:rsidR="00473C24" w:rsidRDefault="001E74BE" w:rsidP="008315AD">
            <w:pPr>
              <w:pStyle w:val="Tabletext"/>
            </w:pPr>
            <w:r w:rsidRPr="008315A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C99C666" wp14:editId="026AFE2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361950" cy="361950"/>
                  <wp:effectExtent l="0" t="0" r="0" b="0"/>
                  <wp:wrapSquare wrapText="bothSides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15AD">
              <w:rPr>
                <w:b w:val="0"/>
                <w:bCs w:val="0"/>
              </w:rPr>
              <w:t xml:space="preserve"> Must learn to in</w:t>
            </w:r>
            <w:r w:rsidR="00306C6E">
              <w:rPr>
                <w:b w:val="0"/>
                <w:bCs w:val="0"/>
              </w:rPr>
              <w:t>sert</w:t>
            </w:r>
            <w:r w:rsidRPr="008315AD">
              <w:rPr>
                <w:b w:val="0"/>
                <w:bCs w:val="0"/>
              </w:rPr>
              <w:t xml:space="preserve"> small needle</w:t>
            </w:r>
            <w:r w:rsidR="00306C6E">
              <w:rPr>
                <w:b w:val="0"/>
                <w:bCs w:val="0"/>
              </w:rPr>
              <w:t>s</w:t>
            </w:r>
            <w:r w:rsidRPr="008315AD">
              <w:rPr>
                <w:b w:val="0"/>
                <w:bCs w:val="0"/>
              </w:rPr>
              <w:t>, draw up the SCIg, use the pump, and document the event.</w:t>
            </w:r>
          </w:p>
          <w:p w14:paraId="4BA85835" w14:textId="31DC0C34" w:rsidR="009F4A20" w:rsidRPr="008315AD" w:rsidRDefault="009F4A20" w:rsidP="008315AD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Report any reactions to SCIg coordinator or treating hospital</w:t>
            </w:r>
          </w:p>
        </w:tc>
        <w:tc>
          <w:tcPr>
            <w:tcW w:w="5097" w:type="dxa"/>
          </w:tcPr>
          <w:p w14:paraId="144CC0B3" w14:textId="0BBB2204" w:rsidR="00473C24" w:rsidRPr="008315AD" w:rsidRDefault="001E74BE" w:rsidP="008315A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Report any reactions to the nurse.</w:t>
            </w:r>
          </w:p>
        </w:tc>
      </w:tr>
      <w:tr w:rsidR="00473C24" w14:paraId="7063517B" w14:textId="77777777" w:rsidTr="0092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1A0524BE" w14:textId="7F08BF86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Approximately 1 hour per infusion</w:t>
            </w:r>
            <w:r w:rsidR="005A6FA0" w:rsidRPr="008315AD">
              <w:rPr>
                <w:b w:val="0"/>
                <w:bCs w:val="0"/>
              </w:rPr>
              <w:t>.</w:t>
            </w:r>
          </w:p>
          <w:p w14:paraId="303D3638" w14:textId="5BEDC0F4" w:rsidR="00473C24" w:rsidRPr="00924F12" w:rsidRDefault="000F70FF" w:rsidP="008315AD">
            <w:pPr>
              <w:pStyle w:val="Tabletext"/>
            </w:pPr>
            <w:r>
              <w:rPr>
                <w:b w:val="0"/>
                <w:bCs w:val="0"/>
              </w:rPr>
              <w:t xml:space="preserve">Usually </w:t>
            </w:r>
            <w:r w:rsidR="001E74BE" w:rsidRPr="008315AD">
              <w:rPr>
                <w:b w:val="0"/>
                <w:bCs w:val="0"/>
              </w:rPr>
              <w:t xml:space="preserve">1 per week, </w:t>
            </w:r>
            <w:r>
              <w:rPr>
                <w:b w:val="0"/>
                <w:bCs w:val="0"/>
              </w:rPr>
              <w:t xml:space="preserve">or </w:t>
            </w:r>
            <w:r w:rsidR="001E74BE" w:rsidRPr="008315AD">
              <w:rPr>
                <w:b w:val="0"/>
                <w:bCs w:val="0"/>
              </w:rPr>
              <w:t>as set by your doctor.</w:t>
            </w:r>
          </w:p>
        </w:tc>
        <w:tc>
          <w:tcPr>
            <w:tcW w:w="5097" w:type="dxa"/>
          </w:tcPr>
          <w:p w14:paraId="56824C2F" w14:textId="77777777" w:rsidR="001E74BE" w:rsidRPr="008315AD" w:rsidRDefault="001E74BE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0" layoutInCell="1" allowOverlap="1" wp14:anchorId="1E908B3B" wp14:editId="0F481E3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64638" cy="364638"/>
                  <wp:effectExtent l="0" t="0" r="0" b="0"/>
                  <wp:wrapSquare wrapText="bothSides"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38" cy="36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>2</w:t>
            </w:r>
            <w:r w:rsidRPr="008315AD">
              <w:t xml:space="preserve">–5 hours per infusion. </w:t>
            </w:r>
          </w:p>
          <w:p w14:paraId="3755C495" w14:textId="5FB19119" w:rsidR="00473C24" w:rsidRDefault="001E74BE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1 per month (4 weeks) or as required by your doctor.</w:t>
            </w:r>
          </w:p>
        </w:tc>
      </w:tr>
      <w:tr w:rsidR="00473C24" w14:paraId="3680B894" w14:textId="77777777" w:rsidTr="0092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02DE5383" w14:textId="1B1E8D67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8480" behindDoc="0" locked="0" layoutInCell="1" allowOverlap="1" wp14:anchorId="269C7847" wp14:editId="7CAA3B6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314149" cy="364638"/>
                  <wp:effectExtent l="0" t="0" r="0" b="0"/>
                  <wp:wrapSquare wrapText="bothSides"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7"/>
                          <a:stretch/>
                        </pic:blipFill>
                        <pic:spPr bwMode="auto">
                          <a:xfrm>
                            <a:off x="0" y="0"/>
                            <a:ext cx="314149" cy="36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 xml:space="preserve">More consistent immunoglobulin levels. </w:t>
            </w:r>
          </w:p>
          <w:p w14:paraId="2636837C" w14:textId="77777777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 xml:space="preserve">No ‘wear off’ effect. </w:t>
            </w:r>
          </w:p>
          <w:p w14:paraId="2D39D538" w14:textId="145EFD0D" w:rsidR="00473C24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Local side effects: site swelling, redness and itching at injection site – these can last 1–2 days.</w:t>
            </w:r>
          </w:p>
        </w:tc>
        <w:tc>
          <w:tcPr>
            <w:tcW w:w="5097" w:type="dxa"/>
          </w:tcPr>
          <w:p w14:paraId="428EDE2A" w14:textId="77777777" w:rsidR="001E74BE" w:rsidRPr="008315AD" w:rsidRDefault="001E74BE" w:rsidP="008315A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Rapid rise in immunoglobulin levels can cause side effects that last for a few days after the infusion.</w:t>
            </w:r>
          </w:p>
          <w:p w14:paraId="1EB590CD" w14:textId="33FB922D" w:rsidR="00473C24" w:rsidRDefault="001E74BE" w:rsidP="008315A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You may feel a ‘wear off’ effect, starting up to a week before your next treatment, when the immunoglobulin levels become low again.</w:t>
            </w:r>
          </w:p>
        </w:tc>
      </w:tr>
      <w:tr w:rsidR="001E74BE" w14:paraId="4671DDFD" w14:textId="77777777" w:rsidTr="0092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0969481C" w14:textId="0E7A96EC" w:rsidR="001E74BE" w:rsidRPr="008315AD" w:rsidRDefault="001E74BE" w:rsidP="008315AD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szCs w:val="16"/>
                <w:lang w:eastAsia="en-AU"/>
              </w:rPr>
              <w:drawing>
                <wp:anchor distT="0" distB="0" distL="114300" distR="114300" simplePos="0" relativeHeight="251669504" behindDoc="0" locked="0" layoutInCell="1" allowOverlap="1" wp14:anchorId="59992040" wp14:editId="66BEE92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461010" cy="387705"/>
                  <wp:effectExtent l="0" t="0" r="0" b="0"/>
                  <wp:wrapSquare wrapText="bothSides"/>
                  <wp:docPr id="29" name="Pictur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>Can take SCIg when travelling.</w:t>
            </w:r>
          </w:p>
        </w:tc>
        <w:tc>
          <w:tcPr>
            <w:tcW w:w="5097" w:type="dxa"/>
          </w:tcPr>
          <w:p w14:paraId="270002A3" w14:textId="5D0F7B18" w:rsidR="001E74BE" w:rsidRPr="008315AD" w:rsidRDefault="001E74BE" w:rsidP="008315A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70528" behindDoc="0" locked="0" layoutInCell="1" allowOverlap="1" wp14:anchorId="22A9F604" wp14:editId="04A1D02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360000" cy="360000"/>
                  <wp:effectExtent l="0" t="0" r="2540" b="2540"/>
                  <wp:wrapSquare wrapText="bothSides"/>
                  <wp:docPr id="30" name="Pictur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>Can sometimes be difficult to arrange treatment when you travel.</w:t>
            </w:r>
          </w:p>
        </w:tc>
      </w:tr>
    </w:tbl>
    <w:p w14:paraId="7328242A" w14:textId="77777777" w:rsidR="00205D05" w:rsidRPr="008315AD" w:rsidRDefault="00B1201B" w:rsidP="008315AD">
      <w:pPr>
        <w:pStyle w:val="Heading3"/>
      </w:pPr>
      <w:r w:rsidRPr="008315AD">
        <w:lastRenderedPageBreak/>
        <w:t>Where do I find more information?</w:t>
      </w:r>
    </w:p>
    <w:p w14:paraId="66005C9C" w14:textId="6CB1D9BB" w:rsidR="00B1201B" w:rsidRPr="00DF3341" w:rsidRDefault="00B1201B" w:rsidP="008315AD">
      <w:pPr>
        <w:pStyle w:val="Body"/>
      </w:pPr>
      <w:r w:rsidRPr="00DF3341">
        <w:t>SCIg has been approved in Australia for specific conditions; ask your doctor if you meet the criteri</w:t>
      </w:r>
      <w:r w:rsidR="00E429C5">
        <w:t>a.</w:t>
      </w:r>
    </w:p>
    <w:p w14:paraId="644942DA" w14:textId="77777777" w:rsidR="00D05F99" w:rsidRDefault="00B1201B" w:rsidP="008315AD">
      <w:pPr>
        <w:pStyle w:val="Body"/>
      </w:pPr>
      <w:r w:rsidRPr="00DF3341">
        <w:t>If you want more information about SCIg or self-</w:t>
      </w:r>
      <w:r w:rsidR="00CC3ACE" w:rsidRPr="00DF3341">
        <w:t>administration,</w:t>
      </w:r>
      <w:r w:rsidRPr="00DF3341">
        <w:t xml:space="preserve"> contact your doctor, Hospital SCIg Coordinator or Transfusion Nurse. </w:t>
      </w:r>
    </w:p>
    <w:p w14:paraId="5B32C68C" w14:textId="1C8EF479" w:rsidR="00570043" w:rsidRPr="00072A66" w:rsidRDefault="001E74BE" w:rsidP="008315AD">
      <w:pPr>
        <w:pStyle w:val="Body"/>
      </w:pPr>
      <w:r w:rsidRPr="00DF3341">
        <w:rPr>
          <w:color w:val="000000"/>
        </w:rPr>
        <w:t xml:space="preserve">Reference: ASCIA - </w:t>
      </w:r>
      <w:r w:rsidR="002A6B83">
        <w:rPr>
          <w:rFonts w:eastAsia="Times New Roman"/>
        </w:rPr>
        <w:t xml:space="preserve"> </w:t>
      </w:r>
      <w:hyperlink r:id="rId26" w:history="1">
        <w:r w:rsidR="002A6B83" w:rsidRPr="002A6B83">
          <w:rPr>
            <w:rFonts w:eastAsia="Times New Roman"/>
            <w:color w:val="0000FF"/>
            <w:u w:val="single"/>
          </w:rPr>
          <w:t>ASCIA Position Statement - Immunoglobulin Replacement Therapy in PID - Australasian Society of Clinical Immunology and Allergy (ASCIA)</w:t>
        </w:r>
      </w:hyperlink>
      <w:r w:rsidR="002A6B83">
        <w:rPr>
          <w:rFonts w:eastAsia="Times New Roman"/>
        </w:rPr>
        <w:t xml:space="preserve">  </w:t>
      </w:r>
      <w:r w:rsidR="006A58DC">
        <w:rPr>
          <w:rFonts w:eastAsia="Times New Roman"/>
        </w:rPr>
        <w:t>&lt;</w:t>
      </w:r>
      <w:r w:rsidR="006A58DC" w:rsidRPr="006A58DC">
        <w:rPr>
          <w:rFonts w:eastAsia="Times New Roman"/>
        </w:rPr>
        <w:t>https://www.allergy.org.au/hp/papers/ascia-immunoglobulin-replacement-therapy-in-pid</w:t>
      </w:r>
      <w:r w:rsidR="006A58DC">
        <w:rPr>
          <w:rFonts w:eastAsia="Times New Roman"/>
        </w:rPr>
        <w:t>&gt;</w:t>
      </w:r>
    </w:p>
    <w:p w14:paraId="7FC49363" w14:textId="5CCE0362" w:rsidR="008315AD" w:rsidRDefault="008315AD" w:rsidP="008315AD">
      <w:pPr>
        <w:pStyle w:val="Body"/>
        <w:rPr>
          <w:color w:val="0000FF"/>
          <w:u w:val="single"/>
        </w:rPr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8315AD" w14:paraId="1B612720" w14:textId="77777777" w:rsidTr="00FF1C60">
        <w:tc>
          <w:tcPr>
            <w:tcW w:w="10194" w:type="dxa"/>
          </w:tcPr>
          <w:p w14:paraId="1F7B51D6" w14:textId="47DBB4FD" w:rsidR="008315AD" w:rsidRPr="0055119B" w:rsidRDefault="008315AD" w:rsidP="009365D4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C576C4">
              <w:t xml:space="preserve"> 03 9694 0102</w:t>
            </w:r>
            <w:r w:rsidRPr="0055119B">
              <w:t xml:space="preserve">, using the National Relay Service 13 36 77 if required, or </w:t>
            </w:r>
            <w:hyperlink r:id="rId27" w:history="1">
              <w:r w:rsidR="007271BB" w:rsidRPr="007271BB">
                <w:rPr>
                  <w:rStyle w:val="Hyperlink"/>
                </w:rPr>
                <w:t>email Blood Matters</w:t>
              </w:r>
            </w:hyperlink>
            <w:r w:rsidR="007271BB">
              <w:t xml:space="preserve"> </w:t>
            </w:r>
            <w:r w:rsidRPr="0055119B">
              <w:t>&lt;</w:t>
            </w:r>
            <w:r w:rsidR="00D9099D">
              <w:t>bloodmatters@redcrossblood.org.au</w:t>
            </w:r>
            <w:r w:rsidRPr="0055119B">
              <w:t>&gt;.</w:t>
            </w:r>
          </w:p>
          <w:p w14:paraId="58FF4FBE" w14:textId="77777777" w:rsidR="008315AD" w:rsidRPr="0055119B" w:rsidRDefault="008315AD" w:rsidP="009365D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A30410" w14:textId="00DB937D" w:rsidR="008315AD" w:rsidRPr="0055119B" w:rsidRDefault="008315AD" w:rsidP="009365D4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8B270F">
              <w:t>September</w:t>
            </w:r>
            <w:r w:rsidR="00860425">
              <w:t xml:space="preserve"> 2025</w:t>
            </w:r>
            <w:r w:rsidRPr="0055119B">
              <w:t>.</w:t>
            </w:r>
          </w:p>
          <w:p w14:paraId="40F07C0D" w14:textId="463192DB" w:rsidR="008315AD" w:rsidRPr="0055119B" w:rsidRDefault="008315AD" w:rsidP="009365D4">
            <w:pPr>
              <w:pStyle w:val="Imprint"/>
            </w:pPr>
            <w:r w:rsidRPr="0033249E">
              <w:rPr>
                <w:b/>
                <w:bCs/>
              </w:rPr>
              <w:t>ISBN</w:t>
            </w:r>
            <w:r w:rsidR="0033249E">
              <w:t xml:space="preserve"> </w:t>
            </w:r>
            <w:r w:rsidR="0033249E" w:rsidRPr="0033249E">
              <w:t xml:space="preserve">978-1-76131-193-2 </w:t>
            </w:r>
            <w:r w:rsidR="0033249E" w:rsidRPr="0033249E">
              <w:rPr>
                <w:b/>
                <w:bCs/>
              </w:rPr>
              <w:t xml:space="preserve">(pdf/online/MS word) </w:t>
            </w:r>
            <w:r w:rsidRPr="0033249E">
              <w:rPr>
                <w:b/>
                <w:bCs/>
              </w:rPr>
              <w:t xml:space="preserve"> </w:t>
            </w:r>
          </w:p>
          <w:p w14:paraId="2D3668D9" w14:textId="62443B62" w:rsidR="008315AD" w:rsidRDefault="008315AD" w:rsidP="009365D4">
            <w:pPr>
              <w:pStyle w:val="Imprint"/>
            </w:pPr>
            <w:r w:rsidRPr="0055119B">
              <w:t xml:space="preserve">Available at </w:t>
            </w:r>
            <w:hyperlink r:id="rId28" w:history="1">
              <w:r w:rsidR="00DF26CE" w:rsidRPr="00DF26CE">
                <w:rPr>
                  <w:rStyle w:val="Hyperlink"/>
                </w:rPr>
                <w:t>Blood Matters Program</w:t>
              </w:r>
            </w:hyperlink>
            <w:r w:rsidR="00DF26CE">
              <w:t xml:space="preserve"> </w:t>
            </w:r>
            <w:r w:rsidRPr="0055119B">
              <w:t>&lt;</w:t>
            </w:r>
            <w:r w:rsidR="007271BB" w:rsidRPr="007271BB">
              <w:t>https://www.health.vic.gov.au/patient-care/blood-matters-program</w:t>
            </w:r>
            <w:r w:rsidRPr="0055119B">
              <w:t>&gt;</w:t>
            </w:r>
          </w:p>
        </w:tc>
      </w:tr>
      <w:bookmarkEnd w:id="0"/>
    </w:tbl>
    <w:p w14:paraId="33F51667" w14:textId="77777777" w:rsidR="008315AD" w:rsidRPr="00DF3341" w:rsidRDefault="008315AD" w:rsidP="008315AD">
      <w:pPr>
        <w:pStyle w:val="Body"/>
      </w:pPr>
    </w:p>
    <w:sectPr w:rsidR="008315AD" w:rsidRPr="00DF3341" w:rsidSect="0001677A">
      <w:footerReference w:type="default" r:id="rId29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90DF" w14:textId="77777777" w:rsidR="005C5700" w:rsidRDefault="005C5700">
      <w:r>
        <w:separator/>
      </w:r>
    </w:p>
  </w:endnote>
  <w:endnote w:type="continuationSeparator" w:id="0">
    <w:p w14:paraId="2DDEF847" w14:textId="77777777" w:rsidR="005C5700" w:rsidRDefault="005C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C8AE" w14:textId="02C09F10" w:rsidR="0054766B" w:rsidRPr="00F65AA9" w:rsidRDefault="0054766B" w:rsidP="00342BEE">
    <w:pPr>
      <w:pStyle w:val="Footer"/>
      <w:tabs>
        <w:tab w:val="left" w:pos="1620"/>
        <w:tab w:val="right" w:pos="10204"/>
      </w:tabs>
      <w:jc w:val="left"/>
      <w:rPr>
        <w:noProof/>
        <w:lang w:eastAsia="en-AU"/>
      </w:rPr>
    </w:pPr>
    <w:r>
      <w:rPr>
        <w:noProof/>
        <w:lang w:eastAsia="en-AU"/>
      </w:rPr>
      <w:t xml:space="preserve">                                                                                                                  </w:t>
    </w:r>
    <w:r w:rsidR="0001677A"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0A0510DE" wp14:editId="62B70491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75B90EF" wp14:editId="6396FD9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E910A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B90E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&quot;&quot;" style="position:absolute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AE910A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5F7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5909F1FA" wp14:editId="0F1D959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1876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9F1F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&quot;&quot;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741876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A952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0272F4CC" wp14:editId="7CFF62D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A120D1A" wp14:editId="6C80C94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D4928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20D1A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&quot;&quot;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AD4928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FDC6" w14:textId="77777777" w:rsidR="005C5700" w:rsidRDefault="005C5700" w:rsidP="002862F1">
      <w:pPr>
        <w:spacing w:before="120"/>
      </w:pPr>
      <w:r>
        <w:separator/>
      </w:r>
    </w:p>
  </w:footnote>
  <w:footnote w:type="continuationSeparator" w:id="0">
    <w:p w14:paraId="778EA895" w14:textId="77777777" w:rsidR="005C5700" w:rsidRDefault="005C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AF0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5723538">
    <w:abstractNumId w:val="10"/>
  </w:num>
  <w:num w:numId="2" w16cid:durableId="1923878959">
    <w:abstractNumId w:val="17"/>
  </w:num>
  <w:num w:numId="3" w16cid:durableId="842624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6664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649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9666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299137">
    <w:abstractNumId w:val="21"/>
  </w:num>
  <w:num w:numId="8" w16cid:durableId="134370898">
    <w:abstractNumId w:val="16"/>
  </w:num>
  <w:num w:numId="9" w16cid:durableId="1150634502">
    <w:abstractNumId w:val="20"/>
  </w:num>
  <w:num w:numId="10" w16cid:durableId="90636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2686042">
    <w:abstractNumId w:val="22"/>
  </w:num>
  <w:num w:numId="12" w16cid:durableId="1485849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0462444">
    <w:abstractNumId w:val="18"/>
  </w:num>
  <w:num w:numId="14" w16cid:durableId="643313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665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214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44038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3557448">
    <w:abstractNumId w:val="24"/>
  </w:num>
  <w:num w:numId="19" w16cid:durableId="1237012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6212760">
    <w:abstractNumId w:val="14"/>
  </w:num>
  <w:num w:numId="21" w16cid:durableId="1576477607">
    <w:abstractNumId w:val="12"/>
  </w:num>
  <w:num w:numId="22" w16cid:durableId="138760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8472502">
    <w:abstractNumId w:val="15"/>
  </w:num>
  <w:num w:numId="24" w16cid:durableId="1536037288">
    <w:abstractNumId w:val="25"/>
  </w:num>
  <w:num w:numId="25" w16cid:durableId="1496146180">
    <w:abstractNumId w:val="23"/>
  </w:num>
  <w:num w:numId="26" w16cid:durableId="1180704614">
    <w:abstractNumId w:val="19"/>
  </w:num>
  <w:num w:numId="27" w16cid:durableId="1994528324">
    <w:abstractNumId w:val="11"/>
  </w:num>
  <w:num w:numId="28" w16cid:durableId="1981878553">
    <w:abstractNumId w:val="26"/>
  </w:num>
  <w:num w:numId="29" w16cid:durableId="1938827911">
    <w:abstractNumId w:val="9"/>
  </w:num>
  <w:num w:numId="30" w16cid:durableId="788014015">
    <w:abstractNumId w:val="7"/>
  </w:num>
  <w:num w:numId="31" w16cid:durableId="1381980751">
    <w:abstractNumId w:val="6"/>
  </w:num>
  <w:num w:numId="32" w16cid:durableId="1694917198">
    <w:abstractNumId w:val="5"/>
  </w:num>
  <w:num w:numId="33" w16cid:durableId="1209493285">
    <w:abstractNumId w:val="4"/>
  </w:num>
  <w:num w:numId="34" w16cid:durableId="608202885">
    <w:abstractNumId w:val="8"/>
  </w:num>
  <w:num w:numId="35" w16cid:durableId="16657430">
    <w:abstractNumId w:val="3"/>
  </w:num>
  <w:num w:numId="36" w16cid:durableId="1642147210">
    <w:abstractNumId w:val="2"/>
  </w:num>
  <w:num w:numId="37" w16cid:durableId="1281691635">
    <w:abstractNumId w:val="1"/>
  </w:num>
  <w:num w:numId="38" w16cid:durableId="1611165124">
    <w:abstractNumId w:val="0"/>
  </w:num>
  <w:num w:numId="39" w16cid:durableId="2143302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84"/>
    <w:rsid w:val="00000719"/>
    <w:rsid w:val="00003403"/>
    <w:rsid w:val="00005347"/>
    <w:rsid w:val="000072B6"/>
    <w:rsid w:val="0001021B"/>
    <w:rsid w:val="00011D89"/>
    <w:rsid w:val="00013108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A66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374F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70FF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0B3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4BE"/>
    <w:rsid w:val="001F3826"/>
    <w:rsid w:val="001F6E46"/>
    <w:rsid w:val="001F7186"/>
    <w:rsid w:val="001F7C91"/>
    <w:rsid w:val="00200176"/>
    <w:rsid w:val="002033B7"/>
    <w:rsid w:val="00205D05"/>
    <w:rsid w:val="00206463"/>
    <w:rsid w:val="00206F2F"/>
    <w:rsid w:val="0021053D"/>
    <w:rsid w:val="00210A92"/>
    <w:rsid w:val="00216C03"/>
    <w:rsid w:val="00220C04"/>
    <w:rsid w:val="0022278D"/>
    <w:rsid w:val="00225FAD"/>
    <w:rsid w:val="0022701F"/>
    <w:rsid w:val="00227C68"/>
    <w:rsid w:val="00231CFA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395"/>
    <w:rsid w:val="002A6B83"/>
    <w:rsid w:val="002B0C7C"/>
    <w:rsid w:val="002B1729"/>
    <w:rsid w:val="002B36C7"/>
    <w:rsid w:val="002B4DD4"/>
    <w:rsid w:val="002B5277"/>
    <w:rsid w:val="002B5375"/>
    <w:rsid w:val="002B77C1"/>
    <w:rsid w:val="002B79B3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C6E"/>
    <w:rsid w:val="00306E5F"/>
    <w:rsid w:val="00307E14"/>
    <w:rsid w:val="00314054"/>
    <w:rsid w:val="00315BD8"/>
    <w:rsid w:val="00316F27"/>
    <w:rsid w:val="003214F1"/>
    <w:rsid w:val="00322E4B"/>
    <w:rsid w:val="00327870"/>
    <w:rsid w:val="0033249E"/>
    <w:rsid w:val="0033259D"/>
    <w:rsid w:val="003331E8"/>
    <w:rsid w:val="003333D2"/>
    <w:rsid w:val="003406C6"/>
    <w:rsid w:val="003418CC"/>
    <w:rsid w:val="00341A63"/>
    <w:rsid w:val="0034244F"/>
    <w:rsid w:val="00342BEE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E9A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6914"/>
    <w:rsid w:val="0042787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3C24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66B"/>
    <w:rsid w:val="00547A95"/>
    <w:rsid w:val="0055119B"/>
    <w:rsid w:val="005548B5"/>
    <w:rsid w:val="00570043"/>
    <w:rsid w:val="00572031"/>
    <w:rsid w:val="00572282"/>
    <w:rsid w:val="00573CE3"/>
    <w:rsid w:val="00576E84"/>
    <w:rsid w:val="00580394"/>
    <w:rsid w:val="005809CD"/>
    <w:rsid w:val="00582B8C"/>
    <w:rsid w:val="0058556B"/>
    <w:rsid w:val="0058757E"/>
    <w:rsid w:val="00596A4B"/>
    <w:rsid w:val="00597507"/>
    <w:rsid w:val="005A479D"/>
    <w:rsid w:val="005A6FA0"/>
    <w:rsid w:val="005B1C6D"/>
    <w:rsid w:val="005B21B6"/>
    <w:rsid w:val="005B3A08"/>
    <w:rsid w:val="005B7A63"/>
    <w:rsid w:val="005C0955"/>
    <w:rsid w:val="005C49DA"/>
    <w:rsid w:val="005C50F3"/>
    <w:rsid w:val="005C54B5"/>
    <w:rsid w:val="005C5700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0C3D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58DC"/>
    <w:rsid w:val="006B077C"/>
    <w:rsid w:val="006B6803"/>
    <w:rsid w:val="006D0F16"/>
    <w:rsid w:val="006D2A3F"/>
    <w:rsid w:val="006D2FBC"/>
    <w:rsid w:val="006D43D6"/>
    <w:rsid w:val="006E0541"/>
    <w:rsid w:val="006E138B"/>
    <w:rsid w:val="006F0330"/>
    <w:rsid w:val="006F1FDC"/>
    <w:rsid w:val="006F6B8C"/>
    <w:rsid w:val="007013EF"/>
    <w:rsid w:val="00704634"/>
    <w:rsid w:val="007055BD"/>
    <w:rsid w:val="007173CA"/>
    <w:rsid w:val="007216AA"/>
    <w:rsid w:val="00721AB5"/>
    <w:rsid w:val="00721CFB"/>
    <w:rsid w:val="00721DEF"/>
    <w:rsid w:val="0072251A"/>
    <w:rsid w:val="00724A43"/>
    <w:rsid w:val="007271BB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C99"/>
    <w:rsid w:val="007933F7"/>
    <w:rsid w:val="00796E20"/>
    <w:rsid w:val="007974E3"/>
    <w:rsid w:val="00797A15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65B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5AD"/>
    <w:rsid w:val="008338A2"/>
    <w:rsid w:val="00835FAF"/>
    <w:rsid w:val="00841AA9"/>
    <w:rsid w:val="008474FE"/>
    <w:rsid w:val="008511CE"/>
    <w:rsid w:val="00853EE4"/>
    <w:rsid w:val="00855535"/>
    <w:rsid w:val="00855920"/>
    <w:rsid w:val="00857C5A"/>
    <w:rsid w:val="00860425"/>
    <w:rsid w:val="0086255E"/>
    <w:rsid w:val="00862C3E"/>
    <w:rsid w:val="008633F0"/>
    <w:rsid w:val="00864F3E"/>
    <w:rsid w:val="00867D9D"/>
    <w:rsid w:val="00872E0A"/>
    <w:rsid w:val="00873594"/>
    <w:rsid w:val="00874528"/>
    <w:rsid w:val="00875285"/>
    <w:rsid w:val="00884B62"/>
    <w:rsid w:val="0088529C"/>
    <w:rsid w:val="00887903"/>
    <w:rsid w:val="0089270A"/>
    <w:rsid w:val="0089391F"/>
    <w:rsid w:val="00893AF6"/>
    <w:rsid w:val="00894BC4"/>
    <w:rsid w:val="00894CEE"/>
    <w:rsid w:val="008A28A8"/>
    <w:rsid w:val="008A5B32"/>
    <w:rsid w:val="008B270F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737C"/>
    <w:rsid w:val="00900719"/>
    <w:rsid w:val="009017AC"/>
    <w:rsid w:val="00902A9A"/>
    <w:rsid w:val="00904A1C"/>
    <w:rsid w:val="00905030"/>
    <w:rsid w:val="00906490"/>
    <w:rsid w:val="009111B2"/>
    <w:rsid w:val="00911E34"/>
    <w:rsid w:val="009151F5"/>
    <w:rsid w:val="009220CA"/>
    <w:rsid w:val="00924AE1"/>
    <w:rsid w:val="00924F12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3CF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2F2"/>
    <w:rsid w:val="009F34AA"/>
    <w:rsid w:val="009F4A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657"/>
    <w:rsid w:val="00A1389F"/>
    <w:rsid w:val="00A157B1"/>
    <w:rsid w:val="00A22229"/>
    <w:rsid w:val="00A24442"/>
    <w:rsid w:val="00A330BB"/>
    <w:rsid w:val="00A44882"/>
    <w:rsid w:val="00A45125"/>
    <w:rsid w:val="00A4534B"/>
    <w:rsid w:val="00A54715"/>
    <w:rsid w:val="00A6061C"/>
    <w:rsid w:val="00A62D44"/>
    <w:rsid w:val="00A67263"/>
    <w:rsid w:val="00A703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3C6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201B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6D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0533"/>
    <w:rsid w:val="00BB7A10"/>
    <w:rsid w:val="00BC3586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4584"/>
    <w:rsid w:val="00C576C4"/>
    <w:rsid w:val="00C602FF"/>
    <w:rsid w:val="00C61174"/>
    <w:rsid w:val="00C6148F"/>
    <w:rsid w:val="00C621B1"/>
    <w:rsid w:val="00C62F7A"/>
    <w:rsid w:val="00C63B9C"/>
    <w:rsid w:val="00C64C5D"/>
    <w:rsid w:val="00C6682F"/>
    <w:rsid w:val="00C67BF4"/>
    <w:rsid w:val="00C7275E"/>
    <w:rsid w:val="00C74C5D"/>
    <w:rsid w:val="00C84AA9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4DB"/>
    <w:rsid w:val="00CB2835"/>
    <w:rsid w:val="00CB3285"/>
    <w:rsid w:val="00CB4500"/>
    <w:rsid w:val="00CB7800"/>
    <w:rsid w:val="00CC0C72"/>
    <w:rsid w:val="00CC2BFD"/>
    <w:rsid w:val="00CC3ACE"/>
    <w:rsid w:val="00CD3476"/>
    <w:rsid w:val="00CD64DF"/>
    <w:rsid w:val="00CE225F"/>
    <w:rsid w:val="00CF2F50"/>
    <w:rsid w:val="00CF6198"/>
    <w:rsid w:val="00D02919"/>
    <w:rsid w:val="00D04C61"/>
    <w:rsid w:val="00D05B8D"/>
    <w:rsid w:val="00D05F99"/>
    <w:rsid w:val="00D065A2"/>
    <w:rsid w:val="00D079AA"/>
    <w:rsid w:val="00D07F00"/>
    <w:rsid w:val="00D1130F"/>
    <w:rsid w:val="00D11D30"/>
    <w:rsid w:val="00D17B72"/>
    <w:rsid w:val="00D3185C"/>
    <w:rsid w:val="00D3205F"/>
    <w:rsid w:val="00D3318E"/>
    <w:rsid w:val="00D33E72"/>
    <w:rsid w:val="00D35BD6"/>
    <w:rsid w:val="00D361B5"/>
    <w:rsid w:val="00D374FA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0661"/>
    <w:rsid w:val="00D618F4"/>
    <w:rsid w:val="00D6261F"/>
    <w:rsid w:val="00D6410C"/>
    <w:rsid w:val="00D714CC"/>
    <w:rsid w:val="00D75EA7"/>
    <w:rsid w:val="00D77DAD"/>
    <w:rsid w:val="00D81ADF"/>
    <w:rsid w:val="00D81F21"/>
    <w:rsid w:val="00D864F2"/>
    <w:rsid w:val="00D9099D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6CE"/>
    <w:rsid w:val="00DF3341"/>
    <w:rsid w:val="00DF50FC"/>
    <w:rsid w:val="00DF68C7"/>
    <w:rsid w:val="00DF731A"/>
    <w:rsid w:val="00E06B75"/>
    <w:rsid w:val="00E079DC"/>
    <w:rsid w:val="00E11332"/>
    <w:rsid w:val="00E11352"/>
    <w:rsid w:val="00E170DC"/>
    <w:rsid w:val="00E17546"/>
    <w:rsid w:val="00E210B5"/>
    <w:rsid w:val="00E21163"/>
    <w:rsid w:val="00E261B3"/>
    <w:rsid w:val="00E26818"/>
    <w:rsid w:val="00E27FFC"/>
    <w:rsid w:val="00E30B15"/>
    <w:rsid w:val="00E33237"/>
    <w:rsid w:val="00E40181"/>
    <w:rsid w:val="00E429C5"/>
    <w:rsid w:val="00E54950"/>
    <w:rsid w:val="00E56A01"/>
    <w:rsid w:val="00E62622"/>
    <w:rsid w:val="00E629A1"/>
    <w:rsid w:val="00E660F4"/>
    <w:rsid w:val="00E6794C"/>
    <w:rsid w:val="00E71591"/>
    <w:rsid w:val="00E71CEB"/>
    <w:rsid w:val="00E7474F"/>
    <w:rsid w:val="00E75ABC"/>
    <w:rsid w:val="00E80DE3"/>
    <w:rsid w:val="00E82C55"/>
    <w:rsid w:val="00E8787E"/>
    <w:rsid w:val="00E926C7"/>
    <w:rsid w:val="00E92AC3"/>
    <w:rsid w:val="00EA1360"/>
    <w:rsid w:val="00EA1DB7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4FDF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4466"/>
    <w:rsid w:val="00F16F1B"/>
    <w:rsid w:val="00F250A9"/>
    <w:rsid w:val="00F267AF"/>
    <w:rsid w:val="00F3042C"/>
    <w:rsid w:val="00F30FF4"/>
    <w:rsid w:val="00F3122E"/>
    <w:rsid w:val="00F32368"/>
    <w:rsid w:val="00F331AD"/>
    <w:rsid w:val="00F35287"/>
    <w:rsid w:val="00F40486"/>
    <w:rsid w:val="00F40A70"/>
    <w:rsid w:val="00F4230C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77FC1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1C60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FC21E0"/>
  <w15:docId w15:val="{7AD331B4-6F7E-4795-B2DC-872EF66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 w:uiPriority="62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8315A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table" w:styleId="LightGrid">
    <w:name w:val="Light Grid"/>
    <w:basedOn w:val="TableNormal"/>
    <w:uiPriority w:val="62"/>
    <w:rsid w:val="00BC358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PlainTable1">
    <w:name w:val="Plain Table 1"/>
    <w:basedOn w:val="TableNormal"/>
    <w:uiPriority w:val="41"/>
    <w:rsid w:val="00A453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www.allergy.org.au/hp/papers/ascia-immunoglobulin-replacement-therapy-in-pid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www.health.vic.gov.au/patient-care/blood-matters-progra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mailto:bloodmatters@redcrossblood.org.a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bad440-a7e7-46c6-81bd-18ed54663c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65CB8E-4D52-4A18-910F-852C12CDC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491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Subcutaneous immunoglobulin conversation starter July 2023</vt:lpstr>
    </vt:vector>
  </TitlesOfParts>
  <Manager/>
  <Company>Victoria State Government, Department of Health, Blood Matters</Company>
  <LinksUpToDate>false</LinksUpToDate>
  <CharactersWithSpaces>3549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Subcutaneous immunoglobulin conversation starter July 2023</dc:title>
  <dc:subject>Subcutaneous immunoglobulin conversation starter July 2023</dc:subject>
  <dc:creator>bloodmatters@dhhs.vic.gov.au</dc:creator>
  <cp:keywords/>
  <dc:description/>
  <cp:lastModifiedBy>Emily Hirst (Health)</cp:lastModifiedBy>
  <cp:revision>8</cp:revision>
  <cp:lastPrinted>2020-03-30T03:28:00Z</cp:lastPrinted>
  <dcterms:created xsi:type="dcterms:W3CDTF">2025-06-17T06:18:00Z</dcterms:created>
  <dcterms:modified xsi:type="dcterms:W3CDTF">2025-09-29T05:38:00Z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