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A170" w14:textId="27CF5EF0" w:rsidR="00056EC4" w:rsidRDefault="00E9042A" w:rsidP="00056EC4">
      <w:pPr>
        <w:pStyle w:val="Body"/>
      </w:pPr>
      <w:r>
        <w:rPr>
          <w:noProof/>
        </w:rPr>
        <w:drawing>
          <wp:anchor distT="0" distB="0" distL="114300" distR="114300" simplePos="0" relativeHeight="251658240" behindDoc="1" locked="1" layoutInCell="1" allowOverlap="0" wp14:anchorId="418D74CB" wp14:editId="679D4630">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Look w:val="04A0" w:firstRow="1" w:lastRow="0" w:firstColumn="1" w:lastColumn="0" w:noHBand="0" w:noVBand="1"/>
      </w:tblPr>
      <w:tblGrid>
        <w:gridCol w:w="9299"/>
      </w:tblGrid>
      <w:tr w:rsidR="00AD784C" w14:paraId="75D37732" w14:textId="77777777" w:rsidTr="002D56B4">
        <w:tc>
          <w:tcPr>
            <w:tcW w:w="0" w:type="auto"/>
          </w:tcPr>
          <w:p w14:paraId="19694046" w14:textId="7130E5D6" w:rsidR="00AD784C" w:rsidRPr="00431F42" w:rsidRDefault="0026731C" w:rsidP="00CC3BB0">
            <w:pPr>
              <w:pStyle w:val="Documenttitle"/>
            </w:pPr>
            <w:r w:rsidRPr="0026731C">
              <w:t>Board Director Capability Framework</w:t>
            </w:r>
          </w:p>
        </w:tc>
      </w:tr>
      <w:tr w:rsidR="00AD784C" w14:paraId="676639FE" w14:textId="77777777" w:rsidTr="002D56B4">
        <w:tc>
          <w:tcPr>
            <w:tcW w:w="0" w:type="auto"/>
          </w:tcPr>
          <w:p w14:paraId="4C90BB17" w14:textId="59A74782" w:rsidR="00386109" w:rsidRPr="00A1389F" w:rsidRDefault="0026731C" w:rsidP="009315BE">
            <w:pPr>
              <w:pStyle w:val="Documentsubtitle"/>
            </w:pPr>
            <w:r>
              <w:t xml:space="preserve">Victorian Health Services </w:t>
            </w:r>
          </w:p>
        </w:tc>
      </w:tr>
      <w:tr w:rsidR="00430393" w14:paraId="3EB452E2" w14:textId="77777777" w:rsidTr="002D56B4">
        <w:tc>
          <w:tcPr>
            <w:tcW w:w="0" w:type="auto"/>
          </w:tcPr>
          <w:p w14:paraId="57CBC0E7" w14:textId="77777777" w:rsidR="00430393" w:rsidRDefault="003275B6" w:rsidP="00430393">
            <w:pPr>
              <w:pStyle w:val="Bannermarking"/>
            </w:pPr>
            <w:fldSimple w:instr="FILLIN  &quot;Type the protective marking&quot; \d OFFICIAL \o  \* MERGEFORMAT">
              <w:r>
                <w:t>OFFICIAL</w:t>
              </w:r>
            </w:fldSimple>
          </w:p>
        </w:tc>
      </w:tr>
    </w:tbl>
    <w:p w14:paraId="26DC7056" w14:textId="77777777" w:rsidR="00FE4081" w:rsidRDefault="00FE4081" w:rsidP="00FE4081">
      <w:pPr>
        <w:pStyle w:val="Body"/>
      </w:pPr>
    </w:p>
    <w:p w14:paraId="71CE4A9D" w14:textId="77777777" w:rsidR="00FE4081" w:rsidRPr="00FE4081" w:rsidRDefault="00FE4081" w:rsidP="00FE4081">
      <w:pPr>
        <w:pStyle w:val="Body"/>
        <w:sectPr w:rsidR="00FE4081"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p w14:paraId="12114BCB" w14:textId="787BA48B" w:rsidR="00431F42" w:rsidRDefault="00431F42" w:rsidP="00693C28">
      <w:pPr>
        <w:pStyle w:val="Body"/>
      </w:pPr>
      <w:r>
        <w:lastRenderedPageBreak/>
        <w:br w:type="page"/>
      </w:r>
    </w:p>
    <w:tbl>
      <w:tblPr>
        <w:tblStyle w:val="TableGrid"/>
        <w:tblW w:w="9067" w:type="dxa"/>
        <w:tblLook w:val="04A0" w:firstRow="1" w:lastRow="0" w:firstColumn="1" w:lastColumn="0" w:noHBand="0" w:noVBand="1"/>
      </w:tblPr>
      <w:tblGrid>
        <w:gridCol w:w="9067"/>
      </w:tblGrid>
      <w:tr w:rsidR="00431F42" w14:paraId="3068A5E3" w14:textId="77777777" w:rsidTr="004F3B92">
        <w:trPr>
          <w:trHeight w:val="7371"/>
        </w:trPr>
        <w:tc>
          <w:tcPr>
            <w:tcW w:w="9067" w:type="dxa"/>
          </w:tcPr>
          <w:p w14:paraId="3C956DCF" w14:textId="390B373D" w:rsidR="00431F42" w:rsidRDefault="0026731C" w:rsidP="00431F42">
            <w:pPr>
              <w:pStyle w:val="Documenttitle"/>
            </w:pPr>
            <w:r w:rsidRPr="0026731C">
              <w:lastRenderedPageBreak/>
              <w:t>Board Director Capability Framework</w:t>
            </w:r>
          </w:p>
          <w:p w14:paraId="4BA2677B" w14:textId="7637CE92" w:rsidR="00431F42" w:rsidRDefault="0026731C" w:rsidP="00431F42">
            <w:pPr>
              <w:pStyle w:val="Documentsubtitle"/>
            </w:pPr>
            <w:r>
              <w:t xml:space="preserve">Victorian </w:t>
            </w:r>
            <w:r w:rsidR="008816E7">
              <w:t xml:space="preserve">Public </w:t>
            </w:r>
            <w:r>
              <w:t>Health Services</w:t>
            </w:r>
          </w:p>
        </w:tc>
      </w:tr>
      <w:tr w:rsidR="00431F42" w14:paraId="4D7E26FC" w14:textId="77777777" w:rsidTr="004F3B92">
        <w:tc>
          <w:tcPr>
            <w:tcW w:w="9067" w:type="dxa"/>
          </w:tcPr>
          <w:p w14:paraId="39B0C4E4" w14:textId="77777777" w:rsidR="00431F42" w:rsidRDefault="00431F42" w:rsidP="00431F42">
            <w:pPr>
              <w:pStyle w:val="Body"/>
            </w:pPr>
          </w:p>
        </w:tc>
      </w:tr>
    </w:tbl>
    <w:p w14:paraId="7BAA684F" w14:textId="77777777" w:rsidR="000D2ABA" w:rsidRDefault="000D2ABA" w:rsidP="00431F42">
      <w:pPr>
        <w:pStyle w:val="Body"/>
      </w:pPr>
      <w:r>
        <w:br w:type="page"/>
      </w:r>
    </w:p>
    <w:p w14:paraId="5370ABF0" w14:textId="77777777" w:rsidR="009F2182" w:rsidRDefault="009F2182" w:rsidP="009F2182">
      <w:pPr>
        <w:pStyle w:val="Body"/>
      </w:pPr>
    </w:p>
    <w:tbl>
      <w:tblPr>
        <w:tblStyle w:val="TableGrid"/>
        <w:tblW w:w="0" w:type="auto"/>
        <w:tblLook w:val="04A0" w:firstRow="1" w:lastRow="0" w:firstColumn="1" w:lastColumn="0" w:noHBand="0" w:noVBand="1"/>
      </w:tblPr>
      <w:tblGrid>
        <w:gridCol w:w="9288"/>
      </w:tblGrid>
      <w:tr w:rsidR="009F2182" w14:paraId="3FA5A2BA" w14:textId="77777777" w:rsidTr="002D56B4">
        <w:trPr>
          <w:trHeight w:val="7088"/>
        </w:trPr>
        <w:tc>
          <w:tcPr>
            <w:tcW w:w="9288" w:type="dxa"/>
          </w:tcPr>
          <w:p w14:paraId="060D19DB" w14:textId="3038B472" w:rsidR="009F2182" w:rsidRPr="00BA26F6" w:rsidRDefault="009F2182" w:rsidP="00BA26F6">
            <w:pPr>
              <w:pStyle w:val="Body"/>
              <w:rPr>
                <w:rFonts w:eastAsia="Times New Roman"/>
                <w:color w:val="87189D"/>
                <w:sz w:val="24"/>
                <w:szCs w:val="24"/>
              </w:rPr>
            </w:pPr>
          </w:p>
        </w:tc>
      </w:tr>
      <w:tr w:rsidR="009F2182" w14:paraId="7B2B8A37" w14:textId="77777777" w:rsidTr="002D56B4">
        <w:trPr>
          <w:trHeight w:val="5103"/>
        </w:trPr>
        <w:tc>
          <w:tcPr>
            <w:tcW w:w="9288" w:type="dxa"/>
          </w:tcPr>
          <w:p w14:paraId="50608DF0" w14:textId="3EB7DEF7" w:rsidR="009F2182" w:rsidRPr="0055119B" w:rsidRDefault="009F2182" w:rsidP="009F2182">
            <w:pPr>
              <w:pStyle w:val="Accessibilitypara"/>
            </w:pPr>
            <w:r w:rsidRPr="0055119B">
              <w:t>To receive this document in another format</w:t>
            </w:r>
            <w:r>
              <w:t>,</w:t>
            </w:r>
            <w:r w:rsidRPr="0055119B">
              <w:t xml:space="preserve"> phone </w:t>
            </w:r>
            <w:r w:rsidR="0026731C" w:rsidRPr="00CC29CE">
              <w:t>9456 3724</w:t>
            </w:r>
            <w:r w:rsidRPr="0026731C">
              <w:t>,</w:t>
            </w:r>
            <w:r w:rsidRPr="0055119B">
              <w:t xml:space="preserve"> using the National Relay Service 13 36 77 if required, or </w:t>
            </w:r>
            <w:hyperlink r:id="rId16" w:history="1">
              <w:r w:rsidR="00C15B1C" w:rsidRPr="002E281B">
                <w:rPr>
                  <w:rStyle w:val="Hyperlink"/>
                </w:rPr>
                <w:t>email Health Service Governance</w:t>
              </w:r>
            </w:hyperlink>
            <w:r w:rsidR="00BD260F">
              <w:t xml:space="preserve"> </w:t>
            </w:r>
            <w:r w:rsidRPr="0055119B">
              <w:t>&lt;</w:t>
            </w:r>
            <w:r w:rsidR="00BD260F">
              <w:t>healthservicegovernance</w:t>
            </w:r>
            <w:r w:rsidR="00BD260F" w:rsidRPr="00194BFC">
              <w:t>@</w:t>
            </w:r>
            <w:r w:rsidR="00BD260F">
              <w:t>health</w:t>
            </w:r>
            <w:r w:rsidR="00BD260F" w:rsidRPr="00194BFC">
              <w:t>.vic.gov.au</w:t>
            </w:r>
            <w:r w:rsidRPr="0055119B">
              <w:t>&gt;.</w:t>
            </w:r>
          </w:p>
          <w:p w14:paraId="23321E42" w14:textId="77777777" w:rsidR="009F2182" w:rsidRPr="0055119B" w:rsidRDefault="009F2182" w:rsidP="009F2182">
            <w:pPr>
              <w:pStyle w:val="Imprint"/>
            </w:pPr>
            <w:r w:rsidRPr="0055119B">
              <w:t>Authorised and published by the Victorian Government, 1 Treasury Place, Melbourne.</w:t>
            </w:r>
          </w:p>
          <w:p w14:paraId="54BF9D4C" w14:textId="5AFF727E" w:rsidR="009F2182" w:rsidRDefault="009F2182" w:rsidP="009F2182">
            <w:pPr>
              <w:pStyle w:val="Imprint"/>
            </w:pPr>
            <w:r w:rsidRPr="0055119B">
              <w:t xml:space="preserve">© State of Victoria, Australia, Department </w:t>
            </w:r>
            <w:r w:rsidRPr="001B058F">
              <w:t xml:space="preserve">of </w:t>
            </w:r>
            <w:r w:rsidR="00D76ECC">
              <w:t>Health</w:t>
            </w:r>
            <w:r w:rsidRPr="0055119B">
              <w:t>,</w:t>
            </w:r>
            <w:r w:rsidR="00BD260F">
              <w:t xml:space="preserve"> </w:t>
            </w:r>
            <w:r w:rsidR="00BD260F" w:rsidRPr="00987BFC">
              <w:t>October 202</w:t>
            </w:r>
            <w:r w:rsidR="00B54F58">
              <w:t>5</w:t>
            </w:r>
            <w:r w:rsidRPr="0055119B">
              <w:t>.</w:t>
            </w:r>
          </w:p>
          <w:p w14:paraId="39FB1B7B" w14:textId="16317CEA" w:rsidR="00693C28" w:rsidRDefault="00693C28" w:rsidP="009F2182">
            <w:pPr>
              <w:pStyle w:val="Imprint"/>
            </w:pPr>
            <w:r w:rsidRPr="00F14DCD">
              <w:rPr>
                <w:color w:val="004C97"/>
              </w:rPr>
              <w:t>In this document, ‘Aboriginal’ refers to both Aboriginal and Torres Strait Islander people.</w:t>
            </w:r>
          </w:p>
          <w:p w14:paraId="7C3772E8" w14:textId="13749E34" w:rsidR="000F2BEB" w:rsidRPr="0055119B" w:rsidRDefault="000F2BEB" w:rsidP="009F2182">
            <w:pPr>
              <w:pStyle w:val="Imprint"/>
            </w:pPr>
            <w:r w:rsidRPr="0055119B">
              <w:t xml:space="preserve">ISBN </w:t>
            </w:r>
            <w:r w:rsidRPr="004F587F">
              <w:t xml:space="preserve">978-1-76131-055-3 </w:t>
            </w:r>
            <w:r w:rsidRPr="0055119B">
              <w:t>(</w:t>
            </w:r>
            <w:r w:rsidRPr="004F587F">
              <w:t>pdf/online/MS word)</w:t>
            </w:r>
          </w:p>
          <w:p w14:paraId="5D615CA2" w14:textId="4D43778F" w:rsidR="009F2182" w:rsidRDefault="00BD260F" w:rsidP="009F2182">
            <w:pPr>
              <w:pStyle w:val="Body"/>
            </w:pPr>
            <w:r w:rsidRPr="00136F1B">
              <w:rPr>
                <w:szCs w:val="19"/>
              </w:rPr>
              <w:t>Available at</w:t>
            </w:r>
            <w:r w:rsidR="00C036B9">
              <w:rPr>
                <w:szCs w:val="19"/>
              </w:rPr>
              <w:t xml:space="preserve"> </w:t>
            </w:r>
            <w:hyperlink r:id="rId17" w:history="1">
              <w:r w:rsidR="00EE502E" w:rsidRPr="00AC4305">
                <w:rPr>
                  <w:rStyle w:val="Hyperlink"/>
                  <w:szCs w:val="19"/>
                </w:rPr>
                <w:t>Applying for board positions</w:t>
              </w:r>
            </w:hyperlink>
            <w:r w:rsidR="00EE502E">
              <w:rPr>
                <w:szCs w:val="19"/>
              </w:rPr>
              <w:t xml:space="preserve"> </w:t>
            </w:r>
            <w:r w:rsidR="00EE502E" w:rsidRPr="00136F1B">
              <w:t>&lt;</w:t>
            </w:r>
            <w:r w:rsidR="00EE502E" w:rsidRPr="0003648E">
              <w:t>https://www.health.vic.gov.au/board-applications</w:t>
            </w:r>
            <w:r w:rsidR="00EE502E" w:rsidRPr="00136F1B">
              <w:t>&gt;</w:t>
            </w:r>
          </w:p>
        </w:tc>
      </w:tr>
    </w:tbl>
    <w:p w14:paraId="1900CC3D" w14:textId="77777777" w:rsidR="0008204A" w:rsidRPr="0008204A" w:rsidRDefault="0008204A" w:rsidP="0008204A">
      <w:pPr>
        <w:pStyle w:val="Body"/>
      </w:pPr>
      <w:r w:rsidRPr="0008204A">
        <w:br w:type="page"/>
      </w:r>
    </w:p>
    <w:p w14:paraId="4EA808EA" w14:textId="77777777" w:rsidR="00AD784C" w:rsidRPr="00B57329" w:rsidRDefault="00AD784C" w:rsidP="0092004E">
      <w:pPr>
        <w:pStyle w:val="Heading1"/>
        <w:spacing w:before="0"/>
      </w:pPr>
      <w:bookmarkStart w:id="0" w:name="_Toc149149799"/>
      <w:r w:rsidRPr="00B57329">
        <w:lastRenderedPageBreak/>
        <w:t>Contents</w:t>
      </w:r>
      <w:bookmarkEnd w:id="0"/>
    </w:p>
    <w:p w14:paraId="10326E8D" w14:textId="337BFE0A" w:rsidR="00224CE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9149799" w:history="1">
        <w:r w:rsidR="00224CEF" w:rsidRPr="002B2F92">
          <w:rPr>
            <w:rStyle w:val="Hyperlink"/>
          </w:rPr>
          <w:t>Contents</w:t>
        </w:r>
        <w:r w:rsidR="00224CEF">
          <w:rPr>
            <w:webHidden/>
          </w:rPr>
          <w:tab/>
        </w:r>
        <w:r w:rsidR="00224CEF">
          <w:rPr>
            <w:webHidden/>
          </w:rPr>
          <w:fldChar w:fldCharType="begin"/>
        </w:r>
        <w:r w:rsidR="00224CEF">
          <w:rPr>
            <w:webHidden/>
          </w:rPr>
          <w:instrText xml:space="preserve"> PAGEREF _Toc149149799 \h </w:instrText>
        </w:r>
        <w:r w:rsidR="00224CEF">
          <w:rPr>
            <w:webHidden/>
          </w:rPr>
        </w:r>
        <w:r w:rsidR="00224CEF">
          <w:rPr>
            <w:webHidden/>
          </w:rPr>
          <w:fldChar w:fldCharType="separate"/>
        </w:r>
        <w:r w:rsidR="00224CEF">
          <w:rPr>
            <w:webHidden/>
          </w:rPr>
          <w:t>5</w:t>
        </w:r>
        <w:r w:rsidR="00224CEF">
          <w:rPr>
            <w:webHidden/>
          </w:rPr>
          <w:fldChar w:fldCharType="end"/>
        </w:r>
      </w:hyperlink>
    </w:p>
    <w:p w14:paraId="79C7CC6B" w14:textId="1A8C24C2" w:rsidR="00224CEF" w:rsidRDefault="00224CEF">
      <w:pPr>
        <w:pStyle w:val="TOC1"/>
        <w:rPr>
          <w:rFonts w:asciiTheme="minorHAnsi" w:eastAsiaTheme="minorEastAsia" w:hAnsiTheme="minorHAnsi" w:cstheme="minorBidi"/>
          <w:b w:val="0"/>
          <w:sz w:val="22"/>
          <w:szCs w:val="22"/>
          <w:lang w:eastAsia="en-AU"/>
        </w:rPr>
      </w:pPr>
      <w:hyperlink w:anchor="_Toc149149800" w:history="1">
        <w:r w:rsidRPr="002B2F92">
          <w:rPr>
            <w:rStyle w:val="Hyperlink"/>
          </w:rPr>
          <w:t>Acknowledgements</w:t>
        </w:r>
        <w:r>
          <w:rPr>
            <w:webHidden/>
          </w:rPr>
          <w:tab/>
        </w:r>
        <w:r>
          <w:rPr>
            <w:webHidden/>
          </w:rPr>
          <w:fldChar w:fldCharType="begin"/>
        </w:r>
        <w:r>
          <w:rPr>
            <w:webHidden/>
          </w:rPr>
          <w:instrText xml:space="preserve"> PAGEREF _Toc149149800 \h </w:instrText>
        </w:r>
        <w:r>
          <w:rPr>
            <w:webHidden/>
          </w:rPr>
        </w:r>
        <w:r>
          <w:rPr>
            <w:webHidden/>
          </w:rPr>
          <w:fldChar w:fldCharType="separate"/>
        </w:r>
        <w:r>
          <w:rPr>
            <w:webHidden/>
          </w:rPr>
          <w:t>6</w:t>
        </w:r>
        <w:r>
          <w:rPr>
            <w:webHidden/>
          </w:rPr>
          <w:fldChar w:fldCharType="end"/>
        </w:r>
      </w:hyperlink>
    </w:p>
    <w:p w14:paraId="00FA23BB" w14:textId="00A614E0" w:rsidR="00224CEF" w:rsidRDefault="00224CEF">
      <w:pPr>
        <w:pStyle w:val="TOC2"/>
        <w:rPr>
          <w:rFonts w:asciiTheme="minorHAnsi" w:eastAsiaTheme="minorEastAsia" w:hAnsiTheme="minorHAnsi" w:cstheme="minorBidi"/>
          <w:sz w:val="22"/>
          <w:szCs w:val="22"/>
          <w:lang w:eastAsia="en-AU"/>
        </w:rPr>
      </w:pPr>
      <w:hyperlink w:anchor="_Toc149149801" w:history="1">
        <w:r w:rsidRPr="002B2F92">
          <w:rPr>
            <w:rStyle w:val="Hyperlink"/>
          </w:rPr>
          <w:t>Acknowledgement of Traditional Owners</w:t>
        </w:r>
        <w:r>
          <w:rPr>
            <w:webHidden/>
          </w:rPr>
          <w:tab/>
        </w:r>
        <w:r>
          <w:rPr>
            <w:webHidden/>
          </w:rPr>
          <w:fldChar w:fldCharType="begin"/>
        </w:r>
        <w:r>
          <w:rPr>
            <w:webHidden/>
          </w:rPr>
          <w:instrText xml:space="preserve"> PAGEREF _Toc149149801 \h </w:instrText>
        </w:r>
        <w:r>
          <w:rPr>
            <w:webHidden/>
          </w:rPr>
        </w:r>
        <w:r>
          <w:rPr>
            <w:webHidden/>
          </w:rPr>
          <w:fldChar w:fldCharType="separate"/>
        </w:r>
        <w:r>
          <w:rPr>
            <w:webHidden/>
          </w:rPr>
          <w:t>6</w:t>
        </w:r>
        <w:r>
          <w:rPr>
            <w:webHidden/>
          </w:rPr>
          <w:fldChar w:fldCharType="end"/>
        </w:r>
      </w:hyperlink>
    </w:p>
    <w:p w14:paraId="17395DFB" w14:textId="2038D9A1" w:rsidR="00224CEF" w:rsidRDefault="00224CEF">
      <w:pPr>
        <w:pStyle w:val="TOC2"/>
        <w:rPr>
          <w:rFonts w:asciiTheme="minorHAnsi" w:eastAsiaTheme="minorEastAsia" w:hAnsiTheme="minorHAnsi" w:cstheme="minorBidi"/>
          <w:sz w:val="22"/>
          <w:szCs w:val="22"/>
          <w:lang w:eastAsia="en-AU"/>
        </w:rPr>
      </w:pPr>
      <w:hyperlink w:anchor="_Toc149149802" w:history="1">
        <w:r w:rsidRPr="002B2F92">
          <w:rPr>
            <w:rStyle w:val="Hyperlink"/>
          </w:rPr>
          <w:t>Aboriginal and Torres Strait Islander recognition statement</w:t>
        </w:r>
        <w:r>
          <w:rPr>
            <w:webHidden/>
          </w:rPr>
          <w:tab/>
        </w:r>
        <w:r>
          <w:rPr>
            <w:webHidden/>
          </w:rPr>
          <w:fldChar w:fldCharType="begin"/>
        </w:r>
        <w:r>
          <w:rPr>
            <w:webHidden/>
          </w:rPr>
          <w:instrText xml:space="preserve"> PAGEREF _Toc149149802 \h </w:instrText>
        </w:r>
        <w:r>
          <w:rPr>
            <w:webHidden/>
          </w:rPr>
        </w:r>
        <w:r>
          <w:rPr>
            <w:webHidden/>
          </w:rPr>
          <w:fldChar w:fldCharType="separate"/>
        </w:r>
        <w:r>
          <w:rPr>
            <w:webHidden/>
          </w:rPr>
          <w:t>6</w:t>
        </w:r>
        <w:r>
          <w:rPr>
            <w:webHidden/>
          </w:rPr>
          <w:fldChar w:fldCharType="end"/>
        </w:r>
      </w:hyperlink>
    </w:p>
    <w:p w14:paraId="0ED71DA3" w14:textId="334FC60F" w:rsidR="00224CEF" w:rsidRDefault="00224CEF">
      <w:pPr>
        <w:pStyle w:val="TOC2"/>
        <w:rPr>
          <w:rFonts w:asciiTheme="minorHAnsi" w:eastAsiaTheme="minorEastAsia" w:hAnsiTheme="minorHAnsi" w:cstheme="minorBidi"/>
          <w:sz w:val="22"/>
          <w:szCs w:val="22"/>
          <w:lang w:eastAsia="en-AU"/>
        </w:rPr>
      </w:pPr>
      <w:hyperlink w:anchor="_Toc149149803" w:history="1">
        <w:r w:rsidRPr="002B2F92">
          <w:rPr>
            <w:rStyle w:val="Hyperlink"/>
          </w:rPr>
          <w:t>Treaty and Truth in Victoria</w:t>
        </w:r>
        <w:r>
          <w:rPr>
            <w:webHidden/>
          </w:rPr>
          <w:tab/>
        </w:r>
        <w:r>
          <w:rPr>
            <w:webHidden/>
          </w:rPr>
          <w:fldChar w:fldCharType="begin"/>
        </w:r>
        <w:r>
          <w:rPr>
            <w:webHidden/>
          </w:rPr>
          <w:instrText xml:space="preserve"> PAGEREF _Toc149149803 \h </w:instrText>
        </w:r>
        <w:r>
          <w:rPr>
            <w:webHidden/>
          </w:rPr>
        </w:r>
        <w:r>
          <w:rPr>
            <w:webHidden/>
          </w:rPr>
          <w:fldChar w:fldCharType="separate"/>
        </w:r>
        <w:r>
          <w:rPr>
            <w:webHidden/>
          </w:rPr>
          <w:t>6</w:t>
        </w:r>
        <w:r>
          <w:rPr>
            <w:webHidden/>
          </w:rPr>
          <w:fldChar w:fldCharType="end"/>
        </w:r>
      </w:hyperlink>
    </w:p>
    <w:p w14:paraId="6D989EB6" w14:textId="139DB01B" w:rsidR="00224CEF" w:rsidRDefault="00224CEF">
      <w:pPr>
        <w:pStyle w:val="TOC2"/>
        <w:rPr>
          <w:rFonts w:asciiTheme="minorHAnsi" w:eastAsiaTheme="minorEastAsia" w:hAnsiTheme="minorHAnsi" w:cstheme="minorBidi"/>
          <w:sz w:val="22"/>
          <w:szCs w:val="22"/>
          <w:lang w:eastAsia="en-AU"/>
        </w:rPr>
      </w:pPr>
      <w:hyperlink w:anchor="_Toc149149804" w:history="1">
        <w:r w:rsidRPr="002B2F92">
          <w:rPr>
            <w:rStyle w:val="Hyperlink"/>
          </w:rPr>
          <w:t>Language statement</w:t>
        </w:r>
        <w:r>
          <w:rPr>
            <w:webHidden/>
          </w:rPr>
          <w:tab/>
        </w:r>
        <w:r>
          <w:rPr>
            <w:webHidden/>
          </w:rPr>
          <w:fldChar w:fldCharType="begin"/>
        </w:r>
        <w:r>
          <w:rPr>
            <w:webHidden/>
          </w:rPr>
          <w:instrText xml:space="preserve"> PAGEREF _Toc149149804 \h </w:instrText>
        </w:r>
        <w:r>
          <w:rPr>
            <w:webHidden/>
          </w:rPr>
        </w:r>
        <w:r>
          <w:rPr>
            <w:webHidden/>
          </w:rPr>
          <w:fldChar w:fldCharType="separate"/>
        </w:r>
        <w:r>
          <w:rPr>
            <w:webHidden/>
          </w:rPr>
          <w:t>6</w:t>
        </w:r>
        <w:r>
          <w:rPr>
            <w:webHidden/>
          </w:rPr>
          <w:fldChar w:fldCharType="end"/>
        </w:r>
      </w:hyperlink>
    </w:p>
    <w:p w14:paraId="130D9FEC" w14:textId="09A1DDC8" w:rsidR="00224CEF" w:rsidRDefault="00224CEF">
      <w:pPr>
        <w:pStyle w:val="TOC1"/>
        <w:rPr>
          <w:rFonts w:asciiTheme="minorHAnsi" w:eastAsiaTheme="minorEastAsia" w:hAnsiTheme="minorHAnsi" w:cstheme="minorBidi"/>
          <w:b w:val="0"/>
          <w:sz w:val="22"/>
          <w:szCs w:val="22"/>
          <w:lang w:eastAsia="en-AU"/>
        </w:rPr>
      </w:pPr>
      <w:hyperlink w:anchor="_Toc149149805" w:history="1">
        <w:r w:rsidRPr="002B2F92">
          <w:rPr>
            <w:rStyle w:val="Hyperlink"/>
          </w:rPr>
          <w:t>Overview</w:t>
        </w:r>
        <w:r>
          <w:rPr>
            <w:webHidden/>
          </w:rPr>
          <w:tab/>
        </w:r>
        <w:r>
          <w:rPr>
            <w:webHidden/>
          </w:rPr>
          <w:fldChar w:fldCharType="begin"/>
        </w:r>
        <w:r>
          <w:rPr>
            <w:webHidden/>
          </w:rPr>
          <w:instrText xml:space="preserve"> PAGEREF _Toc149149805 \h </w:instrText>
        </w:r>
        <w:r>
          <w:rPr>
            <w:webHidden/>
          </w:rPr>
        </w:r>
        <w:r>
          <w:rPr>
            <w:webHidden/>
          </w:rPr>
          <w:fldChar w:fldCharType="separate"/>
        </w:r>
        <w:r>
          <w:rPr>
            <w:webHidden/>
          </w:rPr>
          <w:t>7</w:t>
        </w:r>
        <w:r>
          <w:rPr>
            <w:webHidden/>
          </w:rPr>
          <w:fldChar w:fldCharType="end"/>
        </w:r>
      </w:hyperlink>
    </w:p>
    <w:p w14:paraId="0CBCDCE8" w14:textId="383E6B68" w:rsidR="00224CEF" w:rsidRDefault="00224CEF">
      <w:pPr>
        <w:pStyle w:val="TOC1"/>
        <w:rPr>
          <w:rFonts w:asciiTheme="minorHAnsi" w:eastAsiaTheme="minorEastAsia" w:hAnsiTheme="minorHAnsi" w:cstheme="minorBidi"/>
          <w:b w:val="0"/>
          <w:sz w:val="22"/>
          <w:szCs w:val="22"/>
          <w:lang w:eastAsia="en-AU"/>
        </w:rPr>
      </w:pPr>
      <w:hyperlink w:anchor="_Toc149149806" w:history="1">
        <w:r w:rsidRPr="002B2F92">
          <w:rPr>
            <w:rStyle w:val="Hyperlink"/>
          </w:rPr>
          <w:t>Key Attributes of a Public Health Board</w:t>
        </w:r>
        <w:r>
          <w:rPr>
            <w:webHidden/>
          </w:rPr>
          <w:tab/>
        </w:r>
        <w:r>
          <w:rPr>
            <w:webHidden/>
          </w:rPr>
          <w:fldChar w:fldCharType="begin"/>
        </w:r>
        <w:r>
          <w:rPr>
            <w:webHidden/>
          </w:rPr>
          <w:instrText xml:space="preserve"> PAGEREF _Toc149149806 \h </w:instrText>
        </w:r>
        <w:r>
          <w:rPr>
            <w:webHidden/>
          </w:rPr>
        </w:r>
        <w:r>
          <w:rPr>
            <w:webHidden/>
          </w:rPr>
          <w:fldChar w:fldCharType="separate"/>
        </w:r>
        <w:r>
          <w:rPr>
            <w:webHidden/>
          </w:rPr>
          <w:t>8</w:t>
        </w:r>
        <w:r>
          <w:rPr>
            <w:webHidden/>
          </w:rPr>
          <w:fldChar w:fldCharType="end"/>
        </w:r>
      </w:hyperlink>
    </w:p>
    <w:p w14:paraId="44735E4A" w14:textId="333C9DE4" w:rsidR="00224CEF" w:rsidRDefault="00224CEF">
      <w:pPr>
        <w:pStyle w:val="TOC1"/>
        <w:rPr>
          <w:rFonts w:asciiTheme="minorHAnsi" w:eastAsiaTheme="minorEastAsia" w:hAnsiTheme="minorHAnsi" w:cstheme="minorBidi"/>
          <w:b w:val="0"/>
          <w:sz w:val="22"/>
          <w:szCs w:val="22"/>
          <w:lang w:eastAsia="en-AU"/>
        </w:rPr>
      </w:pPr>
      <w:hyperlink w:anchor="_Toc149149807" w:history="1">
        <w:r w:rsidRPr="002B2F92">
          <w:rPr>
            <w:rStyle w:val="Hyperlink"/>
          </w:rPr>
          <w:t>Key Capabilities of a Public Health Board</w:t>
        </w:r>
        <w:r>
          <w:rPr>
            <w:webHidden/>
          </w:rPr>
          <w:tab/>
        </w:r>
        <w:r>
          <w:rPr>
            <w:webHidden/>
          </w:rPr>
          <w:fldChar w:fldCharType="begin"/>
        </w:r>
        <w:r>
          <w:rPr>
            <w:webHidden/>
          </w:rPr>
          <w:instrText xml:space="preserve"> PAGEREF _Toc149149807 \h </w:instrText>
        </w:r>
        <w:r>
          <w:rPr>
            <w:webHidden/>
          </w:rPr>
        </w:r>
        <w:r>
          <w:rPr>
            <w:webHidden/>
          </w:rPr>
          <w:fldChar w:fldCharType="separate"/>
        </w:r>
        <w:r>
          <w:rPr>
            <w:webHidden/>
          </w:rPr>
          <w:t>9</w:t>
        </w:r>
        <w:r>
          <w:rPr>
            <w:webHidden/>
          </w:rPr>
          <w:fldChar w:fldCharType="end"/>
        </w:r>
      </w:hyperlink>
    </w:p>
    <w:p w14:paraId="18F50498" w14:textId="614E61F1" w:rsidR="00224CEF" w:rsidRDefault="00224CEF">
      <w:pPr>
        <w:pStyle w:val="TOC1"/>
        <w:rPr>
          <w:rFonts w:asciiTheme="minorHAnsi" w:eastAsiaTheme="minorEastAsia" w:hAnsiTheme="minorHAnsi" w:cstheme="minorBidi"/>
          <w:b w:val="0"/>
          <w:sz w:val="22"/>
          <w:szCs w:val="22"/>
          <w:lang w:eastAsia="en-AU"/>
        </w:rPr>
      </w:pPr>
      <w:hyperlink w:anchor="_Toc149149808" w:history="1">
        <w:r w:rsidRPr="002B2F92">
          <w:rPr>
            <w:rStyle w:val="Hyperlink"/>
          </w:rPr>
          <w:t>Explaining Board Capabilities</w:t>
        </w:r>
        <w:r>
          <w:rPr>
            <w:webHidden/>
          </w:rPr>
          <w:tab/>
        </w:r>
        <w:r>
          <w:rPr>
            <w:webHidden/>
          </w:rPr>
          <w:fldChar w:fldCharType="begin"/>
        </w:r>
        <w:r>
          <w:rPr>
            <w:webHidden/>
          </w:rPr>
          <w:instrText xml:space="preserve"> PAGEREF _Toc149149808 \h </w:instrText>
        </w:r>
        <w:r>
          <w:rPr>
            <w:webHidden/>
          </w:rPr>
        </w:r>
        <w:r>
          <w:rPr>
            <w:webHidden/>
          </w:rPr>
          <w:fldChar w:fldCharType="separate"/>
        </w:r>
        <w:r>
          <w:rPr>
            <w:webHidden/>
          </w:rPr>
          <w:t>11</w:t>
        </w:r>
        <w:r>
          <w:rPr>
            <w:webHidden/>
          </w:rPr>
          <w:fldChar w:fldCharType="end"/>
        </w:r>
      </w:hyperlink>
    </w:p>
    <w:p w14:paraId="0ABDE82E" w14:textId="53513C68" w:rsidR="00224CEF" w:rsidRDefault="00224CEF">
      <w:pPr>
        <w:pStyle w:val="TOC1"/>
        <w:rPr>
          <w:rFonts w:asciiTheme="minorHAnsi" w:eastAsiaTheme="minorEastAsia" w:hAnsiTheme="minorHAnsi" w:cstheme="minorBidi"/>
          <w:b w:val="0"/>
          <w:sz w:val="22"/>
          <w:szCs w:val="22"/>
          <w:lang w:eastAsia="en-AU"/>
        </w:rPr>
      </w:pPr>
      <w:hyperlink w:anchor="_Toc149149809" w:history="1">
        <w:r w:rsidRPr="002B2F92">
          <w:rPr>
            <w:rStyle w:val="Hyperlink"/>
          </w:rPr>
          <w:t>Tier 1 – Necessary Capabilities for the Board</w:t>
        </w:r>
        <w:r>
          <w:rPr>
            <w:webHidden/>
          </w:rPr>
          <w:tab/>
        </w:r>
        <w:r>
          <w:rPr>
            <w:webHidden/>
          </w:rPr>
          <w:fldChar w:fldCharType="begin"/>
        </w:r>
        <w:r>
          <w:rPr>
            <w:webHidden/>
          </w:rPr>
          <w:instrText xml:space="preserve"> PAGEREF _Toc149149809 \h </w:instrText>
        </w:r>
        <w:r>
          <w:rPr>
            <w:webHidden/>
          </w:rPr>
        </w:r>
        <w:r>
          <w:rPr>
            <w:webHidden/>
          </w:rPr>
          <w:fldChar w:fldCharType="separate"/>
        </w:r>
        <w:r>
          <w:rPr>
            <w:webHidden/>
          </w:rPr>
          <w:t>12</w:t>
        </w:r>
        <w:r>
          <w:rPr>
            <w:webHidden/>
          </w:rPr>
          <w:fldChar w:fldCharType="end"/>
        </w:r>
      </w:hyperlink>
    </w:p>
    <w:p w14:paraId="3280DF97" w14:textId="29663FBE" w:rsidR="00224CEF" w:rsidRDefault="00224CEF">
      <w:pPr>
        <w:pStyle w:val="TOC2"/>
        <w:rPr>
          <w:rFonts w:asciiTheme="minorHAnsi" w:eastAsiaTheme="minorEastAsia" w:hAnsiTheme="minorHAnsi" w:cstheme="minorBidi"/>
          <w:sz w:val="22"/>
          <w:szCs w:val="22"/>
          <w:lang w:eastAsia="en-AU"/>
        </w:rPr>
      </w:pPr>
      <w:hyperlink w:anchor="_Toc149149810" w:history="1">
        <w:r w:rsidRPr="002B2F92">
          <w:rPr>
            <w:rStyle w:val="Hyperlink"/>
          </w:rPr>
          <w:t>Audit and Risk Management</w:t>
        </w:r>
        <w:r>
          <w:rPr>
            <w:webHidden/>
          </w:rPr>
          <w:tab/>
        </w:r>
        <w:r>
          <w:rPr>
            <w:webHidden/>
          </w:rPr>
          <w:fldChar w:fldCharType="begin"/>
        </w:r>
        <w:r>
          <w:rPr>
            <w:webHidden/>
          </w:rPr>
          <w:instrText xml:space="preserve"> PAGEREF _Toc149149810 \h </w:instrText>
        </w:r>
        <w:r>
          <w:rPr>
            <w:webHidden/>
          </w:rPr>
        </w:r>
        <w:r>
          <w:rPr>
            <w:webHidden/>
          </w:rPr>
          <w:fldChar w:fldCharType="separate"/>
        </w:r>
        <w:r>
          <w:rPr>
            <w:webHidden/>
          </w:rPr>
          <w:t>12</w:t>
        </w:r>
        <w:r>
          <w:rPr>
            <w:webHidden/>
          </w:rPr>
          <w:fldChar w:fldCharType="end"/>
        </w:r>
      </w:hyperlink>
    </w:p>
    <w:p w14:paraId="150E6426" w14:textId="49782B7F" w:rsidR="00224CEF" w:rsidRDefault="00224CEF">
      <w:pPr>
        <w:pStyle w:val="TOC2"/>
        <w:rPr>
          <w:rFonts w:asciiTheme="minorHAnsi" w:eastAsiaTheme="minorEastAsia" w:hAnsiTheme="minorHAnsi" w:cstheme="minorBidi"/>
          <w:sz w:val="22"/>
          <w:szCs w:val="22"/>
          <w:lang w:eastAsia="en-AU"/>
        </w:rPr>
      </w:pPr>
      <w:hyperlink w:anchor="_Toc149149811" w:history="1">
        <w:r w:rsidRPr="002B2F92">
          <w:rPr>
            <w:rStyle w:val="Hyperlink"/>
          </w:rPr>
          <w:t>Clinical Governance</w:t>
        </w:r>
        <w:r>
          <w:rPr>
            <w:webHidden/>
          </w:rPr>
          <w:tab/>
        </w:r>
        <w:r>
          <w:rPr>
            <w:webHidden/>
          </w:rPr>
          <w:fldChar w:fldCharType="begin"/>
        </w:r>
        <w:r>
          <w:rPr>
            <w:webHidden/>
          </w:rPr>
          <w:instrText xml:space="preserve"> PAGEREF _Toc149149811 \h </w:instrText>
        </w:r>
        <w:r>
          <w:rPr>
            <w:webHidden/>
          </w:rPr>
        </w:r>
        <w:r>
          <w:rPr>
            <w:webHidden/>
          </w:rPr>
          <w:fldChar w:fldCharType="separate"/>
        </w:r>
        <w:r>
          <w:rPr>
            <w:webHidden/>
          </w:rPr>
          <w:t>13</w:t>
        </w:r>
        <w:r>
          <w:rPr>
            <w:webHidden/>
          </w:rPr>
          <w:fldChar w:fldCharType="end"/>
        </w:r>
      </w:hyperlink>
    </w:p>
    <w:p w14:paraId="6424B36F" w14:textId="0EC1ADAA" w:rsidR="00224CEF" w:rsidRDefault="00224CEF">
      <w:pPr>
        <w:pStyle w:val="TOC2"/>
        <w:rPr>
          <w:rFonts w:asciiTheme="minorHAnsi" w:eastAsiaTheme="minorEastAsia" w:hAnsiTheme="minorHAnsi" w:cstheme="minorBidi"/>
          <w:sz w:val="22"/>
          <w:szCs w:val="22"/>
          <w:lang w:eastAsia="en-AU"/>
        </w:rPr>
      </w:pPr>
      <w:hyperlink w:anchor="_Toc149149812" w:history="1">
        <w:r w:rsidRPr="002B2F92">
          <w:rPr>
            <w:rStyle w:val="Hyperlink"/>
          </w:rPr>
          <w:t>Corporate Governance</w:t>
        </w:r>
        <w:r>
          <w:rPr>
            <w:webHidden/>
          </w:rPr>
          <w:tab/>
        </w:r>
        <w:r>
          <w:rPr>
            <w:webHidden/>
          </w:rPr>
          <w:fldChar w:fldCharType="begin"/>
        </w:r>
        <w:r>
          <w:rPr>
            <w:webHidden/>
          </w:rPr>
          <w:instrText xml:space="preserve"> PAGEREF _Toc149149812 \h </w:instrText>
        </w:r>
        <w:r>
          <w:rPr>
            <w:webHidden/>
          </w:rPr>
        </w:r>
        <w:r>
          <w:rPr>
            <w:webHidden/>
          </w:rPr>
          <w:fldChar w:fldCharType="separate"/>
        </w:r>
        <w:r>
          <w:rPr>
            <w:webHidden/>
          </w:rPr>
          <w:t>14</w:t>
        </w:r>
        <w:r>
          <w:rPr>
            <w:webHidden/>
          </w:rPr>
          <w:fldChar w:fldCharType="end"/>
        </w:r>
      </w:hyperlink>
    </w:p>
    <w:p w14:paraId="6F049AEA" w14:textId="7612DD6E" w:rsidR="00224CEF" w:rsidRDefault="00224CEF" w:rsidP="795989C5">
      <w:pPr>
        <w:pStyle w:val="TOC2"/>
        <w:rPr>
          <w:rFonts w:asciiTheme="minorHAnsi" w:eastAsiaTheme="minorEastAsia" w:hAnsiTheme="minorHAnsi" w:cstheme="minorBidi"/>
          <w:sz w:val="22"/>
          <w:szCs w:val="22"/>
          <w:lang w:eastAsia="en-AU"/>
        </w:rPr>
      </w:pPr>
      <w:hyperlink w:anchor="_Toc149149813" w:history="1">
        <w:r w:rsidRPr="002B2F92">
          <w:rPr>
            <w:rStyle w:val="Hyperlink"/>
          </w:rPr>
          <w:t>Financial Management and Accounting</w:t>
        </w:r>
        <w:r>
          <w:rPr>
            <w:webHidden/>
          </w:rPr>
          <w:tab/>
        </w:r>
        <w:r>
          <w:rPr>
            <w:webHidden/>
          </w:rPr>
          <w:fldChar w:fldCharType="begin"/>
        </w:r>
        <w:r>
          <w:rPr>
            <w:webHidden/>
          </w:rPr>
          <w:instrText xml:space="preserve"> PAGEREF _Toc149149813 \h </w:instrText>
        </w:r>
        <w:r>
          <w:rPr>
            <w:webHidden/>
          </w:rPr>
        </w:r>
        <w:r>
          <w:rPr>
            <w:webHidden/>
          </w:rPr>
          <w:fldChar w:fldCharType="separate"/>
        </w:r>
        <w:r>
          <w:rPr>
            <w:webHidden/>
          </w:rPr>
          <w:t>15</w:t>
        </w:r>
        <w:r>
          <w:rPr>
            <w:webHidden/>
          </w:rPr>
          <w:fldChar w:fldCharType="end"/>
        </w:r>
      </w:hyperlink>
    </w:p>
    <w:p w14:paraId="1EB7EAF0" w14:textId="690E84EE" w:rsidR="00224CEF" w:rsidRDefault="00224CEF">
      <w:pPr>
        <w:pStyle w:val="TOC2"/>
        <w:rPr>
          <w:rFonts w:asciiTheme="minorHAnsi" w:eastAsiaTheme="minorEastAsia" w:hAnsiTheme="minorHAnsi" w:cstheme="minorBidi"/>
          <w:sz w:val="22"/>
          <w:szCs w:val="22"/>
          <w:lang w:eastAsia="en-AU"/>
        </w:rPr>
      </w:pPr>
      <w:hyperlink w:anchor="_Toc149149814" w:history="1">
        <w:r w:rsidRPr="002B2F92">
          <w:rPr>
            <w:rStyle w:val="Hyperlink"/>
          </w:rPr>
          <w:t>Law</w:t>
        </w:r>
        <w:r>
          <w:rPr>
            <w:webHidden/>
          </w:rPr>
          <w:tab/>
        </w:r>
        <w:r>
          <w:rPr>
            <w:webHidden/>
          </w:rPr>
          <w:fldChar w:fldCharType="begin"/>
        </w:r>
        <w:r>
          <w:rPr>
            <w:webHidden/>
          </w:rPr>
          <w:instrText xml:space="preserve"> PAGEREF _Toc149149814 \h </w:instrText>
        </w:r>
        <w:r>
          <w:rPr>
            <w:webHidden/>
          </w:rPr>
        </w:r>
        <w:r>
          <w:rPr>
            <w:webHidden/>
          </w:rPr>
          <w:fldChar w:fldCharType="separate"/>
        </w:r>
        <w:r>
          <w:rPr>
            <w:webHidden/>
          </w:rPr>
          <w:t>16</w:t>
        </w:r>
        <w:r>
          <w:rPr>
            <w:webHidden/>
          </w:rPr>
          <w:fldChar w:fldCharType="end"/>
        </w:r>
      </w:hyperlink>
    </w:p>
    <w:p w14:paraId="10BCAA45" w14:textId="695BBE8B" w:rsidR="00224CEF" w:rsidRDefault="00224CEF">
      <w:pPr>
        <w:pStyle w:val="TOC2"/>
        <w:rPr>
          <w:rFonts w:asciiTheme="minorHAnsi" w:eastAsiaTheme="minorEastAsia" w:hAnsiTheme="minorHAnsi" w:cstheme="minorBidi"/>
          <w:sz w:val="22"/>
          <w:szCs w:val="22"/>
          <w:lang w:eastAsia="en-AU"/>
        </w:rPr>
      </w:pPr>
      <w:hyperlink w:anchor="_Toc149149815" w:history="1">
        <w:r w:rsidRPr="002B2F92">
          <w:rPr>
            <w:rStyle w:val="Hyperlink"/>
          </w:rPr>
          <w:t>Patient (user) Experience and Consumer Engagement</w:t>
        </w:r>
        <w:r>
          <w:rPr>
            <w:webHidden/>
          </w:rPr>
          <w:tab/>
        </w:r>
        <w:r>
          <w:rPr>
            <w:webHidden/>
          </w:rPr>
          <w:fldChar w:fldCharType="begin"/>
        </w:r>
        <w:r>
          <w:rPr>
            <w:webHidden/>
          </w:rPr>
          <w:instrText xml:space="preserve"> PAGEREF _Toc149149815 \h </w:instrText>
        </w:r>
        <w:r>
          <w:rPr>
            <w:webHidden/>
          </w:rPr>
        </w:r>
        <w:r>
          <w:rPr>
            <w:webHidden/>
          </w:rPr>
          <w:fldChar w:fldCharType="separate"/>
        </w:r>
        <w:r>
          <w:rPr>
            <w:webHidden/>
          </w:rPr>
          <w:t>17</w:t>
        </w:r>
        <w:r>
          <w:rPr>
            <w:webHidden/>
          </w:rPr>
          <w:fldChar w:fldCharType="end"/>
        </w:r>
      </w:hyperlink>
    </w:p>
    <w:p w14:paraId="30DCCB92" w14:textId="7A69E966" w:rsidR="00224CEF" w:rsidRDefault="00224CEF">
      <w:pPr>
        <w:pStyle w:val="TOC2"/>
        <w:rPr>
          <w:rFonts w:asciiTheme="minorHAnsi" w:eastAsiaTheme="minorEastAsia" w:hAnsiTheme="minorHAnsi" w:cstheme="minorBidi"/>
          <w:sz w:val="22"/>
          <w:szCs w:val="22"/>
          <w:lang w:eastAsia="en-AU"/>
        </w:rPr>
      </w:pPr>
      <w:hyperlink w:anchor="_Toc149149816" w:history="1">
        <w:r w:rsidRPr="002B2F92">
          <w:rPr>
            <w:rStyle w:val="Hyperlink"/>
          </w:rPr>
          <w:t>Registered Clinician</w:t>
        </w:r>
        <w:r>
          <w:rPr>
            <w:webHidden/>
          </w:rPr>
          <w:tab/>
        </w:r>
        <w:r>
          <w:rPr>
            <w:webHidden/>
          </w:rPr>
          <w:fldChar w:fldCharType="begin"/>
        </w:r>
        <w:r>
          <w:rPr>
            <w:webHidden/>
          </w:rPr>
          <w:instrText xml:space="preserve"> PAGEREF _Toc149149816 \h </w:instrText>
        </w:r>
        <w:r>
          <w:rPr>
            <w:webHidden/>
          </w:rPr>
        </w:r>
        <w:r>
          <w:rPr>
            <w:webHidden/>
          </w:rPr>
          <w:fldChar w:fldCharType="separate"/>
        </w:r>
        <w:r>
          <w:rPr>
            <w:webHidden/>
          </w:rPr>
          <w:t>18</w:t>
        </w:r>
        <w:r>
          <w:rPr>
            <w:webHidden/>
          </w:rPr>
          <w:fldChar w:fldCharType="end"/>
        </w:r>
      </w:hyperlink>
    </w:p>
    <w:p w14:paraId="217A63DA" w14:textId="45F08615" w:rsidR="00224CEF" w:rsidRDefault="00224CEF">
      <w:pPr>
        <w:pStyle w:val="TOC2"/>
        <w:rPr>
          <w:rFonts w:asciiTheme="minorHAnsi" w:eastAsiaTheme="minorEastAsia" w:hAnsiTheme="minorHAnsi" w:cstheme="minorBidi"/>
          <w:sz w:val="22"/>
          <w:szCs w:val="22"/>
          <w:lang w:eastAsia="en-AU"/>
        </w:rPr>
      </w:pPr>
      <w:hyperlink w:anchor="_Toc149149817" w:history="1">
        <w:r w:rsidRPr="002B2F92">
          <w:rPr>
            <w:rStyle w:val="Hyperlink"/>
          </w:rPr>
          <w:t>Strategic Leadership</w:t>
        </w:r>
        <w:r>
          <w:rPr>
            <w:webHidden/>
          </w:rPr>
          <w:tab/>
        </w:r>
        <w:r>
          <w:rPr>
            <w:webHidden/>
          </w:rPr>
          <w:fldChar w:fldCharType="begin"/>
        </w:r>
        <w:r>
          <w:rPr>
            <w:webHidden/>
          </w:rPr>
          <w:instrText xml:space="preserve"> PAGEREF _Toc149149817 \h </w:instrText>
        </w:r>
        <w:r>
          <w:rPr>
            <w:webHidden/>
          </w:rPr>
        </w:r>
        <w:r>
          <w:rPr>
            <w:webHidden/>
          </w:rPr>
          <w:fldChar w:fldCharType="separate"/>
        </w:r>
        <w:r>
          <w:rPr>
            <w:webHidden/>
          </w:rPr>
          <w:t>19</w:t>
        </w:r>
        <w:r>
          <w:rPr>
            <w:webHidden/>
          </w:rPr>
          <w:fldChar w:fldCharType="end"/>
        </w:r>
      </w:hyperlink>
    </w:p>
    <w:p w14:paraId="6F55646E" w14:textId="1379E602" w:rsidR="00224CEF" w:rsidRDefault="00224CEF">
      <w:pPr>
        <w:pStyle w:val="TOC1"/>
        <w:rPr>
          <w:rFonts w:asciiTheme="minorHAnsi" w:eastAsiaTheme="minorEastAsia" w:hAnsiTheme="minorHAnsi" w:cstheme="minorBidi"/>
          <w:b w:val="0"/>
          <w:sz w:val="22"/>
          <w:szCs w:val="22"/>
          <w:lang w:eastAsia="en-AU"/>
        </w:rPr>
      </w:pPr>
      <w:hyperlink w:anchor="_Toc149149818" w:history="1">
        <w:r w:rsidRPr="002B2F92">
          <w:rPr>
            <w:rStyle w:val="Hyperlink"/>
          </w:rPr>
          <w:t>Tier 2 – Important Capabilities for the Board</w:t>
        </w:r>
        <w:r>
          <w:rPr>
            <w:webHidden/>
          </w:rPr>
          <w:tab/>
        </w:r>
        <w:r>
          <w:rPr>
            <w:webHidden/>
          </w:rPr>
          <w:fldChar w:fldCharType="begin"/>
        </w:r>
        <w:r>
          <w:rPr>
            <w:webHidden/>
          </w:rPr>
          <w:instrText xml:space="preserve"> PAGEREF _Toc149149818 \h </w:instrText>
        </w:r>
        <w:r>
          <w:rPr>
            <w:webHidden/>
          </w:rPr>
        </w:r>
        <w:r>
          <w:rPr>
            <w:webHidden/>
          </w:rPr>
          <w:fldChar w:fldCharType="separate"/>
        </w:r>
        <w:r>
          <w:rPr>
            <w:webHidden/>
          </w:rPr>
          <w:t>20</w:t>
        </w:r>
        <w:r>
          <w:rPr>
            <w:webHidden/>
          </w:rPr>
          <w:fldChar w:fldCharType="end"/>
        </w:r>
      </w:hyperlink>
    </w:p>
    <w:p w14:paraId="39FABFAE" w14:textId="46657833" w:rsidR="00224CEF" w:rsidRDefault="00224CEF">
      <w:pPr>
        <w:pStyle w:val="TOC2"/>
        <w:rPr>
          <w:rFonts w:asciiTheme="minorHAnsi" w:eastAsiaTheme="minorEastAsia" w:hAnsiTheme="minorHAnsi" w:cstheme="minorBidi"/>
          <w:sz w:val="22"/>
          <w:szCs w:val="22"/>
          <w:lang w:eastAsia="en-AU"/>
        </w:rPr>
      </w:pPr>
      <w:hyperlink w:anchor="_Toc149149819" w:history="1">
        <w:r w:rsidRPr="002B2F92">
          <w:rPr>
            <w:rStyle w:val="Hyperlink"/>
          </w:rPr>
          <w:t>Asset Management</w:t>
        </w:r>
        <w:r>
          <w:rPr>
            <w:webHidden/>
          </w:rPr>
          <w:tab/>
        </w:r>
        <w:r>
          <w:rPr>
            <w:webHidden/>
          </w:rPr>
          <w:fldChar w:fldCharType="begin"/>
        </w:r>
        <w:r>
          <w:rPr>
            <w:webHidden/>
          </w:rPr>
          <w:instrText xml:space="preserve"> PAGEREF _Toc149149819 \h </w:instrText>
        </w:r>
        <w:r>
          <w:rPr>
            <w:webHidden/>
          </w:rPr>
        </w:r>
        <w:r>
          <w:rPr>
            <w:webHidden/>
          </w:rPr>
          <w:fldChar w:fldCharType="separate"/>
        </w:r>
        <w:r>
          <w:rPr>
            <w:webHidden/>
          </w:rPr>
          <w:t>20</w:t>
        </w:r>
        <w:r>
          <w:rPr>
            <w:webHidden/>
          </w:rPr>
          <w:fldChar w:fldCharType="end"/>
        </w:r>
      </w:hyperlink>
    </w:p>
    <w:p w14:paraId="63984974" w14:textId="3CAE700E" w:rsidR="00224CEF" w:rsidRDefault="00224CEF">
      <w:pPr>
        <w:pStyle w:val="TOC2"/>
        <w:rPr>
          <w:rFonts w:asciiTheme="minorHAnsi" w:eastAsiaTheme="minorEastAsia" w:hAnsiTheme="minorHAnsi" w:cstheme="minorBidi"/>
          <w:sz w:val="22"/>
          <w:szCs w:val="22"/>
          <w:lang w:eastAsia="en-AU"/>
        </w:rPr>
      </w:pPr>
      <w:hyperlink w:anchor="_Toc149149820" w:history="1">
        <w:r w:rsidRPr="002B2F92">
          <w:rPr>
            <w:rStyle w:val="Hyperlink"/>
          </w:rPr>
          <w:t>Communications and Stakeholder Engagement</w:t>
        </w:r>
        <w:r>
          <w:rPr>
            <w:webHidden/>
          </w:rPr>
          <w:tab/>
        </w:r>
        <w:r>
          <w:rPr>
            <w:webHidden/>
          </w:rPr>
          <w:fldChar w:fldCharType="begin"/>
        </w:r>
        <w:r>
          <w:rPr>
            <w:webHidden/>
          </w:rPr>
          <w:instrText xml:space="preserve"> PAGEREF _Toc149149820 \h </w:instrText>
        </w:r>
        <w:r>
          <w:rPr>
            <w:webHidden/>
          </w:rPr>
        </w:r>
        <w:r>
          <w:rPr>
            <w:webHidden/>
          </w:rPr>
          <w:fldChar w:fldCharType="separate"/>
        </w:r>
        <w:r>
          <w:rPr>
            <w:webHidden/>
          </w:rPr>
          <w:t>21</w:t>
        </w:r>
        <w:r>
          <w:rPr>
            <w:webHidden/>
          </w:rPr>
          <w:fldChar w:fldCharType="end"/>
        </w:r>
      </w:hyperlink>
    </w:p>
    <w:p w14:paraId="6446DFC6" w14:textId="3104F7C9" w:rsidR="00224CEF" w:rsidRDefault="00224CEF">
      <w:pPr>
        <w:pStyle w:val="TOC2"/>
        <w:rPr>
          <w:rFonts w:asciiTheme="minorHAnsi" w:eastAsiaTheme="minorEastAsia" w:hAnsiTheme="minorHAnsi" w:cstheme="minorBidi"/>
          <w:sz w:val="22"/>
          <w:szCs w:val="22"/>
          <w:lang w:eastAsia="en-AU"/>
        </w:rPr>
      </w:pPr>
      <w:hyperlink w:anchor="_Toc149149821" w:history="1">
        <w:r w:rsidRPr="002B2F92">
          <w:rPr>
            <w:rStyle w:val="Hyperlink"/>
          </w:rPr>
          <w:t>Community Services</w:t>
        </w:r>
        <w:r>
          <w:rPr>
            <w:webHidden/>
          </w:rPr>
          <w:tab/>
        </w:r>
        <w:r>
          <w:rPr>
            <w:webHidden/>
          </w:rPr>
          <w:fldChar w:fldCharType="begin"/>
        </w:r>
        <w:r>
          <w:rPr>
            <w:webHidden/>
          </w:rPr>
          <w:instrText xml:space="preserve"> PAGEREF _Toc149149821 \h </w:instrText>
        </w:r>
        <w:r>
          <w:rPr>
            <w:webHidden/>
          </w:rPr>
        </w:r>
        <w:r>
          <w:rPr>
            <w:webHidden/>
          </w:rPr>
          <w:fldChar w:fldCharType="separate"/>
        </w:r>
        <w:r>
          <w:rPr>
            <w:webHidden/>
          </w:rPr>
          <w:t>22</w:t>
        </w:r>
        <w:r>
          <w:rPr>
            <w:webHidden/>
          </w:rPr>
          <w:fldChar w:fldCharType="end"/>
        </w:r>
      </w:hyperlink>
    </w:p>
    <w:p w14:paraId="0E0399B5" w14:textId="20BCB0B1" w:rsidR="00224CEF" w:rsidRDefault="00224CEF">
      <w:pPr>
        <w:pStyle w:val="TOC2"/>
        <w:rPr>
          <w:rFonts w:asciiTheme="minorHAnsi" w:eastAsiaTheme="minorEastAsia" w:hAnsiTheme="minorHAnsi" w:cstheme="minorBidi"/>
          <w:sz w:val="22"/>
          <w:szCs w:val="22"/>
          <w:lang w:eastAsia="en-AU"/>
        </w:rPr>
      </w:pPr>
      <w:hyperlink w:anchor="_Toc149149822" w:history="1">
        <w:r w:rsidRPr="002B2F92">
          <w:rPr>
            <w:rStyle w:val="Hyperlink"/>
          </w:rPr>
          <w:t>Human Resource Management</w:t>
        </w:r>
        <w:r>
          <w:rPr>
            <w:webHidden/>
          </w:rPr>
          <w:tab/>
        </w:r>
        <w:r>
          <w:rPr>
            <w:webHidden/>
          </w:rPr>
          <w:fldChar w:fldCharType="begin"/>
        </w:r>
        <w:r>
          <w:rPr>
            <w:webHidden/>
          </w:rPr>
          <w:instrText xml:space="preserve"> PAGEREF _Toc149149822 \h </w:instrText>
        </w:r>
        <w:r>
          <w:rPr>
            <w:webHidden/>
          </w:rPr>
        </w:r>
        <w:r>
          <w:rPr>
            <w:webHidden/>
          </w:rPr>
          <w:fldChar w:fldCharType="separate"/>
        </w:r>
        <w:r>
          <w:rPr>
            <w:webHidden/>
          </w:rPr>
          <w:t>23</w:t>
        </w:r>
        <w:r>
          <w:rPr>
            <w:webHidden/>
          </w:rPr>
          <w:fldChar w:fldCharType="end"/>
        </w:r>
      </w:hyperlink>
    </w:p>
    <w:p w14:paraId="3B2C6203" w14:textId="65C7C88D" w:rsidR="00224CEF" w:rsidRDefault="00224CEF">
      <w:pPr>
        <w:pStyle w:val="TOC2"/>
        <w:rPr>
          <w:rFonts w:asciiTheme="minorHAnsi" w:eastAsiaTheme="minorEastAsia" w:hAnsiTheme="minorHAnsi" w:cstheme="minorBidi"/>
          <w:sz w:val="22"/>
          <w:szCs w:val="22"/>
          <w:lang w:eastAsia="en-AU"/>
        </w:rPr>
      </w:pPr>
      <w:hyperlink w:anchor="_Toc149149823" w:history="1">
        <w:r w:rsidRPr="002B2F92">
          <w:rPr>
            <w:rStyle w:val="Hyperlink"/>
          </w:rPr>
          <w:t>Information &amp; Communications Technology (ICT) Strategy and Governance</w:t>
        </w:r>
        <w:r>
          <w:rPr>
            <w:webHidden/>
          </w:rPr>
          <w:tab/>
        </w:r>
        <w:r>
          <w:rPr>
            <w:webHidden/>
          </w:rPr>
          <w:fldChar w:fldCharType="begin"/>
        </w:r>
        <w:r>
          <w:rPr>
            <w:webHidden/>
          </w:rPr>
          <w:instrText xml:space="preserve"> PAGEREF _Toc149149823 \h </w:instrText>
        </w:r>
        <w:r>
          <w:rPr>
            <w:webHidden/>
          </w:rPr>
        </w:r>
        <w:r>
          <w:rPr>
            <w:webHidden/>
          </w:rPr>
          <w:fldChar w:fldCharType="separate"/>
        </w:r>
        <w:r>
          <w:rPr>
            <w:webHidden/>
          </w:rPr>
          <w:t>24</w:t>
        </w:r>
        <w:r>
          <w:rPr>
            <w:webHidden/>
          </w:rPr>
          <w:fldChar w:fldCharType="end"/>
        </w:r>
      </w:hyperlink>
    </w:p>
    <w:p w14:paraId="30B8DBD7" w14:textId="044C44F0" w:rsidR="00224CEF" w:rsidRDefault="00224CEF">
      <w:pPr>
        <w:pStyle w:val="TOC1"/>
        <w:rPr>
          <w:rFonts w:asciiTheme="minorHAnsi" w:eastAsiaTheme="minorEastAsia" w:hAnsiTheme="minorHAnsi" w:cstheme="minorBidi"/>
          <w:b w:val="0"/>
          <w:sz w:val="22"/>
          <w:szCs w:val="22"/>
          <w:lang w:eastAsia="en-AU"/>
        </w:rPr>
      </w:pPr>
      <w:hyperlink w:anchor="_Toc149149824" w:history="1">
        <w:r w:rsidRPr="002B2F92">
          <w:rPr>
            <w:rStyle w:val="Hyperlink"/>
          </w:rPr>
          <w:t>Appendix</w:t>
        </w:r>
        <w:r>
          <w:rPr>
            <w:webHidden/>
          </w:rPr>
          <w:tab/>
        </w:r>
        <w:r>
          <w:rPr>
            <w:webHidden/>
          </w:rPr>
          <w:fldChar w:fldCharType="begin"/>
        </w:r>
        <w:r>
          <w:rPr>
            <w:webHidden/>
          </w:rPr>
          <w:instrText xml:space="preserve"> PAGEREF _Toc149149824 \h </w:instrText>
        </w:r>
        <w:r>
          <w:rPr>
            <w:webHidden/>
          </w:rPr>
        </w:r>
        <w:r>
          <w:rPr>
            <w:webHidden/>
          </w:rPr>
          <w:fldChar w:fldCharType="separate"/>
        </w:r>
        <w:r>
          <w:rPr>
            <w:webHidden/>
          </w:rPr>
          <w:t>25</w:t>
        </w:r>
        <w:r>
          <w:rPr>
            <w:webHidden/>
          </w:rPr>
          <w:fldChar w:fldCharType="end"/>
        </w:r>
      </w:hyperlink>
    </w:p>
    <w:p w14:paraId="3ED69D46" w14:textId="51174FE0" w:rsidR="00224CEF" w:rsidRDefault="00224CEF">
      <w:pPr>
        <w:pStyle w:val="TOC2"/>
        <w:rPr>
          <w:rFonts w:asciiTheme="minorHAnsi" w:eastAsiaTheme="minorEastAsia" w:hAnsiTheme="minorHAnsi" w:cstheme="minorBidi"/>
          <w:sz w:val="22"/>
          <w:szCs w:val="22"/>
          <w:lang w:eastAsia="en-AU"/>
        </w:rPr>
      </w:pPr>
      <w:hyperlink w:anchor="_Toc149149825" w:history="1">
        <w:r w:rsidRPr="002B2F92">
          <w:rPr>
            <w:rStyle w:val="Hyperlink"/>
          </w:rPr>
          <w:t>How the Framework was developed</w:t>
        </w:r>
        <w:r>
          <w:rPr>
            <w:webHidden/>
          </w:rPr>
          <w:tab/>
        </w:r>
        <w:r>
          <w:rPr>
            <w:webHidden/>
          </w:rPr>
          <w:fldChar w:fldCharType="begin"/>
        </w:r>
        <w:r>
          <w:rPr>
            <w:webHidden/>
          </w:rPr>
          <w:instrText xml:space="preserve"> PAGEREF _Toc149149825 \h </w:instrText>
        </w:r>
        <w:r>
          <w:rPr>
            <w:webHidden/>
          </w:rPr>
        </w:r>
        <w:r>
          <w:rPr>
            <w:webHidden/>
          </w:rPr>
          <w:fldChar w:fldCharType="separate"/>
        </w:r>
        <w:r>
          <w:rPr>
            <w:webHidden/>
          </w:rPr>
          <w:t>25</w:t>
        </w:r>
        <w:r>
          <w:rPr>
            <w:webHidden/>
          </w:rPr>
          <w:fldChar w:fldCharType="end"/>
        </w:r>
      </w:hyperlink>
    </w:p>
    <w:p w14:paraId="4A5C5BEC" w14:textId="772C568B" w:rsidR="00224CEF" w:rsidRDefault="00224CEF">
      <w:pPr>
        <w:pStyle w:val="TOC2"/>
        <w:rPr>
          <w:rFonts w:asciiTheme="minorHAnsi" w:eastAsiaTheme="minorEastAsia" w:hAnsiTheme="minorHAnsi" w:cstheme="minorBidi"/>
          <w:sz w:val="22"/>
          <w:szCs w:val="22"/>
          <w:lang w:eastAsia="en-AU"/>
        </w:rPr>
      </w:pPr>
      <w:hyperlink w:anchor="_Toc149149826" w:history="1">
        <w:r w:rsidRPr="002B2F92">
          <w:rPr>
            <w:rStyle w:val="Hyperlink"/>
          </w:rPr>
          <w:t>Definitions</w:t>
        </w:r>
        <w:r>
          <w:rPr>
            <w:webHidden/>
          </w:rPr>
          <w:tab/>
        </w:r>
        <w:r>
          <w:rPr>
            <w:webHidden/>
          </w:rPr>
          <w:fldChar w:fldCharType="begin"/>
        </w:r>
        <w:r>
          <w:rPr>
            <w:webHidden/>
          </w:rPr>
          <w:instrText xml:space="preserve"> PAGEREF _Toc149149826 \h </w:instrText>
        </w:r>
        <w:r>
          <w:rPr>
            <w:webHidden/>
          </w:rPr>
        </w:r>
        <w:r>
          <w:rPr>
            <w:webHidden/>
          </w:rPr>
          <w:fldChar w:fldCharType="separate"/>
        </w:r>
        <w:r>
          <w:rPr>
            <w:webHidden/>
          </w:rPr>
          <w:t>26</w:t>
        </w:r>
        <w:r>
          <w:rPr>
            <w:webHidden/>
          </w:rPr>
          <w:fldChar w:fldCharType="end"/>
        </w:r>
      </w:hyperlink>
    </w:p>
    <w:p w14:paraId="52E26F07" w14:textId="543F503D" w:rsidR="00FB1F6E" w:rsidRDefault="00AD784C" w:rsidP="00D079AA">
      <w:pPr>
        <w:pStyle w:val="Body"/>
      </w:pPr>
      <w:r>
        <w:fldChar w:fldCharType="end"/>
      </w:r>
    </w:p>
    <w:p w14:paraId="53CA4CF0" w14:textId="77777777" w:rsidR="00FB1F6E" w:rsidRDefault="00FB1F6E">
      <w:pPr>
        <w:spacing w:after="0" w:line="240" w:lineRule="auto"/>
        <w:rPr>
          <w:rFonts w:eastAsia="Times"/>
        </w:rPr>
      </w:pPr>
      <w:r>
        <w:br w:type="page"/>
      </w:r>
    </w:p>
    <w:p w14:paraId="497C931E" w14:textId="2D07F507" w:rsidR="00EF4547" w:rsidRDefault="001260C2" w:rsidP="007F3542">
      <w:pPr>
        <w:pStyle w:val="Heading1"/>
        <w:spacing w:before="0"/>
      </w:pPr>
      <w:bookmarkStart w:id="1" w:name="_Toc149149800"/>
      <w:bookmarkStart w:id="2" w:name="_Toc66711980"/>
      <w:r>
        <w:lastRenderedPageBreak/>
        <w:t>Acknowledgements</w:t>
      </w:r>
      <w:bookmarkEnd w:id="1"/>
    </w:p>
    <w:p w14:paraId="3C50BCA8" w14:textId="77777777" w:rsidR="001260C2" w:rsidRPr="00F14DCD" w:rsidRDefault="001260C2" w:rsidP="001260C2">
      <w:pPr>
        <w:pStyle w:val="Heading2"/>
      </w:pPr>
      <w:bookmarkStart w:id="3" w:name="_Toc138680606"/>
      <w:bookmarkStart w:id="4" w:name="_Toc138858971"/>
      <w:bookmarkStart w:id="5" w:name="_Toc139882480"/>
      <w:bookmarkStart w:id="6" w:name="_Toc140056183"/>
      <w:bookmarkStart w:id="7" w:name="_Toc140675877"/>
      <w:bookmarkStart w:id="8" w:name="_Toc140676862"/>
      <w:bookmarkStart w:id="9" w:name="_Toc141887024"/>
      <w:bookmarkStart w:id="10" w:name="_Toc141887741"/>
      <w:bookmarkStart w:id="11" w:name="_Toc142405725"/>
      <w:bookmarkStart w:id="12" w:name="_Toc142899477"/>
      <w:bookmarkStart w:id="13" w:name="_Toc146030988"/>
      <w:bookmarkStart w:id="14" w:name="_Toc149149801"/>
      <w:r w:rsidRPr="00F14DCD">
        <w:t>Acknowledgement of Traditional Owners</w:t>
      </w:r>
      <w:bookmarkEnd w:id="3"/>
      <w:bookmarkEnd w:id="4"/>
      <w:bookmarkEnd w:id="5"/>
      <w:bookmarkEnd w:id="6"/>
      <w:bookmarkEnd w:id="7"/>
      <w:bookmarkEnd w:id="8"/>
      <w:bookmarkEnd w:id="9"/>
      <w:bookmarkEnd w:id="10"/>
      <w:bookmarkEnd w:id="11"/>
      <w:bookmarkEnd w:id="12"/>
      <w:bookmarkEnd w:id="13"/>
      <w:bookmarkEnd w:id="14"/>
      <w:r w:rsidRPr="00F14DCD">
        <w:t xml:space="preserve"> </w:t>
      </w:r>
    </w:p>
    <w:p w14:paraId="00624011" w14:textId="77777777" w:rsidR="001260C2" w:rsidRPr="00A01943" w:rsidRDefault="001260C2" w:rsidP="001260C2">
      <w:pPr>
        <w:pStyle w:val="Body"/>
      </w:pPr>
      <w:r w:rsidRPr="00A01943">
        <w:t xml:space="preserve">The Department of Health acknowledges the Traditional Owners of country throughout Victoria and pays respects and recognises the contribution from their Elders past and present. </w:t>
      </w:r>
    </w:p>
    <w:p w14:paraId="54408725" w14:textId="77777777" w:rsidR="001260C2" w:rsidRPr="00A01943" w:rsidRDefault="001260C2" w:rsidP="001260C2">
      <w:pPr>
        <w:pStyle w:val="Body"/>
      </w:pPr>
      <w:r w:rsidRPr="00A01943">
        <w:t xml:space="preserve">We proudly acknowledge the strength and resilience of Aboriginal people as the world’s oldest living culture and the contribution of generations of Aboriginal leaders who have fought tirelessly for the rights of their people and communities. </w:t>
      </w:r>
    </w:p>
    <w:p w14:paraId="4A8D6E69" w14:textId="77777777" w:rsidR="001260C2" w:rsidRPr="00A01943" w:rsidRDefault="001260C2" w:rsidP="001260C2">
      <w:pPr>
        <w:pStyle w:val="Body"/>
      </w:pPr>
      <w:r w:rsidRPr="00A01943">
        <w:t xml:space="preserve">We recognise that we have a long way to go in understanding and addressing the intersections of racism and the ongoing effects of dispossession and colonisation. </w:t>
      </w:r>
    </w:p>
    <w:p w14:paraId="2ED17D73" w14:textId="77777777" w:rsidR="001260C2" w:rsidRPr="00F14DCD" w:rsidRDefault="001260C2" w:rsidP="001260C2">
      <w:pPr>
        <w:pStyle w:val="Heading2"/>
      </w:pPr>
      <w:bookmarkStart w:id="15" w:name="_Toc138680607"/>
      <w:bookmarkStart w:id="16" w:name="_Toc138858972"/>
      <w:bookmarkStart w:id="17" w:name="_Toc139882481"/>
      <w:bookmarkStart w:id="18" w:name="_Toc140056184"/>
      <w:bookmarkStart w:id="19" w:name="_Toc140675878"/>
      <w:bookmarkStart w:id="20" w:name="_Toc140676863"/>
      <w:bookmarkStart w:id="21" w:name="_Toc141887025"/>
      <w:bookmarkStart w:id="22" w:name="_Toc141887742"/>
      <w:bookmarkStart w:id="23" w:name="_Toc142405726"/>
      <w:bookmarkStart w:id="24" w:name="_Toc142899478"/>
      <w:bookmarkStart w:id="25" w:name="_Toc146030989"/>
      <w:bookmarkStart w:id="26" w:name="_Toc149149802"/>
      <w:r w:rsidRPr="00F14DCD">
        <w:t>Aboriginal and Torres Strait Islander recognition statement</w:t>
      </w:r>
      <w:bookmarkEnd w:id="15"/>
      <w:bookmarkEnd w:id="16"/>
      <w:bookmarkEnd w:id="17"/>
      <w:bookmarkEnd w:id="18"/>
      <w:bookmarkEnd w:id="19"/>
      <w:bookmarkEnd w:id="20"/>
      <w:bookmarkEnd w:id="21"/>
      <w:bookmarkEnd w:id="22"/>
      <w:bookmarkEnd w:id="23"/>
      <w:bookmarkEnd w:id="24"/>
      <w:bookmarkEnd w:id="25"/>
      <w:bookmarkEnd w:id="26"/>
      <w:r w:rsidRPr="00F14DCD">
        <w:t xml:space="preserve"> </w:t>
      </w:r>
    </w:p>
    <w:p w14:paraId="35C66D4F" w14:textId="77777777" w:rsidR="001260C2" w:rsidRPr="00A01943" w:rsidRDefault="001260C2" w:rsidP="001260C2">
      <w:pPr>
        <w:pStyle w:val="Body"/>
      </w:pPr>
      <w:r w:rsidRPr="00A01943">
        <w:t>The Department of Health pays respect to and recognises the contribution of all Aboriginal and Torres Strait Islander people</w:t>
      </w:r>
      <w:r>
        <w:t>s</w:t>
      </w:r>
      <w:r w:rsidRPr="00A01943">
        <w:t xml:space="preserve"> living in Victoria. Throughout this document the term ‘Aboriginal’ is used to refer to both Aboriginal and Torres Strait Islander people.</w:t>
      </w:r>
    </w:p>
    <w:p w14:paraId="185C42F3" w14:textId="2E36798C" w:rsidR="001260C2" w:rsidRPr="00A01943" w:rsidRDefault="001260C2" w:rsidP="001260C2">
      <w:pPr>
        <w:pStyle w:val="Body"/>
      </w:pPr>
      <w:r w:rsidRPr="00A01943">
        <w:t>We recognise the diversity of Aboriginal people</w:t>
      </w:r>
      <w:r>
        <w:t>s</w:t>
      </w:r>
      <w:r w:rsidRPr="00A01943">
        <w:t xml:space="preserve"> living throughout Victoria. While the terms ‘Koorie’ or ‘Koori’ are commonly used by Aboriginal people to describe Aboriginal people in southeast Australia, we have used the term ‘Aboriginal’ to include all Aboriginal and Torres Strait Islander</w:t>
      </w:r>
      <w:r>
        <w:t xml:space="preserve"> peoples </w:t>
      </w:r>
      <w:r w:rsidRPr="00A01943">
        <w:t>living in Victoria.</w:t>
      </w:r>
      <w:r w:rsidR="006025F4">
        <w:t xml:space="preserve"> </w:t>
      </w:r>
    </w:p>
    <w:p w14:paraId="26811030" w14:textId="4C2F1F11" w:rsidR="001260C2" w:rsidRPr="00F14DCD" w:rsidRDefault="001260C2" w:rsidP="001260C2">
      <w:pPr>
        <w:pStyle w:val="Heading2"/>
      </w:pPr>
      <w:bookmarkStart w:id="27" w:name="_TOC_250032"/>
      <w:bookmarkStart w:id="28" w:name="_Toc95746017"/>
      <w:bookmarkStart w:id="29" w:name="_Toc95925235"/>
      <w:bookmarkStart w:id="30" w:name="_Toc122522028"/>
      <w:bookmarkStart w:id="31" w:name="_Toc122522198"/>
      <w:bookmarkStart w:id="32" w:name="_Toc138680608"/>
      <w:bookmarkStart w:id="33" w:name="_Toc138858973"/>
      <w:bookmarkStart w:id="34" w:name="_Toc139882482"/>
      <w:bookmarkStart w:id="35" w:name="_Toc140056185"/>
      <w:bookmarkStart w:id="36" w:name="_Toc140675879"/>
      <w:bookmarkStart w:id="37" w:name="_Toc140676864"/>
      <w:bookmarkStart w:id="38" w:name="_Toc141887026"/>
      <w:bookmarkStart w:id="39" w:name="_Toc141887743"/>
      <w:bookmarkStart w:id="40" w:name="_Toc142405727"/>
      <w:bookmarkStart w:id="41" w:name="_Toc142899479"/>
      <w:bookmarkStart w:id="42" w:name="_Toc146030990"/>
      <w:bookmarkStart w:id="43" w:name="_Toc149149803"/>
      <w:r w:rsidRPr="00F14DCD">
        <w:t xml:space="preserve">Treaty and </w:t>
      </w:r>
      <w:r w:rsidR="00224CEF">
        <w:t>T</w:t>
      </w:r>
      <w:r w:rsidRPr="00F14DCD">
        <w:t xml:space="preserve">ruth in </w:t>
      </w:r>
      <w:bookmarkEnd w:id="27"/>
      <w:r w:rsidRPr="00F14DCD">
        <w:t>Victoria</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056C5D9" w14:textId="77777777" w:rsidR="001260C2" w:rsidRPr="00A01943" w:rsidRDefault="001260C2" w:rsidP="001260C2">
      <w:pPr>
        <w:pStyle w:val="Body"/>
      </w:pPr>
      <w:r w:rsidRPr="00A01943">
        <w:t>We acknowledge the impact of colonisation to this day and seek ways to rectify past wrongs, including through truth-telling and the development of treaty.</w:t>
      </w:r>
    </w:p>
    <w:p w14:paraId="5BF0E973" w14:textId="77777777" w:rsidR="001260C2" w:rsidRPr="00A01943" w:rsidRDefault="001260C2" w:rsidP="001260C2">
      <w:pPr>
        <w:pStyle w:val="Body"/>
      </w:pPr>
      <w:r w:rsidRPr="00A01943">
        <w:t xml:space="preserve">We are deeply committed to Aboriginal self-determination and to supporting Victoria’s treaty and truth-telling processes. We acknowledge that treaty will have wide-ranging impacts for the way we work with Aboriginal </w:t>
      </w:r>
      <w:r>
        <w:t>people living in Victoria</w:t>
      </w:r>
      <w:r w:rsidRPr="00A01943">
        <w:t>. We seek to create respectful and collaborative partnerships and develop policies and programs that respect Aboriginal self-determination and align with treaty aspirations.</w:t>
      </w:r>
    </w:p>
    <w:p w14:paraId="4438D5E4" w14:textId="77777777" w:rsidR="001260C2" w:rsidRPr="00A01943" w:rsidRDefault="001260C2" w:rsidP="001260C2">
      <w:pPr>
        <w:pStyle w:val="Body"/>
      </w:pPr>
      <w:r w:rsidRPr="00A01943">
        <w:t>We acknowledge that Victoria’s treaty process will provide a framework for the transfer of decision-making power and resources to support self-determining Aboriginal communities to take control of matters that affect their lives. We commit to working proactively to support this work in line with the aspirations of the First Peoples’ Assembly of Victoria.</w:t>
      </w:r>
    </w:p>
    <w:p w14:paraId="537261FF" w14:textId="77777777" w:rsidR="001260C2" w:rsidRPr="00F14DCD" w:rsidRDefault="001260C2" w:rsidP="001260C2">
      <w:pPr>
        <w:pStyle w:val="Heading2"/>
      </w:pPr>
      <w:bookmarkStart w:id="44" w:name="_Toc138680609"/>
      <w:bookmarkStart w:id="45" w:name="_Toc138858974"/>
      <w:bookmarkStart w:id="46" w:name="_Toc139882483"/>
      <w:bookmarkStart w:id="47" w:name="_Toc140056186"/>
      <w:bookmarkStart w:id="48" w:name="_Toc140675880"/>
      <w:bookmarkStart w:id="49" w:name="_Toc140676865"/>
      <w:bookmarkStart w:id="50" w:name="_Toc141887027"/>
      <w:bookmarkStart w:id="51" w:name="_Toc141887744"/>
      <w:bookmarkStart w:id="52" w:name="_Toc142405728"/>
      <w:bookmarkStart w:id="53" w:name="_Toc142899480"/>
      <w:bookmarkStart w:id="54" w:name="_Toc146030991"/>
      <w:bookmarkStart w:id="55" w:name="_Toc149149804"/>
      <w:r w:rsidRPr="00F14DCD">
        <w:t>Language statement</w:t>
      </w:r>
      <w:bookmarkEnd w:id="44"/>
      <w:bookmarkEnd w:id="45"/>
      <w:bookmarkEnd w:id="46"/>
      <w:bookmarkEnd w:id="47"/>
      <w:bookmarkEnd w:id="48"/>
      <w:bookmarkEnd w:id="49"/>
      <w:bookmarkEnd w:id="50"/>
      <w:bookmarkEnd w:id="51"/>
      <w:bookmarkEnd w:id="52"/>
      <w:bookmarkEnd w:id="53"/>
      <w:bookmarkEnd w:id="54"/>
      <w:bookmarkEnd w:id="55"/>
    </w:p>
    <w:p w14:paraId="66264921" w14:textId="77777777" w:rsidR="001260C2" w:rsidRPr="00A01943" w:rsidRDefault="001260C2" w:rsidP="001260C2">
      <w:pPr>
        <w:pStyle w:val="Body"/>
      </w:pPr>
      <w:r w:rsidRPr="00A01943">
        <w:t xml:space="preserve">Language is a powerful tool for changing community attitudes and promoting inclusion. </w:t>
      </w:r>
    </w:p>
    <w:p w14:paraId="65D05A7E" w14:textId="77777777" w:rsidR="001260C2" w:rsidRPr="00A01943" w:rsidRDefault="001260C2" w:rsidP="001260C2">
      <w:pPr>
        <w:pStyle w:val="Body"/>
      </w:pPr>
      <w:r w:rsidRPr="00A01943">
        <w:t>We know language is always changing, and we recognise that words are powerful and can have different meaning for different people. Language has changed and continues to evolve.</w:t>
      </w:r>
    </w:p>
    <w:p w14:paraId="6E0EA707" w14:textId="6C67ECDE" w:rsidR="001260C2" w:rsidRDefault="001260C2" w:rsidP="00987BFC">
      <w:pPr>
        <w:pStyle w:val="Body"/>
      </w:pPr>
      <w:r w:rsidRPr="00A01943">
        <w:t xml:space="preserve">In this </w:t>
      </w:r>
      <w:r w:rsidR="003761B7">
        <w:t>Framework</w:t>
      </w:r>
      <w:r w:rsidRPr="00A01943">
        <w:t>, the term ‘multicultural communities’ refers to the vast number of diverse cultural, linguistic, ethnic and faith groups in Victoria</w:t>
      </w:r>
      <w:r w:rsidR="000F6D96">
        <w:t xml:space="preserve"> and the term ‘LGBTIQ+ communities’ refer</w:t>
      </w:r>
      <w:r w:rsidR="00E13A80">
        <w:t>s</w:t>
      </w:r>
      <w:r w:rsidR="000F6D96">
        <w:t xml:space="preserve"> to diverse bodies, genders and relationships of </w:t>
      </w:r>
      <w:r w:rsidR="00751F31">
        <w:t xml:space="preserve">people who are </w:t>
      </w:r>
      <w:r w:rsidR="00953930">
        <w:t>lesbian, gay, bisexual, trans and gender diverse, intersex or queer (</w:t>
      </w:r>
      <w:r w:rsidR="000F6D96">
        <w:t>LGBTIQ+</w:t>
      </w:r>
      <w:r w:rsidR="00953930">
        <w:t>)</w:t>
      </w:r>
      <w:r w:rsidR="000F6D96">
        <w:t xml:space="preserve">. </w:t>
      </w:r>
      <w:r w:rsidRPr="00A01943">
        <w:t>We recognise that everyone has different preferences regarding how they describe their identity.</w:t>
      </w:r>
    </w:p>
    <w:p w14:paraId="50B8C406" w14:textId="69F6F60F" w:rsidR="007F3542" w:rsidRPr="00A71CE4" w:rsidRDefault="00A93A31" w:rsidP="007F3542">
      <w:pPr>
        <w:pStyle w:val="Heading1"/>
        <w:spacing w:before="0"/>
      </w:pPr>
      <w:bookmarkStart w:id="56" w:name="_Toc149149805"/>
      <w:r>
        <w:lastRenderedPageBreak/>
        <w:t>Overview</w:t>
      </w:r>
      <w:bookmarkEnd w:id="56"/>
    </w:p>
    <w:p w14:paraId="136D15E3" w14:textId="1874000C" w:rsidR="00FA5886" w:rsidRDefault="00FA5886" w:rsidP="00FA5886">
      <w:pPr>
        <w:pStyle w:val="Body"/>
      </w:pPr>
      <w:r>
        <w:t xml:space="preserve">The Board Director Capability Framework (the </w:t>
      </w:r>
      <w:r w:rsidR="003761B7">
        <w:t>F</w:t>
      </w:r>
      <w:r>
        <w:t xml:space="preserve">ramework) has been developed by the </w:t>
      </w:r>
      <w:r w:rsidR="00687EEA">
        <w:t xml:space="preserve">Department of Health (the </w:t>
      </w:r>
      <w:r>
        <w:t>department</w:t>
      </w:r>
      <w:r w:rsidR="00687EEA">
        <w:t>)</w:t>
      </w:r>
      <w:r>
        <w:t xml:space="preserve"> to </w:t>
      </w:r>
      <w:r w:rsidR="004C4BEF">
        <w:t>enable</w:t>
      </w:r>
      <w:r>
        <w:t xml:space="preserve"> board</w:t>
      </w:r>
      <w:r w:rsidR="004C4BEF">
        <w:t xml:space="preserve"> directors and chairs</w:t>
      </w:r>
      <w:r>
        <w:t xml:space="preserve"> </w:t>
      </w:r>
      <w:r w:rsidR="004C4BEF">
        <w:t>to have a clear expectation of what</w:t>
      </w:r>
      <w:r w:rsidR="002109E4">
        <w:t xml:space="preserve"> i</w:t>
      </w:r>
      <w:r w:rsidR="004C4BEF">
        <w:t xml:space="preserve">s important to </w:t>
      </w:r>
      <w:proofErr w:type="gramStart"/>
      <w:r w:rsidR="004C4BEF">
        <w:t>building</w:t>
      </w:r>
      <w:proofErr w:type="gramEnd"/>
      <w:r w:rsidR="004C4BEF">
        <w:t xml:space="preserve"> an effective board to oversee the Victorian public health services. The Framework also informs </w:t>
      </w:r>
      <w:r w:rsidR="003761B7">
        <w:t xml:space="preserve">persons looking to become board members </w:t>
      </w:r>
      <w:r w:rsidR="004C4BEF">
        <w:t>about the</w:t>
      </w:r>
      <w:r>
        <w:t xml:space="preserve"> </w:t>
      </w:r>
      <w:r w:rsidR="004C4BEF">
        <w:t xml:space="preserve">attributes and range of </w:t>
      </w:r>
      <w:r>
        <w:t>capabilit</w:t>
      </w:r>
      <w:r w:rsidR="004C4BEF">
        <w:t xml:space="preserve">ies needed to serve on a Victorian public health service board. </w:t>
      </w:r>
      <w:r w:rsidR="004C4BEF" w:rsidDel="004C4BEF">
        <w:t xml:space="preserve"> </w:t>
      </w:r>
    </w:p>
    <w:p w14:paraId="2F08F03F" w14:textId="165F664B" w:rsidR="004E6A3D" w:rsidRDefault="007F3542" w:rsidP="007F3542">
      <w:pPr>
        <w:pStyle w:val="Body"/>
      </w:pPr>
      <w:r>
        <w:t xml:space="preserve">Board directors, as leaders of </w:t>
      </w:r>
      <w:r w:rsidR="00FE72F1">
        <w:t xml:space="preserve">public </w:t>
      </w:r>
      <w:r>
        <w:t xml:space="preserve">health services, are an integral part of the Victorian health system. Appointed by the </w:t>
      </w:r>
      <w:r w:rsidR="00E127D0">
        <w:t xml:space="preserve">relevant portfolio </w:t>
      </w:r>
      <w:r>
        <w:t xml:space="preserve">Minister, directors are selected for their </w:t>
      </w:r>
      <w:r w:rsidR="008C0691">
        <w:t xml:space="preserve">attributes and </w:t>
      </w:r>
      <w:r>
        <w:t>capabilities that contribute to good governance</w:t>
      </w:r>
      <w:r w:rsidR="00FF2533">
        <w:t xml:space="preserve"> and support a culture of inclusi</w:t>
      </w:r>
      <w:r w:rsidR="00AD58FA">
        <w:t>veness and integrity</w:t>
      </w:r>
      <w:r>
        <w:t xml:space="preserve">. </w:t>
      </w:r>
      <w:r w:rsidR="004C4BEF">
        <w:t>The department recognises that b</w:t>
      </w:r>
      <w:r>
        <w:t xml:space="preserve">oard directors have developed their capabilities from personal and professional </w:t>
      </w:r>
      <w:r w:rsidR="00D72809">
        <w:t xml:space="preserve">experience and </w:t>
      </w:r>
      <w:r w:rsidR="00D40C22">
        <w:t xml:space="preserve">bring </w:t>
      </w:r>
      <w:r w:rsidR="00D72809">
        <w:t xml:space="preserve">knowledge </w:t>
      </w:r>
      <w:r>
        <w:t xml:space="preserve">which </w:t>
      </w:r>
      <w:r w:rsidR="004C4BEF">
        <w:t xml:space="preserve">will </w:t>
      </w:r>
      <w:r>
        <w:t>continue to</w:t>
      </w:r>
      <w:r w:rsidR="00A743A0">
        <w:t xml:space="preserve"> be</w:t>
      </w:r>
      <w:r>
        <w:t xml:space="preserve"> develop</w:t>
      </w:r>
      <w:r w:rsidR="00A743A0">
        <w:t>ed</w:t>
      </w:r>
      <w:r>
        <w:t xml:space="preserve"> while on a </w:t>
      </w:r>
      <w:r w:rsidR="001655A5">
        <w:t xml:space="preserve">public </w:t>
      </w:r>
      <w:r>
        <w:t xml:space="preserve">health </w:t>
      </w:r>
      <w:r w:rsidR="001655A5">
        <w:t xml:space="preserve">service </w:t>
      </w:r>
      <w:r>
        <w:t xml:space="preserve">board. </w:t>
      </w:r>
    </w:p>
    <w:p w14:paraId="58692EC5" w14:textId="0F78CDB1" w:rsidR="009B28C6" w:rsidRDefault="009B28C6" w:rsidP="009B28C6">
      <w:pPr>
        <w:pStyle w:val="Body"/>
      </w:pPr>
      <w:r w:rsidRPr="00A01943">
        <w:t xml:space="preserve">It is </w:t>
      </w:r>
      <w:r w:rsidR="00B80F16">
        <w:t>ev</w:t>
      </w:r>
      <w:r w:rsidR="009D39E0">
        <w:t>e</w:t>
      </w:r>
      <w:r w:rsidR="00B80F16">
        <w:t>ryone’s</w:t>
      </w:r>
      <w:r w:rsidRPr="00A01943">
        <w:t xml:space="preserve"> responsibility to ensure the </w:t>
      </w:r>
      <w:r>
        <w:t xml:space="preserve">leadership of our </w:t>
      </w:r>
      <w:r w:rsidRPr="00A01943">
        <w:t>health system is culturally competent, inclusive, accessible, and safe</w:t>
      </w:r>
      <w:r>
        <w:t xml:space="preserve">. </w:t>
      </w:r>
      <w:r w:rsidRPr="009E1236">
        <w:t xml:space="preserve">With the release of the </w:t>
      </w:r>
      <w:r w:rsidRPr="00400FC6">
        <w:rPr>
          <w:i/>
          <w:iCs/>
        </w:rPr>
        <w:t>Diversity on Victorian Boards Guidelines</w:t>
      </w:r>
      <w:r w:rsidRPr="009E1236">
        <w:t xml:space="preserve"> in February 2022, the </w:t>
      </w:r>
      <w:r>
        <w:t>F</w:t>
      </w:r>
      <w:r w:rsidRPr="009E1236">
        <w:t>ramework</w:t>
      </w:r>
      <w:r w:rsidRPr="00987BFC">
        <w:t xml:space="preserve"> has been reviewed</w:t>
      </w:r>
      <w:r w:rsidRPr="009E1236">
        <w:t xml:space="preserve"> to </w:t>
      </w:r>
      <w:r w:rsidR="008C05E0">
        <w:t xml:space="preserve">support the </w:t>
      </w:r>
      <w:r w:rsidR="00577600">
        <w:t xml:space="preserve">Victorian Government commitment </w:t>
      </w:r>
      <w:r w:rsidR="002A7CB3" w:rsidRPr="002A7CB3">
        <w:t>that government boards and committees reflect the rich diversity of Victorian communit</w:t>
      </w:r>
      <w:r w:rsidR="0093323C">
        <w:t>ies</w:t>
      </w:r>
      <w:r w:rsidR="00DD5302">
        <w:t xml:space="preserve">, </w:t>
      </w:r>
      <w:r w:rsidR="00716632">
        <w:t>recognising that</w:t>
      </w:r>
      <w:r>
        <w:t xml:space="preserve"> multiple perspectives make more meaningful decisions</w:t>
      </w:r>
      <w:r w:rsidR="009C37E1">
        <w:t xml:space="preserve"> to achieve the best health and wellbeing for everyone</w:t>
      </w:r>
      <w:r w:rsidRPr="009E1236">
        <w:t>.</w:t>
      </w:r>
      <w:r>
        <w:t xml:space="preserve"> </w:t>
      </w:r>
    </w:p>
    <w:p w14:paraId="56342F2E" w14:textId="3A5C7E50" w:rsidR="009B28C6" w:rsidRDefault="009B28C6" w:rsidP="009B28C6">
      <w:pPr>
        <w:pStyle w:val="Body"/>
      </w:pPr>
      <w:r>
        <w:t>While Victorian public health boards are based on capabilities, the boards are more effective when these capabilities also represent the richness of the diverse voices of Victorian communities. The department encourages boards to consider how to strengthen their boardroom safety and</w:t>
      </w:r>
      <w:r w:rsidRPr="005B21BE">
        <w:t xml:space="preserve"> competen</w:t>
      </w:r>
      <w:r>
        <w:t>ce</w:t>
      </w:r>
      <w:r w:rsidRPr="005B21BE">
        <w:t xml:space="preserve"> to respond to people’s diverse</w:t>
      </w:r>
      <w:r>
        <w:t xml:space="preserve"> identities, needs and preferences in terms of Aboriginal,</w:t>
      </w:r>
      <w:r w:rsidRPr="005B21BE">
        <w:t xml:space="preserve"> cultural, ethnic, linguistic, and religious backgrounds, </w:t>
      </w:r>
      <w:r>
        <w:t xml:space="preserve">age, sex and gender identity, sexuality, ability, and other factors to ensure every person has the best possible experience and health and wellbeing outcomes. </w:t>
      </w:r>
    </w:p>
    <w:p w14:paraId="5B450B2C" w14:textId="5D5F535C" w:rsidR="007F3542" w:rsidRDefault="007F3542" w:rsidP="007F3542">
      <w:pPr>
        <w:pStyle w:val="Body"/>
      </w:pPr>
      <w:r>
        <w:t xml:space="preserve">To support and strengthen </w:t>
      </w:r>
      <w:r w:rsidR="00F302CA">
        <w:t xml:space="preserve">public </w:t>
      </w:r>
      <w:r>
        <w:t xml:space="preserve">health </w:t>
      </w:r>
      <w:r w:rsidR="008059EE">
        <w:t xml:space="preserve">service </w:t>
      </w:r>
      <w:r>
        <w:t xml:space="preserve">boards, the department has </w:t>
      </w:r>
      <w:r w:rsidR="00AA53D2">
        <w:t>outlined</w:t>
      </w:r>
      <w:r>
        <w:t xml:space="preserve"> key </w:t>
      </w:r>
      <w:r w:rsidR="004251AD">
        <w:t xml:space="preserve">attributes and </w:t>
      </w:r>
      <w:r>
        <w:t>capabilities</w:t>
      </w:r>
      <w:r w:rsidR="004F22AE">
        <w:t xml:space="preserve">. While </w:t>
      </w:r>
      <w:r>
        <w:t xml:space="preserve">some </w:t>
      </w:r>
      <w:r w:rsidR="004F22AE">
        <w:t xml:space="preserve">capabilities </w:t>
      </w:r>
      <w:r>
        <w:t>are essential</w:t>
      </w:r>
      <w:r w:rsidR="00887541">
        <w:t>,</w:t>
      </w:r>
      <w:r>
        <w:t xml:space="preserve"> </w:t>
      </w:r>
      <w:r w:rsidR="004C256D">
        <w:t xml:space="preserve">all the attributes are necessary </w:t>
      </w:r>
      <w:r>
        <w:t xml:space="preserve">for the effective governance of a </w:t>
      </w:r>
      <w:r w:rsidR="004E6A3D">
        <w:t xml:space="preserve">public </w:t>
      </w:r>
      <w:r>
        <w:t>health service</w:t>
      </w:r>
      <w:r w:rsidR="004C256D">
        <w:t xml:space="preserve">. Some capabilities will depend </w:t>
      </w:r>
      <w:r w:rsidR="00FA5886">
        <w:t xml:space="preserve">upon the strategic outlook of the organisation </w:t>
      </w:r>
      <w:r>
        <w:t xml:space="preserve">and may be prioritised by a board based on its strategic focus. </w:t>
      </w:r>
    </w:p>
    <w:p w14:paraId="7BD5A44D" w14:textId="76548D46" w:rsidR="007F3542" w:rsidRPr="002365B4" w:rsidRDefault="007F3542" w:rsidP="007F3542">
      <w:pPr>
        <w:pStyle w:val="Body"/>
      </w:pPr>
      <w:r>
        <w:t xml:space="preserve">Boards operate in a complex and dynamic environment and there is an ongoing need to continuously improve capability through training and development. This </w:t>
      </w:r>
      <w:r w:rsidR="00E13A80">
        <w:t>F</w:t>
      </w:r>
      <w:r>
        <w:t xml:space="preserve">ramework </w:t>
      </w:r>
      <w:r w:rsidR="00687EEA">
        <w:t xml:space="preserve">can also </w:t>
      </w:r>
      <w:r>
        <w:t xml:space="preserve">help board directors highlight areas to focus on building capability. </w:t>
      </w:r>
      <w:r w:rsidR="00CF6FD7">
        <w:t>Directors and chairs can assess and be evaluated on their individual, as well as the board’s overall, capability across the levels of proficiency</w:t>
      </w:r>
      <w:r w:rsidR="00687EEA">
        <w:t xml:space="preserve"> using this Framework as part of their regular board evaluation</w:t>
      </w:r>
      <w:r w:rsidR="00CF6FD7">
        <w:t>.</w:t>
      </w:r>
      <w:r w:rsidR="00687EEA">
        <w:t xml:space="preserve"> </w:t>
      </w:r>
    </w:p>
    <w:p w14:paraId="2CE8167D" w14:textId="35328156" w:rsidR="00382484" w:rsidRDefault="00382484" w:rsidP="00382484">
      <w:pPr>
        <w:pStyle w:val="Body"/>
      </w:pPr>
      <w:r>
        <w:t xml:space="preserve">The </w:t>
      </w:r>
      <w:r w:rsidR="002179D5">
        <w:t>F</w:t>
      </w:r>
      <w:r>
        <w:t xml:space="preserve">ramework has been developed through consultation and engagement with the health sector, the Boards Ministerial Advisory </w:t>
      </w:r>
      <w:r w:rsidR="00687EEA">
        <w:t>Committee</w:t>
      </w:r>
      <w:r w:rsidR="00141440">
        <w:t xml:space="preserve">, and various programs </w:t>
      </w:r>
      <w:r w:rsidR="00687EEA">
        <w:t>with</w:t>
      </w:r>
      <w:r w:rsidR="00141440">
        <w:t xml:space="preserve">in the </w:t>
      </w:r>
      <w:r w:rsidR="00687EEA">
        <w:t>d</w:t>
      </w:r>
      <w:r w:rsidR="00141440">
        <w:t>epartment</w:t>
      </w:r>
      <w:r>
        <w:t xml:space="preserve">. </w:t>
      </w:r>
    </w:p>
    <w:p w14:paraId="3A7257E5" w14:textId="1B3CBD8A" w:rsidR="00A6332D" w:rsidRPr="00013C79" w:rsidRDefault="00454A7D" w:rsidP="00987BFC">
      <w:pPr>
        <w:pStyle w:val="Heading1"/>
        <w:spacing w:before="0"/>
      </w:pPr>
      <w:r>
        <w:br w:type="page"/>
      </w:r>
      <w:bookmarkStart w:id="57" w:name="_Toc149149806"/>
      <w:r w:rsidR="00224CEF">
        <w:lastRenderedPageBreak/>
        <w:t>A</w:t>
      </w:r>
      <w:r w:rsidR="00622E2B">
        <w:t>ttributes of</w:t>
      </w:r>
      <w:r w:rsidR="00E162AF">
        <w:t xml:space="preserve"> </w:t>
      </w:r>
      <w:r w:rsidR="00224CEF">
        <w:t>P</w:t>
      </w:r>
      <w:r w:rsidR="00E162AF">
        <w:t xml:space="preserve">ublic </w:t>
      </w:r>
      <w:r w:rsidR="00224CEF">
        <w:t>H</w:t>
      </w:r>
      <w:r w:rsidR="00E162AF">
        <w:t xml:space="preserve">ealth </w:t>
      </w:r>
      <w:r w:rsidR="00224CEF">
        <w:t>B</w:t>
      </w:r>
      <w:r w:rsidR="00A6332D" w:rsidRPr="00013C79">
        <w:t>oard</w:t>
      </w:r>
      <w:bookmarkEnd w:id="57"/>
      <w:r w:rsidR="00A6332D" w:rsidRPr="00013C79">
        <w:t xml:space="preserve"> </w:t>
      </w:r>
      <w:r w:rsidR="001C14C5">
        <w:t>D</w:t>
      </w:r>
      <w:r w:rsidR="000464AF">
        <w:t>irectors</w:t>
      </w:r>
    </w:p>
    <w:p w14:paraId="7995EF0F" w14:textId="486C6DE2" w:rsidR="000464AF" w:rsidRDefault="006B14C0" w:rsidP="00C064A6">
      <w:pPr>
        <w:pStyle w:val="DHHSmainsubheading"/>
        <w:spacing w:before="80"/>
      </w:pPr>
      <w:r w:rsidRPr="00987BFC">
        <w:rPr>
          <w:rFonts w:eastAsia="Times"/>
          <w:color w:val="auto"/>
          <w:sz w:val="21"/>
          <w:szCs w:val="21"/>
        </w:rPr>
        <w:t>To ensure the leadership of the Victorian public health system is working together and in a manner that is culturally inclusive, accessible, and safe, e</w:t>
      </w:r>
      <w:r w:rsidR="00A6332D" w:rsidRPr="00987BFC">
        <w:rPr>
          <w:rFonts w:eastAsia="Times"/>
          <w:color w:val="auto"/>
          <w:sz w:val="21"/>
          <w:szCs w:val="21"/>
        </w:rPr>
        <w:t xml:space="preserve">very </w:t>
      </w:r>
      <w:r w:rsidR="0017435B" w:rsidRPr="00987BFC">
        <w:rPr>
          <w:rFonts w:eastAsia="Times"/>
          <w:color w:val="auto"/>
          <w:sz w:val="21"/>
          <w:szCs w:val="21"/>
        </w:rPr>
        <w:t>b</w:t>
      </w:r>
      <w:r w:rsidR="004705C5" w:rsidRPr="00987BFC">
        <w:rPr>
          <w:rFonts w:eastAsia="Times"/>
          <w:color w:val="auto"/>
          <w:sz w:val="21"/>
          <w:szCs w:val="21"/>
        </w:rPr>
        <w:t>oard mem</w:t>
      </w:r>
      <w:r w:rsidR="0064370D" w:rsidRPr="00987BFC">
        <w:rPr>
          <w:rFonts w:eastAsia="Times"/>
          <w:color w:val="auto"/>
          <w:sz w:val="21"/>
          <w:szCs w:val="21"/>
        </w:rPr>
        <w:t>ber</w:t>
      </w:r>
      <w:r w:rsidR="00A6332D" w:rsidRPr="00987BFC">
        <w:rPr>
          <w:rFonts w:eastAsia="Times"/>
          <w:color w:val="auto"/>
          <w:sz w:val="21"/>
          <w:szCs w:val="21"/>
        </w:rPr>
        <w:t xml:space="preserve"> is expected to have the following attributes</w:t>
      </w:r>
      <w:r w:rsidRPr="00987BFC">
        <w:rPr>
          <w:rFonts w:eastAsia="Times"/>
          <w:color w:val="auto"/>
          <w:sz w:val="21"/>
          <w:szCs w:val="21"/>
        </w:rPr>
        <w:t xml:space="preserve">. These </w:t>
      </w:r>
      <w:r w:rsidR="00A329F3" w:rsidRPr="00987BFC">
        <w:rPr>
          <w:rFonts w:eastAsia="Times"/>
          <w:color w:val="auto"/>
          <w:sz w:val="21"/>
          <w:szCs w:val="21"/>
        </w:rPr>
        <w:t xml:space="preserve">attributes </w:t>
      </w:r>
      <w:r w:rsidR="00A6332D" w:rsidRPr="00987BFC">
        <w:rPr>
          <w:rFonts w:eastAsia="Times"/>
          <w:color w:val="auto"/>
          <w:sz w:val="21"/>
          <w:szCs w:val="21"/>
        </w:rPr>
        <w:t xml:space="preserve">strongly align with the values of </w:t>
      </w:r>
      <w:r w:rsidR="00A95A45" w:rsidRPr="00EC43E2">
        <w:rPr>
          <w:rFonts w:eastAsia="Times"/>
          <w:color w:val="0070C0"/>
          <w:sz w:val="21"/>
          <w:szCs w:val="21"/>
          <w:u w:val="single"/>
        </w:rPr>
        <w:t>B</w:t>
      </w:r>
      <w:r w:rsidR="00A6332D" w:rsidRPr="00EC43E2">
        <w:rPr>
          <w:rFonts w:eastAsia="Times"/>
          <w:color w:val="0070C0"/>
          <w:sz w:val="21"/>
          <w:szCs w:val="21"/>
          <w:u w:val="single"/>
        </w:rPr>
        <w:t xml:space="preserve">oard </w:t>
      </w:r>
      <w:r w:rsidR="00A95A45" w:rsidRPr="00EC43E2">
        <w:rPr>
          <w:rFonts w:eastAsia="Times"/>
          <w:color w:val="0070C0"/>
          <w:sz w:val="21"/>
          <w:szCs w:val="21"/>
          <w:u w:val="single"/>
        </w:rPr>
        <w:t>D</w:t>
      </w:r>
      <w:r w:rsidR="00A6332D" w:rsidRPr="00EC43E2">
        <w:rPr>
          <w:rFonts w:eastAsia="Times"/>
          <w:color w:val="0070C0"/>
          <w:sz w:val="21"/>
          <w:szCs w:val="21"/>
          <w:u w:val="single"/>
        </w:rPr>
        <w:t>irector</w:t>
      </w:r>
      <w:r w:rsidR="00754D04" w:rsidRPr="00EC43E2">
        <w:rPr>
          <w:rFonts w:eastAsia="Times"/>
          <w:color w:val="0070C0"/>
          <w:sz w:val="21"/>
          <w:szCs w:val="21"/>
          <w:u w:val="single"/>
        </w:rPr>
        <w:t>’</w:t>
      </w:r>
      <w:r w:rsidR="00A6332D" w:rsidRPr="00EC43E2">
        <w:rPr>
          <w:rFonts w:eastAsia="Times"/>
          <w:color w:val="0070C0"/>
          <w:sz w:val="21"/>
          <w:szCs w:val="21"/>
          <w:u w:val="single"/>
        </w:rPr>
        <w:t xml:space="preserve">s </w:t>
      </w:r>
      <w:r w:rsidR="00A95A45" w:rsidRPr="00EC43E2">
        <w:rPr>
          <w:rFonts w:eastAsia="Times"/>
          <w:color w:val="0070C0"/>
          <w:sz w:val="21"/>
          <w:szCs w:val="21"/>
          <w:u w:val="single"/>
        </w:rPr>
        <w:t>C</w:t>
      </w:r>
      <w:r w:rsidR="00A6332D" w:rsidRPr="00EC43E2">
        <w:rPr>
          <w:rFonts w:eastAsia="Times"/>
          <w:color w:val="0070C0"/>
          <w:sz w:val="21"/>
          <w:szCs w:val="21"/>
          <w:u w:val="single"/>
        </w:rPr>
        <w:t xml:space="preserve">ode of </w:t>
      </w:r>
      <w:r w:rsidR="00A95A45" w:rsidRPr="00EC43E2">
        <w:rPr>
          <w:rFonts w:eastAsia="Times"/>
          <w:color w:val="0070C0"/>
          <w:sz w:val="21"/>
          <w:szCs w:val="21"/>
          <w:u w:val="single"/>
        </w:rPr>
        <w:t>C</w:t>
      </w:r>
      <w:r w:rsidR="00A6332D" w:rsidRPr="00EC43E2">
        <w:rPr>
          <w:rFonts w:eastAsia="Times"/>
          <w:color w:val="0070C0"/>
          <w:sz w:val="21"/>
          <w:szCs w:val="21"/>
          <w:u w:val="single"/>
        </w:rPr>
        <w:t>onduct</w:t>
      </w:r>
      <w:r w:rsidR="00715EEF" w:rsidRPr="00987BFC">
        <w:rPr>
          <w:rFonts w:eastAsia="Times"/>
          <w:color w:val="auto"/>
          <w:sz w:val="21"/>
          <w:szCs w:val="21"/>
        </w:rPr>
        <w:t xml:space="preserve"> </w:t>
      </w:r>
      <w:r w:rsidR="005311AC">
        <w:rPr>
          <w:rFonts w:eastAsia="Times"/>
          <w:color w:val="auto"/>
          <w:sz w:val="21"/>
          <w:szCs w:val="21"/>
        </w:rPr>
        <w:t>&lt;</w:t>
      </w:r>
      <w:r w:rsidR="005311AC" w:rsidRPr="005311AC">
        <w:rPr>
          <w:rFonts w:eastAsia="Times"/>
          <w:color w:val="auto"/>
          <w:sz w:val="21"/>
          <w:szCs w:val="21"/>
        </w:rPr>
        <w:t>https://www.boards.vic.gov.au/code-conduct-directors-victorian-public-entities</w:t>
      </w:r>
      <w:r w:rsidR="005311AC">
        <w:rPr>
          <w:rFonts w:eastAsia="Times"/>
          <w:color w:val="auto"/>
          <w:sz w:val="21"/>
          <w:szCs w:val="21"/>
        </w:rPr>
        <w:t xml:space="preserve">&gt; </w:t>
      </w:r>
      <w:r w:rsidR="00715EEF" w:rsidRPr="00987BFC">
        <w:rPr>
          <w:rFonts w:eastAsia="Times"/>
          <w:color w:val="auto"/>
          <w:sz w:val="21"/>
          <w:szCs w:val="21"/>
        </w:rPr>
        <w:t xml:space="preserve">and are essential </w:t>
      </w:r>
      <w:r w:rsidR="002C4727" w:rsidRPr="00987BFC">
        <w:rPr>
          <w:rFonts w:eastAsia="Times"/>
          <w:color w:val="auto"/>
          <w:sz w:val="21"/>
          <w:szCs w:val="21"/>
        </w:rPr>
        <w:t xml:space="preserve">for the board to undertake its duties with the full confidence of the Minister, </w:t>
      </w:r>
      <w:r w:rsidR="00CB504B" w:rsidRPr="00987BFC">
        <w:rPr>
          <w:rFonts w:eastAsia="Times"/>
          <w:color w:val="auto"/>
          <w:sz w:val="21"/>
          <w:szCs w:val="21"/>
        </w:rPr>
        <w:t xml:space="preserve">the </w:t>
      </w:r>
      <w:r w:rsidR="009A7E0C">
        <w:rPr>
          <w:rFonts w:eastAsia="Times"/>
          <w:color w:val="auto"/>
          <w:sz w:val="21"/>
          <w:szCs w:val="21"/>
        </w:rPr>
        <w:t>d</w:t>
      </w:r>
      <w:r w:rsidR="00CB504B" w:rsidRPr="00987BFC">
        <w:rPr>
          <w:rFonts w:eastAsia="Times"/>
          <w:color w:val="auto"/>
          <w:sz w:val="21"/>
          <w:szCs w:val="21"/>
        </w:rPr>
        <w:t>epartment and Victorian communities</w:t>
      </w:r>
      <w:r w:rsidR="00A6332D" w:rsidRPr="00987BFC">
        <w:rPr>
          <w:rFonts w:eastAsia="Times"/>
          <w:color w:val="auto"/>
          <w:sz w:val="21"/>
          <w:szCs w:val="21"/>
        </w:rPr>
        <w:t>.</w:t>
      </w:r>
      <w:r w:rsidR="00BC32A6">
        <w:rPr>
          <w:rFonts w:eastAsia="Times"/>
          <w:color w:val="auto"/>
          <w:sz w:val="21"/>
          <w:szCs w:val="21"/>
        </w:rPr>
        <w:t xml:space="preserve"> </w:t>
      </w:r>
    </w:p>
    <w:p w14:paraId="7C932BAC" w14:textId="02C04FE5" w:rsidR="00767DD8" w:rsidRDefault="00767DD8" w:rsidP="00EB7D68">
      <w:pPr>
        <w:pStyle w:val="DHHSmainsubheading"/>
        <w:spacing w:before="80"/>
      </w:pPr>
    </w:p>
    <w:tbl>
      <w:tblPr>
        <w:tblStyle w:val="TableGrid"/>
        <w:tblW w:w="9288" w:type="dxa"/>
        <w:tblLook w:val="04A0" w:firstRow="1" w:lastRow="0" w:firstColumn="1" w:lastColumn="0" w:noHBand="0" w:noVBand="1"/>
      </w:tblPr>
      <w:tblGrid>
        <w:gridCol w:w="2122"/>
        <w:gridCol w:w="7166"/>
      </w:tblGrid>
      <w:tr w:rsidR="002E4994" w:rsidRPr="00EA6D19" w14:paraId="0273B775" w14:textId="77777777" w:rsidTr="00767DD8">
        <w:tc>
          <w:tcPr>
            <w:tcW w:w="2122" w:type="dxa"/>
            <w:tcBorders>
              <w:top w:val="nil"/>
              <w:left w:val="nil"/>
              <w:bottom w:val="nil"/>
              <w:right w:val="nil"/>
            </w:tcBorders>
            <w:shd w:val="clear" w:color="auto" w:fill="0F243E" w:themeFill="text2" w:themeFillShade="80"/>
          </w:tcPr>
          <w:p w14:paraId="75FAC47C" w14:textId="26C5C109" w:rsidR="002E4994" w:rsidRDefault="000464AF" w:rsidP="009872B8">
            <w:pPr>
              <w:pStyle w:val="Body"/>
              <w:rPr>
                <w:b/>
                <w:bCs/>
              </w:rPr>
            </w:pPr>
            <w:r>
              <w:rPr>
                <w:b/>
                <w:bCs/>
              </w:rPr>
              <w:t>Attribute</w:t>
            </w:r>
          </w:p>
        </w:tc>
        <w:tc>
          <w:tcPr>
            <w:tcW w:w="7166" w:type="dxa"/>
            <w:tcBorders>
              <w:top w:val="nil"/>
              <w:left w:val="nil"/>
              <w:bottom w:val="nil"/>
              <w:right w:val="nil"/>
            </w:tcBorders>
            <w:shd w:val="clear" w:color="auto" w:fill="0F243E" w:themeFill="text2" w:themeFillShade="80"/>
          </w:tcPr>
          <w:p w14:paraId="79CFB25A" w14:textId="0B8B3CA2" w:rsidR="002E4994" w:rsidRDefault="00095EB2" w:rsidP="009872B8">
            <w:pPr>
              <w:pStyle w:val="Body"/>
              <w:rPr>
                <w:b/>
                <w:bCs/>
              </w:rPr>
            </w:pPr>
            <w:r>
              <w:rPr>
                <w:b/>
                <w:bCs/>
              </w:rPr>
              <w:t>De</w:t>
            </w:r>
            <w:r w:rsidR="007F0C18">
              <w:rPr>
                <w:b/>
                <w:bCs/>
              </w:rPr>
              <w:t>scription</w:t>
            </w:r>
          </w:p>
        </w:tc>
      </w:tr>
      <w:tr w:rsidR="00BC32A6" w:rsidRPr="00EA6D19" w14:paraId="5F434D22" w14:textId="77777777" w:rsidTr="002E4994">
        <w:tc>
          <w:tcPr>
            <w:tcW w:w="2122" w:type="dxa"/>
            <w:tcBorders>
              <w:top w:val="nil"/>
            </w:tcBorders>
          </w:tcPr>
          <w:p w14:paraId="411E2623" w14:textId="77777777" w:rsidR="00BC32A6" w:rsidRPr="00EA6D19" w:rsidRDefault="00BC32A6" w:rsidP="009872B8">
            <w:pPr>
              <w:pStyle w:val="Body"/>
              <w:rPr>
                <w:b/>
                <w:bCs/>
              </w:rPr>
            </w:pPr>
            <w:r w:rsidRPr="00987BFC">
              <w:rPr>
                <w:b/>
                <w:bCs/>
                <w:color w:val="17365D" w:themeColor="text2" w:themeShade="BF"/>
              </w:rPr>
              <w:t>Accountable</w:t>
            </w:r>
          </w:p>
        </w:tc>
        <w:tc>
          <w:tcPr>
            <w:tcW w:w="7166" w:type="dxa"/>
            <w:tcBorders>
              <w:top w:val="nil"/>
            </w:tcBorders>
          </w:tcPr>
          <w:p w14:paraId="1C56BC71" w14:textId="78B8B76F" w:rsidR="00BC32A6" w:rsidRDefault="00724681" w:rsidP="009872B8">
            <w:pPr>
              <w:pStyle w:val="Body"/>
            </w:pPr>
            <w:r>
              <w:t xml:space="preserve">Board directors are expected to take </w:t>
            </w:r>
            <w:r w:rsidR="00B23E3D">
              <w:t xml:space="preserve">responsibility for their decisions and actions, individually and as </w:t>
            </w:r>
            <w:r w:rsidR="00B2616F">
              <w:t>a</w:t>
            </w:r>
            <w:r w:rsidR="00B23E3D">
              <w:t xml:space="preserve"> collective board</w:t>
            </w:r>
            <w:r w:rsidR="00BC32A6" w:rsidRPr="00EA6D19">
              <w:t xml:space="preserve">. </w:t>
            </w:r>
          </w:p>
          <w:p w14:paraId="3CA9F5B1" w14:textId="53BD4281" w:rsidR="00E20B7A" w:rsidRPr="00EA6D19" w:rsidRDefault="00724681" w:rsidP="009872B8">
            <w:pPr>
              <w:pStyle w:val="Body"/>
            </w:pPr>
            <w:r>
              <w:t>They are expected to e</w:t>
            </w:r>
            <w:r w:rsidR="00E20B7A">
              <w:t>nab</w:t>
            </w:r>
            <w:r>
              <w:t>le</w:t>
            </w:r>
            <w:r w:rsidR="00E20B7A">
              <w:t xml:space="preserve"> appropriate </w:t>
            </w:r>
            <w:r w:rsidR="005E0876">
              <w:t>scrutiny</w:t>
            </w:r>
            <w:r w:rsidR="00E20B7A">
              <w:t xml:space="preserve"> of themselves and the organisation</w:t>
            </w:r>
            <w:r w:rsidR="00967CCB">
              <w:t xml:space="preserve"> to </w:t>
            </w:r>
            <w:r w:rsidR="00C85587">
              <w:t xml:space="preserve">enable </w:t>
            </w:r>
            <w:r w:rsidR="00264D8D">
              <w:t>sustainable</w:t>
            </w:r>
            <w:r w:rsidR="00B964CD">
              <w:t xml:space="preserve"> </w:t>
            </w:r>
            <w:r w:rsidR="00ED0C76">
              <w:t xml:space="preserve">delivery of </w:t>
            </w:r>
            <w:r w:rsidR="00B964CD">
              <w:t>public value</w:t>
            </w:r>
            <w:r w:rsidR="00E20B7A">
              <w:t xml:space="preserve">. </w:t>
            </w:r>
          </w:p>
        </w:tc>
      </w:tr>
      <w:tr w:rsidR="00BC32A6" w:rsidRPr="00EA6D19" w14:paraId="0910CE5A" w14:textId="77777777" w:rsidTr="002E4994">
        <w:tc>
          <w:tcPr>
            <w:tcW w:w="2122" w:type="dxa"/>
          </w:tcPr>
          <w:p w14:paraId="0DBEB59D" w14:textId="53EB8429" w:rsidR="00BC32A6" w:rsidRPr="00987BFC" w:rsidRDefault="00BC32A6" w:rsidP="009872B8">
            <w:pPr>
              <w:pStyle w:val="Body"/>
              <w:rPr>
                <w:b/>
                <w:bCs/>
                <w:color w:val="17365D" w:themeColor="text2" w:themeShade="BF"/>
              </w:rPr>
            </w:pPr>
            <w:r w:rsidRPr="00987BFC">
              <w:rPr>
                <w:b/>
                <w:bCs/>
                <w:color w:val="17365D" w:themeColor="text2" w:themeShade="BF"/>
              </w:rPr>
              <w:t>Collaborative</w:t>
            </w:r>
          </w:p>
        </w:tc>
        <w:tc>
          <w:tcPr>
            <w:tcW w:w="7166" w:type="dxa"/>
          </w:tcPr>
          <w:p w14:paraId="5BFA422F" w14:textId="7DCD0004" w:rsidR="00B23E3D" w:rsidRDefault="00BC32A6" w:rsidP="009872B8">
            <w:pPr>
              <w:pStyle w:val="Body"/>
            </w:pPr>
            <w:r w:rsidRPr="00EA6D19">
              <w:t xml:space="preserve">Board directors </w:t>
            </w:r>
            <w:r w:rsidR="00724681">
              <w:t>are expected to</w:t>
            </w:r>
            <w:r w:rsidRPr="00EA6D19">
              <w:t xml:space="preserve"> take collective ownership for shared </w:t>
            </w:r>
            <w:r w:rsidR="00754D04">
              <w:t xml:space="preserve">health </w:t>
            </w:r>
            <w:r w:rsidRPr="00EA6D19">
              <w:t>outcomes in an integrated health system.</w:t>
            </w:r>
            <w:r w:rsidR="00724681">
              <w:t xml:space="preserve"> </w:t>
            </w:r>
          </w:p>
          <w:p w14:paraId="645E19CE" w14:textId="7356B5AD" w:rsidR="00BC32A6" w:rsidRPr="00EA6D19" w:rsidRDefault="00BC32A6" w:rsidP="009872B8">
            <w:pPr>
              <w:pStyle w:val="Body"/>
              <w:rPr>
                <w:b/>
                <w:bCs/>
              </w:rPr>
            </w:pPr>
            <w:r w:rsidRPr="00EA6D19">
              <w:t>Being collaborative also involves being open to working flexibly with other boards and health services through partnerships.</w:t>
            </w:r>
          </w:p>
        </w:tc>
      </w:tr>
      <w:tr w:rsidR="00BC32A6" w:rsidRPr="00EA6D19" w14:paraId="116B7BBA" w14:textId="77777777" w:rsidTr="002E4994">
        <w:tc>
          <w:tcPr>
            <w:tcW w:w="2122" w:type="dxa"/>
          </w:tcPr>
          <w:p w14:paraId="5A800158" w14:textId="046A5CCD" w:rsidR="00BC32A6" w:rsidRPr="00987BFC" w:rsidRDefault="00BC32A6" w:rsidP="009872B8">
            <w:pPr>
              <w:pStyle w:val="Body"/>
              <w:rPr>
                <w:b/>
                <w:bCs/>
                <w:color w:val="17365D" w:themeColor="text2" w:themeShade="BF"/>
              </w:rPr>
            </w:pPr>
            <w:r w:rsidRPr="00987BFC">
              <w:rPr>
                <w:b/>
                <w:bCs/>
                <w:color w:val="17365D" w:themeColor="text2" w:themeShade="BF"/>
              </w:rPr>
              <w:t>Commitment</w:t>
            </w:r>
          </w:p>
        </w:tc>
        <w:tc>
          <w:tcPr>
            <w:tcW w:w="7166" w:type="dxa"/>
          </w:tcPr>
          <w:p w14:paraId="6FAE0334" w14:textId="7D8506AD" w:rsidR="00B23E3D" w:rsidRDefault="00BC32A6" w:rsidP="009872B8">
            <w:pPr>
              <w:pStyle w:val="Body"/>
            </w:pPr>
            <w:r w:rsidRPr="00EA6D19">
              <w:t xml:space="preserve">Board directors need to be able to commit </w:t>
            </w:r>
            <w:r w:rsidR="00B23E3D">
              <w:t>enough</w:t>
            </w:r>
            <w:r w:rsidRPr="00EA6D19">
              <w:t xml:space="preserve"> time to </w:t>
            </w:r>
            <w:r w:rsidR="00B23E3D" w:rsidRPr="00EA6D19">
              <w:t>review agenda items, meeting papers</w:t>
            </w:r>
            <w:r w:rsidR="00B2616F">
              <w:t>,</w:t>
            </w:r>
            <w:r w:rsidR="00B23E3D" w:rsidRPr="00EA6D19">
              <w:t xml:space="preserve"> and minutes</w:t>
            </w:r>
            <w:r w:rsidR="00B23E3D">
              <w:t xml:space="preserve"> </w:t>
            </w:r>
            <w:r w:rsidR="00754D04">
              <w:t>in preparation for participating</w:t>
            </w:r>
            <w:r w:rsidRPr="00EA6D19">
              <w:t xml:space="preserve"> </w:t>
            </w:r>
            <w:r w:rsidR="00754D04">
              <w:t xml:space="preserve">in </w:t>
            </w:r>
            <w:r w:rsidRPr="00EA6D19">
              <w:t>board meetings</w:t>
            </w:r>
            <w:r w:rsidR="00B23E3D">
              <w:t xml:space="preserve"> and </w:t>
            </w:r>
            <w:r w:rsidRPr="00EA6D19">
              <w:t>committee meetings</w:t>
            </w:r>
            <w:r w:rsidR="00724681">
              <w:t xml:space="preserve">. </w:t>
            </w:r>
          </w:p>
          <w:p w14:paraId="64C9165B" w14:textId="7AE993D7" w:rsidR="00BC32A6" w:rsidRPr="00EA6D19" w:rsidRDefault="00B23E3D" w:rsidP="009872B8">
            <w:pPr>
              <w:pStyle w:val="Body"/>
            </w:pPr>
            <w:r>
              <w:t>I</w:t>
            </w:r>
            <w:r w:rsidR="00BC32A6" w:rsidRPr="00EA6D19">
              <w:t xml:space="preserve">t is important for board directors to attend </w:t>
            </w:r>
            <w:r>
              <w:t xml:space="preserve">some meetings and </w:t>
            </w:r>
            <w:r w:rsidR="00BC32A6" w:rsidRPr="00EA6D19">
              <w:t xml:space="preserve">events at the health service. </w:t>
            </w:r>
          </w:p>
        </w:tc>
      </w:tr>
      <w:tr w:rsidR="00BC32A6" w:rsidRPr="00EA6D19" w14:paraId="1E8F2A68" w14:textId="77777777" w:rsidTr="002E4994">
        <w:tc>
          <w:tcPr>
            <w:tcW w:w="2122" w:type="dxa"/>
          </w:tcPr>
          <w:p w14:paraId="47EC6E6E" w14:textId="1616AC8C" w:rsidR="00BC32A6" w:rsidRPr="00987BFC" w:rsidRDefault="00BC32A6" w:rsidP="009872B8">
            <w:pPr>
              <w:pStyle w:val="Body"/>
              <w:rPr>
                <w:b/>
                <w:bCs/>
                <w:color w:val="17365D" w:themeColor="text2" w:themeShade="BF"/>
              </w:rPr>
            </w:pPr>
            <w:r w:rsidRPr="00987BFC">
              <w:rPr>
                <w:b/>
                <w:bCs/>
                <w:color w:val="17365D" w:themeColor="text2" w:themeShade="BF"/>
              </w:rPr>
              <w:t>Curiosity</w:t>
            </w:r>
          </w:p>
        </w:tc>
        <w:tc>
          <w:tcPr>
            <w:tcW w:w="7166" w:type="dxa"/>
          </w:tcPr>
          <w:p w14:paraId="462F867B" w14:textId="59C9C786" w:rsidR="00141440" w:rsidRDefault="00BC32A6" w:rsidP="009872B8">
            <w:pPr>
              <w:pStyle w:val="Body"/>
            </w:pPr>
            <w:r w:rsidRPr="00EA6D19">
              <w:t xml:space="preserve">Board directors should have a strong desire to want to learn and ask questions. Being on a board involves digesting a lot of information. </w:t>
            </w:r>
          </w:p>
          <w:p w14:paraId="76D683E7" w14:textId="74130220" w:rsidR="00BC32A6" w:rsidRPr="00EA6D19" w:rsidRDefault="00141440" w:rsidP="009872B8">
            <w:pPr>
              <w:pStyle w:val="Body"/>
            </w:pPr>
            <w:r w:rsidRPr="00EA6D19">
              <w:t>They need to be assertive and, when appropriate, be able to challenge board directors and the executive management team in the organisation</w:t>
            </w:r>
            <w:r w:rsidR="00070C3E">
              <w:t>,</w:t>
            </w:r>
            <w:r w:rsidRPr="00EA6D19">
              <w:t xml:space="preserve"> </w:t>
            </w:r>
            <w:r w:rsidR="009F73CE">
              <w:t xml:space="preserve">while </w:t>
            </w:r>
            <w:r w:rsidR="00070C3E">
              <w:t>a</w:t>
            </w:r>
            <w:r w:rsidRPr="00EA6D19">
              <w:t xml:space="preserve">lways </w:t>
            </w:r>
            <w:r w:rsidR="009F73CE">
              <w:t xml:space="preserve">maintaining a </w:t>
            </w:r>
            <w:r w:rsidRPr="00EA6D19">
              <w:t>respectful manner.</w:t>
            </w:r>
            <w:r w:rsidR="00724681">
              <w:t xml:space="preserve"> </w:t>
            </w:r>
          </w:p>
        </w:tc>
      </w:tr>
      <w:tr w:rsidR="00BC32A6" w:rsidRPr="00EA6D19" w14:paraId="1614B298" w14:textId="77777777" w:rsidTr="002E4994">
        <w:tc>
          <w:tcPr>
            <w:tcW w:w="2122" w:type="dxa"/>
          </w:tcPr>
          <w:p w14:paraId="5FCD5DB1" w14:textId="51F64C6D" w:rsidR="00BC32A6" w:rsidRPr="00987BFC" w:rsidRDefault="00BC32A6" w:rsidP="009872B8">
            <w:pPr>
              <w:pStyle w:val="Body"/>
              <w:rPr>
                <w:b/>
                <w:bCs/>
                <w:color w:val="17365D" w:themeColor="text2" w:themeShade="BF"/>
              </w:rPr>
            </w:pPr>
            <w:r w:rsidRPr="00987BFC">
              <w:rPr>
                <w:b/>
                <w:bCs/>
                <w:color w:val="17365D" w:themeColor="text2" w:themeShade="BF"/>
              </w:rPr>
              <w:t>Integrity</w:t>
            </w:r>
          </w:p>
        </w:tc>
        <w:tc>
          <w:tcPr>
            <w:tcW w:w="7166" w:type="dxa"/>
          </w:tcPr>
          <w:p w14:paraId="76CD7957" w14:textId="39765B66" w:rsidR="00E20B7A" w:rsidRDefault="00BC32A6" w:rsidP="009872B8">
            <w:pPr>
              <w:pStyle w:val="Body"/>
            </w:pPr>
            <w:r w:rsidRPr="00EA6D19">
              <w:t xml:space="preserve">Board directors must put the interests of the organisation above their own </w:t>
            </w:r>
            <w:r w:rsidR="00E20B7A">
              <w:t>personal or private interest.</w:t>
            </w:r>
            <w:r w:rsidR="00AA6C8D">
              <w:t xml:space="preserve"> </w:t>
            </w:r>
          </w:p>
          <w:p w14:paraId="459A51C7" w14:textId="03230BCD" w:rsidR="00E20B7A" w:rsidRDefault="00BC32A6" w:rsidP="009872B8">
            <w:pPr>
              <w:pStyle w:val="Body"/>
            </w:pPr>
            <w:r w:rsidRPr="00EA6D19">
              <w:t>They are expected to act with independence</w:t>
            </w:r>
            <w:r w:rsidR="00E20B7A">
              <w:t>, providing advice and making decisions without bias or favours.</w:t>
            </w:r>
            <w:r w:rsidRPr="00EA6D19">
              <w:t xml:space="preserve"> </w:t>
            </w:r>
          </w:p>
          <w:p w14:paraId="38725ADD" w14:textId="77957146" w:rsidR="00E20B7A" w:rsidRPr="00EA6D19" w:rsidRDefault="00724681" w:rsidP="00E20B7A">
            <w:pPr>
              <w:pStyle w:val="Body"/>
            </w:pPr>
            <w:r>
              <w:t>They are expected to a</w:t>
            </w:r>
            <w:r w:rsidR="00E20B7A">
              <w:t xml:space="preserve">ct with honesty, be open </w:t>
            </w:r>
            <w:r w:rsidR="00BC32A6" w:rsidRPr="00EA6D19">
              <w:t>and transparen</w:t>
            </w:r>
            <w:r w:rsidR="00E20B7A">
              <w:t>t</w:t>
            </w:r>
            <w:r w:rsidR="00BC32A6" w:rsidRPr="00EA6D19">
              <w:t xml:space="preserve"> while maintaining confidentiality and privacy. </w:t>
            </w:r>
          </w:p>
        </w:tc>
      </w:tr>
      <w:tr w:rsidR="00B23E3D" w:rsidRPr="00EA6D19" w14:paraId="40110385" w14:textId="77777777" w:rsidTr="002E4994">
        <w:tc>
          <w:tcPr>
            <w:tcW w:w="2122" w:type="dxa"/>
          </w:tcPr>
          <w:p w14:paraId="49C46CAE" w14:textId="3500E812" w:rsidR="00B23E3D" w:rsidRPr="00B23E3D" w:rsidRDefault="00B23E3D" w:rsidP="009872B8">
            <w:pPr>
              <w:pStyle w:val="Body"/>
              <w:rPr>
                <w:b/>
                <w:bCs/>
                <w:color w:val="17365D" w:themeColor="text2" w:themeShade="BF"/>
              </w:rPr>
            </w:pPr>
            <w:r>
              <w:rPr>
                <w:b/>
                <w:bCs/>
                <w:color w:val="17365D" w:themeColor="text2" w:themeShade="BF"/>
              </w:rPr>
              <w:t>Respectful</w:t>
            </w:r>
          </w:p>
        </w:tc>
        <w:tc>
          <w:tcPr>
            <w:tcW w:w="7166" w:type="dxa"/>
          </w:tcPr>
          <w:p w14:paraId="32C78616" w14:textId="25F45207" w:rsidR="00B23E3D" w:rsidRDefault="00724681" w:rsidP="009872B8">
            <w:pPr>
              <w:pStyle w:val="Body"/>
            </w:pPr>
            <w:r>
              <w:t>Board directors are expected to l</w:t>
            </w:r>
            <w:r w:rsidR="00754D04" w:rsidRPr="00EA6D19">
              <w:t>isten</w:t>
            </w:r>
            <w:r>
              <w:t xml:space="preserve"> to diverse voices</w:t>
            </w:r>
            <w:r w:rsidR="00E20B7A">
              <w:t xml:space="preserve">, </w:t>
            </w:r>
            <w:r w:rsidR="00754D04" w:rsidRPr="00EA6D19">
              <w:t>contribu</w:t>
            </w:r>
            <w:r>
              <w:t>te</w:t>
            </w:r>
            <w:r w:rsidR="00754D04" w:rsidRPr="00EA6D19">
              <w:t xml:space="preserve"> meaningfully </w:t>
            </w:r>
            <w:r>
              <w:t>to discussions</w:t>
            </w:r>
            <w:r w:rsidR="0064085A">
              <w:t>,</w:t>
            </w:r>
            <w:r>
              <w:t xml:space="preserve"> </w:t>
            </w:r>
            <w:r w:rsidR="00754D04" w:rsidRPr="00EA6D19">
              <w:t xml:space="preserve">and </w:t>
            </w:r>
            <w:r w:rsidR="00E20B7A">
              <w:t>treat all views fairly.</w:t>
            </w:r>
            <w:r>
              <w:t xml:space="preserve"> </w:t>
            </w:r>
          </w:p>
          <w:p w14:paraId="0F8A19EB" w14:textId="1890026F" w:rsidR="00724681" w:rsidRPr="00EA6D19" w:rsidRDefault="00724681" w:rsidP="009872B8">
            <w:pPr>
              <w:pStyle w:val="Body"/>
            </w:pPr>
            <w:r>
              <w:t>They are r</w:t>
            </w:r>
            <w:r w:rsidR="00E20B7A">
              <w:t>esponsible for ens</w:t>
            </w:r>
            <w:r>
              <w:t>uring colleagues</w:t>
            </w:r>
            <w:r w:rsidR="008A248F">
              <w:t>, staff, patients</w:t>
            </w:r>
            <w:r>
              <w:t xml:space="preserve"> and the</w:t>
            </w:r>
            <w:r w:rsidR="000F7EF1">
              <w:t>ir family and friends</w:t>
            </w:r>
            <w:r>
              <w:t xml:space="preserve"> </w:t>
            </w:r>
            <w:r w:rsidR="000F7EF1">
              <w:t xml:space="preserve">feel </w:t>
            </w:r>
            <w:r>
              <w:t xml:space="preserve">safe and do not experience discrimination, </w:t>
            </w:r>
            <w:r w:rsidR="00FE03CD">
              <w:t xml:space="preserve">racism, </w:t>
            </w:r>
            <w:r>
              <w:t>harassment</w:t>
            </w:r>
            <w:r w:rsidR="0064085A">
              <w:t>,</w:t>
            </w:r>
            <w:r>
              <w:t xml:space="preserve"> or bullying. </w:t>
            </w:r>
          </w:p>
        </w:tc>
      </w:tr>
      <w:tr w:rsidR="00B23E3D" w:rsidRPr="00EA6D19" w14:paraId="783C7333" w14:textId="77777777" w:rsidTr="002E4994">
        <w:tc>
          <w:tcPr>
            <w:tcW w:w="2122" w:type="dxa"/>
          </w:tcPr>
          <w:p w14:paraId="6E6CF440" w14:textId="15B0A8FD" w:rsidR="00B23E3D" w:rsidRPr="00B23E3D" w:rsidRDefault="00B23E3D" w:rsidP="009872B8">
            <w:pPr>
              <w:pStyle w:val="Body"/>
              <w:rPr>
                <w:b/>
                <w:bCs/>
                <w:color w:val="17365D" w:themeColor="text2" w:themeShade="BF"/>
              </w:rPr>
            </w:pPr>
            <w:r>
              <w:rPr>
                <w:b/>
                <w:bCs/>
                <w:color w:val="17365D" w:themeColor="text2" w:themeShade="BF"/>
              </w:rPr>
              <w:t>Responsive</w:t>
            </w:r>
          </w:p>
        </w:tc>
        <w:tc>
          <w:tcPr>
            <w:tcW w:w="7166" w:type="dxa"/>
          </w:tcPr>
          <w:p w14:paraId="108F5FA4" w14:textId="294928EE" w:rsidR="00724681" w:rsidRDefault="00724681" w:rsidP="00724681">
            <w:pPr>
              <w:pStyle w:val="Body"/>
            </w:pPr>
            <w:r>
              <w:t>Board directors are expected to provide high quality services</w:t>
            </w:r>
            <w:r w:rsidRPr="00EA6D19">
              <w:t xml:space="preserve"> and deliver value to consumers and the broader community</w:t>
            </w:r>
            <w:r>
              <w:t xml:space="preserve">. </w:t>
            </w:r>
          </w:p>
          <w:p w14:paraId="64E31F81" w14:textId="63F7BADA" w:rsidR="00B23E3D" w:rsidRPr="00EA6D19" w:rsidRDefault="00AA6C8D" w:rsidP="009872B8">
            <w:pPr>
              <w:pStyle w:val="Body"/>
            </w:pPr>
            <w:r>
              <w:t xml:space="preserve">They are expected to provide full, impartial, and timely advice. </w:t>
            </w:r>
          </w:p>
        </w:tc>
      </w:tr>
    </w:tbl>
    <w:p w14:paraId="1920D7F3" w14:textId="77777777" w:rsidR="000108DD" w:rsidRDefault="000108DD" w:rsidP="00A6332D">
      <w:pPr>
        <w:pStyle w:val="Body"/>
        <w:rPr>
          <w:rFonts w:eastAsia="Times New Roman"/>
          <w:b/>
          <w:bCs/>
          <w:color w:val="595959"/>
          <w:sz w:val="32"/>
          <w:szCs w:val="24"/>
        </w:rPr>
      </w:pPr>
    </w:p>
    <w:p w14:paraId="268376B0" w14:textId="227F33DD" w:rsidR="00AE0479" w:rsidRPr="00013C79" w:rsidRDefault="00224CEF" w:rsidP="00AE0479">
      <w:pPr>
        <w:pStyle w:val="Heading1"/>
        <w:spacing w:before="0"/>
      </w:pPr>
      <w:bookmarkStart w:id="58" w:name="_Toc149149807"/>
      <w:r>
        <w:t>C</w:t>
      </w:r>
      <w:r w:rsidR="00AE0479">
        <w:t>apabilities of</w:t>
      </w:r>
      <w:r w:rsidR="00D53840">
        <w:t xml:space="preserve"> </w:t>
      </w:r>
      <w:r>
        <w:t>P</w:t>
      </w:r>
      <w:r w:rsidR="00D53840">
        <w:t xml:space="preserve">ublic </w:t>
      </w:r>
      <w:r>
        <w:t>H</w:t>
      </w:r>
      <w:r w:rsidR="00AE0479">
        <w:t xml:space="preserve">ealth </w:t>
      </w:r>
      <w:r>
        <w:t>B</w:t>
      </w:r>
      <w:r w:rsidR="00AE0479" w:rsidRPr="00013C79">
        <w:t>oard</w:t>
      </w:r>
      <w:bookmarkEnd w:id="58"/>
      <w:r w:rsidR="00AE0479" w:rsidRPr="00013C79">
        <w:t xml:space="preserve"> </w:t>
      </w:r>
      <w:r w:rsidR="001C14C5">
        <w:t>D</w:t>
      </w:r>
      <w:r w:rsidR="007F0C18">
        <w:t>irectors</w:t>
      </w:r>
    </w:p>
    <w:p w14:paraId="0195C34B" w14:textId="7AD2891B" w:rsidR="001950CA" w:rsidRDefault="005F5C71" w:rsidP="00AE0479">
      <w:pPr>
        <w:pStyle w:val="DHHSmainsubheading"/>
        <w:spacing w:before="80"/>
        <w:rPr>
          <w:rFonts w:eastAsia="Times"/>
          <w:color w:val="auto"/>
          <w:sz w:val="21"/>
          <w:szCs w:val="21"/>
        </w:rPr>
      </w:pPr>
      <w:r w:rsidRPr="005F5C71">
        <w:rPr>
          <w:rFonts w:eastAsia="Times"/>
          <w:color w:val="auto"/>
          <w:sz w:val="21"/>
          <w:szCs w:val="21"/>
        </w:rPr>
        <w:t>While Victorian public health boards are based on capabilities, boards are more effective when these capabilities also represent the breadth and richness of the diverse voices of Victorian communities.</w:t>
      </w:r>
      <w:r w:rsidR="00D94602">
        <w:rPr>
          <w:rFonts w:eastAsia="Times"/>
          <w:color w:val="auto"/>
          <w:sz w:val="21"/>
          <w:szCs w:val="21"/>
        </w:rPr>
        <w:t xml:space="preserve"> </w:t>
      </w:r>
      <w:r w:rsidR="00AE0479" w:rsidRPr="00987BFC">
        <w:rPr>
          <w:rFonts w:eastAsia="Times"/>
          <w:color w:val="auto"/>
          <w:sz w:val="21"/>
          <w:szCs w:val="21"/>
        </w:rPr>
        <w:t>Board members are expected to, collectively as a board, cover a range of capabilities to ensure good governance and a culture of inclusiveness, integrity</w:t>
      </w:r>
      <w:r w:rsidR="00B87EE0">
        <w:rPr>
          <w:rFonts w:eastAsia="Times"/>
          <w:color w:val="auto"/>
          <w:sz w:val="21"/>
          <w:szCs w:val="21"/>
        </w:rPr>
        <w:t>,</w:t>
      </w:r>
      <w:r w:rsidR="00AE0479" w:rsidRPr="00987BFC">
        <w:rPr>
          <w:rFonts w:eastAsia="Times"/>
          <w:color w:val="auto"/>
          <w:sz w:val="21"/>
          <w:szCs w:val="21"/>
        </w:rPr>
        <w:t xml:space="preserve"> and safety.</w:t>
      </w:r>
      <w:r w:rsidR="007746DE">
        <w:rPr>
          <w:rFonts w:eastAsia="Times"/>
          <w:color w:val="auto"/>
          <w:sz w:val="21"/>
          <w:szCs w:val="21"/>
        </w:rPr>
        <w:t xml:space="preserve"> </w:t>
      </w:r>
    </w:p>
    <w:p w14:paraId="371B1B26" w14:textId="3BEBBDC6" w:rsidR="007F0C18" w:rsidRDefault="000B6A30" w:rsidP="00AE0479">
      <w:pPr>
        <w:pStyle w:val="DHHSmainsubheading"/>
        <w:spacing w:before="80"/>
        <w:rPr>
          <w:rFonts w:eastAsia="Times"/>
          <w:color w:val="auto"/>
          <w:sz w:val="21"/>
          <w:szCs w:val="21"/>
        </w:rPr>
      </w:pPr>
      <w:r w:rsidRPr="000B6A30">
        <w:rPr>
          <w:rFonts w:eastAsia="Times"/>
          <w:color w:val="auto"/>
          <w:sz w:val="21"/>
          <w:szCs w:val="21"/>
        </w:rPr>
        <w:t xml:space="preserve">The </w:t>
      </w:r>
      <w:r w:rsidR="009A7E0C">
        <w:rPr>
          <w:rFonts w:eastAsia="Times"/>
          <w:color w:val="auto"/>
          <w:sz w:val="21"/>
          <w:szCs w:val="21"/>
        </w:rPr>
        <w:t>d</w:t>
      </w:r>
      <w:r w:rsidRPr="000B6A30">
        <w:rPr>
          <w:rFonts w:eastAsia="Times"/>
          <w:color w:val="auto"/>
          <w:sz w:val="21"/>
          <w:szCs w:val="21"/>
        </w:rPr>
        <w:t xml:space="preserve">epartment </w:t>
      </w:r>
      <w:r w:rsidR="009A3C83">
        <w:rPr>
          <w:rFonts w:eastAsia="Times"/>
          <w:color w:val="auto"/>
          <w:sz w:val="21"/>
          <w:szCs w:val="21"/>
        </w:rPr>
        <w:t>has defi</w:t>
      </w:r>
      <w:r w:rsidR="006A4B80">
        <w:rPr>
          <w:rFonts w:eastAsia="Times"/>
          <w:color w:val="auto"/>
          <w:sz w:val="21"/>
          <w:szCs w:val="21"/>
        </w:rPr>
        <w:t xml:space="preserve">ned some capabilities which it </w:t>
      </w:r>
      <w:r w:rsidRPr="000B6A30">
        <w:rPr>
          <w:rFonts w:eastAsia="Times"/>
          <w:color w:val="auto"/>
          <w:sz w:val="21"/>
          <w:szCs w:val="21"/>
        </w:rPr>
        <w:t xml:space="preserve">recognises </w:t>
      </w:r>
      <w:r w:rsidR="006A4B80">
        <w:rPr>
          <w:rFonts w:eastAsia="Times"/>
          <w:color w:val="auto"/>
          <w:sz w:val="21"/>
          <w:szCs w:val="21"/>
        </w:rPr>
        <w:t xml:space="preserve">that </w:t>
      </w:r>
      <w:r w:rsidRPr="000B6A30">
        <w:rPr>
          <w:rFonts w:eastAsia="Times"/>
          <w:color w:val="auto"/>
          <w:sz w:val="21"/>
          <w:szCs w:val="21"/>
        </w:rPr>
        <w:t>board directors have developed from personal and professional experience and knowledge</w:t>
      </w:r>
      <w:r w:rsidR="001950CA">
        <w:rPr>
          <w:rFonts w:eastAsia="Times"/>
          <w:color w:val="auto"/>
          <w:sz w:val="21"/>
          <w:szCs w:val="21"/>
        </w:rPr>
        <w:t xml:space="preserve"> </w:t>
      </w:r>
      <w:r w:rsidRPr="000B6A30">
        <w:rPr>
          <w:rFonts w:eastAsia="Times"/>
          <w:color w:val="auto"/>
          <w:sz w:val="21"/>
          <w:szCs w:val="21"/>
        </w:rPr>
        <w:t>which will continue to be developed while on a public health service board</w:t>
      </w:r>
      <w:r w:rsidR="009A3C83">
        <w:rPr>
          <w:rFonts w:eastAsia="Times"/>
          <w:color w:val="auto"/>
          <w:sz w:val="21"/>
          <w:szCs w:val="21"/>
        </w:rPr>
        <w:t xml:space="preserve">. </w:t>
      </w:r>
    </w:p>
    <w:p w14:paraId="66985553" w14:textId="2CB887FE" w:rsidR="00A6332D" w:rsidRDefault="00A6332D" w:rsidP="00DB63A6">
      <w:pPr>
        <w:pStyle w:val="DHHSmainsubheading"/>
        <w:spacing w:before="80"/>
      </w:pPr>
    </w:p>
    <w:tbl>
      <w:tblPr>
        <w:tblStyle w:val="TableGrid"/>
        <w:tblW w:w="0" w:type="auto"/>
        <w:tblLook w:val="04A0" w:firstRow="1" w:lastRow="0" w:firstColumn="1" w:lastColumn="0" w:noHBand="0" w:noVBand="1"/>
      </w:tblPr>
      <w:tblGrid>
        <w:gridCol w:w="2122"/>
        <w:gridCol w:w="7166"/>
      </w:tblGrid>
      <w:tr w:rsidR="00323C97" w:rsidRPr="00EA6D19" w14:paraId="776A6D22" w14:textId="77777777" w:rsidTr="00095EB2">
        <w:trPr>
          <w:cantSplit/>
        </w:trPr>
        <w:tc>
          <w:tcPr>
            <w:tcW w:w="2122" w:type="dxa"/>
            <w:tcBorders>
              <w:right w:val="nil"/>
            </w:tcBorders>
            <w:shd w:val="clear" w:color="auto" w:fill="0F243E" w:themeFill="text2" w:themeFillShade="80"/>
          </w:tcPr>
          <w:p w14:paraId="4B508B1B" w14:textId="3E45D99D" w:rsidR="00323C97" w:rsidRPr="00DB63A6" w:rsidRDefault="00AD004F" w:rsidP="009872B8">
            <w:pPr>
              <w:pStyle w:val="Body"/>
              <w:rPr>
                <w:b/>
                <w:bCs/>
              </w:rPr>
            </w:pPr>
            <w:r w:rsidRPr="00DB63A6">
              <w:rPr>
                <w:b/>
                <w:bCs/>
              </w:rPr>
              <w:t>Ca</w:t>
            </w:r>
            <w:r w:rsidR="00BD4C7E" w:rsidRPr="00DB63A6">
              <w:rPr>
                <w:b/>
                <w:bCs/>
              </w:rPr>
              <w:t>pability</w:t>
            </w:r>
          </w:p>
        </w:tc>
        <w:tc>
          <w:tcPr>
            <w:tcW w:w="7166" w:type="dxa"/>
            <w:tcBorders>
              <w:left w:val="nil"/>
            </w:tcBorders>
            <w:shd w:val="clear" w:color="auto" w:fill="0F243E" w:themeFill="text2" w:themeFillShade="80"/>
          </w:tcPr>
          <w:p w14:paraId="10A3CFE0" w14:textId="18BA3AAC" w:rsidR="00323C97" w:rsidRPr="00DB63A6" w:rsidRDefault="00AD004F" w:rsidP="009872B8">
            <w:pPr>
              <w:pStyle w:val="Body"/>
              <w:rPr>
                <w:b/>
                <w:bCs/>
              </w:rPr>
            </w:pPr>
            <w:r w:rsidRPr="00DB63A6">
              <w:rPr>
                <w:b/>
                <w:bCs/>
              </w:rPr>
              <w:t>De</w:t>
            </w:r>
            <w:r w:rsidR="00BD4C7E" w:rsidRPr="00DB63A6">
              <w:rPr>
                <w:b/>
                <w:bCs/>
              </w:rPr>
              <w:t>scription</w:t>
            </w:r>
          </w:p>
        </w:tc>
      </w:tr>
      <w:tr w:rsidR="00862D0F" w:rsidRPr="00EA6D19" w14:paraId="7CA4F47F" w14:textId="77777777" w:rsidTr="00987BFC">
        <w:trPr>
          <w:cantSplit/>
        </w:trPr>
        <w:tc>
          <w:tcPr>
            <w:tcW w:w="2122" w:type="dxa"/>
          </w:tcPr>
          <w:p w14:paraId="17C77D6D" w14:textId="77777777" w:rsidR="00862D0F" w:rsidRDefault="00862D0F" w:rsidP="009872B8">
            <w:pPr>
              <w:pStyle w:val="Body"/>
              <w:rPr>
                <w:b/>
                <w:bCs/>
                <w:color w:val="17365D" w:themeColor="text2" w:themeShade="BF"/>
              </w:rPr>
            </w:pPr>
            <w:r>
              <w:rPr>
                <w:b/>
                <w:bCs/>
                <w:color w:val="17365D" w:themeColor="text2" w:themeShade="BF"/>
              </w:rPr>
              <w:t>Asset Management</w:t>
            </w:r>
          </w:p>
        </w:tc>
        <w:tc>
          <w:tcPr>
            <w:tcW w:w="7166" w:type="dxa"/>
          </w:tcPr>
          <w:p w14:paraId="5B2384A7" w14:textId="77777777" w:rsidR="00862D0F" w:rsidRPr="00471F44" w:rsidRDefault="00862D0F" w:rsidP="009872B8">
            <w:pPr>
              <w:pStyle w:val="Body"/>
            </w:pPr>
            <w:r w:rsidRPr="00FA7AA0">
              <w:t>Experience in overseeing the planning, management</w:t>
            </w:r>
            <w:r>
              <w:t>,</w:t>
            </w:r>
            <w:r w:rsidRPr="00FA7AA0">
              <w:t xml:space="preserve"> and renewal of major assets, including buildings and other infrastructure</w:t>
            </w:r>
            <w:r>
              <w:t xml:space="preserve">. </w:t>
            </w:r>
          </w:p>
        </w:tc>
      </w:tr>
      <w:tr w:rsidR="00862D0F" w:rsidRPr="00EA6D19" w14:paraId="2C20E1A8" w14:textId="77777777" w:rsidTr="00987BFC">
        <w:trPr>
          <w:cantSplit/>
        </w:trPr>
        <w:tc>
          <w:tcPr>
            <w:tcW w:w="2122" w:type="dxa"/>
          </w:tcPr>
          <w:p w14:paraId="443771EF" w14:textId="6AE170B9" w:rsidR="00862D0F" w:rsidRDefault="00862D0F" w:rsidP="009872B8">
            <w:pPr>
              <w:pStyle w:val="Body"/>
              <w:rPr>
                <w:b/>
                <w:bCs/>
                <w:color w:val="17365D" w:themeColor="text2" w:themeShade="BF"/>
              </w:rPr>
            </w:pPr>
            <w:r>
              <w:rPr>
                <w:b/>
                <w:bCs/>
                <w:color w:val="17365D" w:themeColor="text2" w:themeShade="BF"/>
              </w:rPr>
              <w:t>Audit and risk management</w:t>
            </w:r>
          </w:p>
        </w:tc>
        <w:tc>
          <w:tcPr>
            <w:tcW w:w="7166" w:type="dxa"/>
          </w:tcPr>
          <w:p w14:paraId="1E1AA861" w14:textId="19FEF8D6" w:rsidR="00862D0F" w:rsidRDefault="00862D0F" w:rsidP="009872B8">
            <w:pPr>
              <w:pStyle w:val="Body"/>
            </w:pPr>
            <w:r>
              <w:t xml:space="preserve">Experience in interpretation and implementation of legal and regulatory requirements in monitoring </w:t>
            </w:r>
            <w:r w:rsidR="007D177B">
              <w:t xml:space="preserve">operational and </w:t>
            </w:r>
            <w:r w:rsidR="007A7CB1">
              <w:t>governance</w:t>
            </w:r>
            <w:r w:rsidR="007D177B">
              <w:t xml:space="preserve"> </w:t>
            </w:r>
            <w:r>
              <w:t xml:space="preserve">compliance. </w:t>
            </w:r>
          </w:p>
          <w:p w14:paraId="7FBA60CF" w14:textId="659CF472" w:rsidR="00862D0F" w:rsidRPr="00471F44" w:rsidRDefault="00862D0F" w:rsidP="009872B8">
            <w:pPr>
              <w:pStyle w:val="Body"/>
            </w:pPr>
            <w:r>
              <w:t xml:space="preserve">Experience </w:t>
            </w:r>
            <w:r w:rsidRPr="00771CAA">
              <w:t>in identifying, assessing</w:t>
            </w:r>
            <w:r>
              <w:t>,</w:t>
            </w:r>
            <w:r w:rsidRPr="00771CAA">
              <w:t xml:space="preserve"> and responding to strategic, financial, </w:t>
            </w:r>
            <w:r w:rsidR="007D177B">
              <w:t xml:space="preserve">service </w:t>
            </w:r>
            <w:r w:rsidR="00345F93">
              <w:t>delivery</w:t>
            </w:r>
            <w:r>
              <w:t>,</w:t>
            </w:r>
            <w:r w:rsidRPr="00771CAA">
              <w:t xml:space="preserve"> and reputational risks</w:t>
            </w:r>
            <w:r>
              <w:t xml:space="preserve"> and opportunities.</w:t>
            </w:r>
          </w:p>
        </w:tc>
      </w:tr>
      <w:tr w:rsidR="00862D0F" w:rsidRPr="00EA6D19" w14:paraId="2037914E" w14:textId="77777777" w:rsidTr="00987BFC">
        <w:trPr>
          <w:cantSplit/>
        </w:trPr>
        <w:tc>
          <w:tcPr>
            <w:tcW w:w="2122" w:type="dxa"/>
          </w:tcPr>
          <w:p w14:paraId="35C7352A" w14:textId="65AE5AB9" w:rsidR="00862D0F" w:rsidRPr="00582365" w:rsidRDefault="00862D0F" w:rsidP="009872B8">
            <w:pPr>
              <w:pStyle w:val="Body"/>
              <w:rPr>
                <w:b/>
                <w:bCs/>
                <w:color w:val="17365D" w:themeColor="text2" w:themeShade="BF"/>
              </w:rPr>
            </w:pPr>
            <w:r>
              <w:rPr>
                <w:b/>
                <w:bCs/>
                <w:color w:val="17365D" w:themeColor="text2" w:themeShade="BF"/>
              </w:rPr>
              <w:t>Clinical governance</w:t>
            </w:r>
          </w:p>
        </w:tc>
        <w:tc>
          <w:tcPr>
            <w:tcW w:w="7166" w:type="dxa"/>
          </w:tcPr>
          <w:p w14:paraId="364F6DE4" w14:textId="515A96ED" w:rsidR="00862D0F" w:rsidRPr="006D6E41" w:rsidRDefault="00862D0F" w:rsidP="009872B8">
            <w:pPr>
              <w:pStyle w:val="Body"/>
            </w:pPr>
            <w:r>
              <w:t>E</w:t>
            </w:r>
            <w:r w:rsidRPr="00771CAA">
              <w:t>xperience in the application, design</w:t>
            </w:r>
            <w:r>
              <w:t>,</w:t>
            </w:r>
            <w:r w:rsidRPr="00771CAA">
              <w:t xml:space="preserve"> and evaluation of clinical governance systems to ensure safe clinical care and drive continuous improvement </w:t>
            </w:r>
            <w:r w:rsidR="00CD1336">
              <w:t>for</w:t>
            </w:r>
            <w:r w:rsidRPr="00771CAA">
              <w:t xml:space="preserve"> patient outcomes</w:t>
            </w:r>
            <w:r>
              <w:t xml:space="preserve">. </w:t>
            </w:r>
          </w:p>
        </w:tc>
      </w:tr>
      <w:tr w:rsidR="00862D0F" w:rsidRPr="00EA6D19" w14:paraId="6801EA60" w14:textId="77777777" w:rsidTr="00987BFC">
        <w:trPr>
          <w:cantSplit/>
        </w:trPr>
        <w:tc>
          <w:tcPr>
            <w:tcW w:w="2122" w:type="dxa"/>
          </w:tcPr>
          <w:p w14:paraId="42631C9F" w14:textId="77777777" w:rsidR="00862D0F" w:rsidRDefault="00862D0F" w:rsidP="009872B8">
            <w:pPr>
              <w:pStyle w:val="Body"/>
              <w:rPr>
                <w:b/>
                <w:bCs/>
                <w:color w:val="17365D" w:themeColor="text2" w:themeShade="BF"/>
              </w:rPr>
            </w:pPr>
            <w:r>
              <w:rPr>
                <w:b/>
                <w:bCs/>
                <w:color w:val="17365D" w:themeColor="text2" w:themeShade="BF"/>
              </w:rPr>
              <w:t>Communication and stakeholder engagement</w:t>
            </w:r>
          </w:p>
        </w:tc>
        <w:tc>
          <w:tcPr>
            <w:tcW w:w="7166" w:type="dxa"/>
          </w:tcPr>
          <w:p w14:paraId="6F4DDE18" w14:textId="77777777" w:rsidR="00862D0F" w:rsidRDefault="00862D0F" w:rsidP="009872B8">
            <w:pPr>
              <w:pStyle w:val="Body"/>
            </w:pPr>
            <w:r>
              <w:t>E</w:t>
            </w:r>
            <w:r w:rsidRPr="00FA7AA0">
              <w:t xml:space="preserve">xperience </w:t>
            </w:r>
            <w:r>
              <w:t xml:space="preserve">in </w:t>
            </w:r>
            <w:r w:rsidRPr="00FA7AA0">
              <w:t>communications and effective stakeholder engagement in the context of providing a public service</w:t>
            </w:r>
            <w:r>
              <w:t xml:space="preserve">. </w:t>
            </w:r>
          </w:p>
          <w:p w14:paraId="194E32DC" w14:textId="77777777" w:rsidR="00862D0F" w:rsidRPr="00471F44" w:rsidRDefault="00862D0F" w:rsidP="009872B8">
            <w:pPr>
              <w:pStyle w:val="Body"/>
            </w:pPr>
            <w:r>
              <w:t>Experience in the</w:t>
            </w:r>
            <w:r w:rsidRPr="00FA7AA0">
              <w:t xml:space="preserve"> effective insight into and response to the views and expectations of key stakeholders within and outside the organisation</w:t>
            </w:r>
          </w:p>
        </w:tc>
      </w:tr>
      <w:tr w:rsidR="00862D0F" w:rsidRPr="00EA6D19" w14:paraId="35382EB8" w14:textId="77777777" w:rsidTr="00987BFC">
        <w:trPr>
          <w:cantSplit/>
        </w:trPr>
        <w:tc>
          <w:tcPr>
            <w:tcW w:w="2122" w:type="dxa"/>
          </w:tcPr>
          <w:p w14:paraId="5A8F900F" w14:textId="77777777" w:rsidR="00862D0F" w:rsidRDefault="00862D0F" w:rsidP="009872B8">
            <w:pPr>
              <w:pStyle w:val="Body"/>
              <w:rPr>
                <w:b/>
                <w:bCs/>
                <w:color w:val="17365D" w:themeColor="text2" w:themeShade="BF"/>
              </w:rPr>
            </w:pPr>
            <w:r>
              <w:rPr>
                <w:b/>
                <w:bCs/>
                <w:color w:val="17365D" w:themeColor="text2" w:themeShade="BF"/>
              </w:rPr>
              <w:t>Community Services</w:t>
            </w:r>
          </w:p>
        </w:tc>
        <w:tc>
          <w:tcPr>
            <w:tcW w:w="7166" w:type="dxa"/>
          </w:tcPr>
          <w:p w14:paraId="5096689D" w14:textId="77777777" w:rsidR="00862D0F" w:rsidRPr="00471F44" w:rsidRDefault="00862D0F" w:rsidP="009872B8">
            <w:pPr>
              <w:pStyle w:val="Body"/>
            </w:pPr>
            <w:r w:rsidRPr="00FA7AA0">
              <w:t xml:space="preserve">Experience in </w:t>
            </w:r>
            <w:r>
              <w:t xml:space="preserve">advocating or </w:t>
            </w:r>
            <w:r w:rsidRPr="00FA7AA0">
              <w:t xml:space="preserve">the delivery of social services for people who </w:t>
            </w:r>
            <w:r>
              <w:t xml:space="preserve">are experiencing disadvantage </w:t>
            </w:r>
            <w:r w:rsidRPr="00FA7AA0">
              <w:t xml:space="preserve">or are vulnerable at the time of seeking </w:t>
            </w:r>
            <w:r>
              <w:t xml:space="preserve">support. </w:t>
            </w:r>
          </w:p>
        </w:tc>
      </w:tr>
      <w:tr w:rsidR="00862D0F" w:rsidRPr="00ED460A" w14:paraId="39C41866" w14:textId="77777777" w:rsidTr="00987BFC">
        <w:trPr>
          <w:cantSplit/>
        </w:trPr>
        <w:tc>
          <w:tcPr>
            <w:tcW w:w="2122" w:type="dxa"/>
          </w:tcPr>
          <w:p w14:paraId="6DD8CCEF" w14:textId="77777777" w:rsidR="00862D0F" w:rsidRPr="00BD7133" w:rsidRDefault="00862D0F" w:rsidP="009872B8">
            <w:pPr>
              <w:pStyle w:val="Body"/>
              <w:rPr>
                <w:b/>
                <w:bCs/>
                <w:color w:val="17365D" w:themeColor="text2" w:themeShade="BF"/>
              </w:rPr>
            </w:pPr>
            <w:r w:rsidRPr="00D91C10">
              <w:rPr>
                <w:b/>
                <w:bCs/>
                <w:color w:val="17365D" w:themeColor="text2" w:themeShade="BF"/>
              </w:rPr>
              <w:t xml:space="preserve">Corporate </w:t>
            </w:r>
            <w:r>
              <w:rPr>
                <w:b/>
                <w:bCs/>
                <w:color w:val="17365D" w:themeColor="text2" w:themeShade="BF"/>
              </w:rPr>
              <w:t>g</w:t>
            </w:r>
            <w:r w:rsidRPr="00D91C10">
              <w:rPr>
                <w:b/>
                <w:bCs/>
                <w:color w:val="17365D" w:themeColor="text2" w:themeShade="BF"/>
              </w:rPr>
              <w:t>overnance</w:t>
            </w:r>
          </w:p>
        </w:tc>
        <w:tc>
          <w:tcPr>
            <w:tcW w:w="7166" w:type="dxa"/>
          </w:tcPr>
          <w:p w14:paraId="313AD9D9" w14:textId="77777777" w:rsidR="00862D0F" w:rsidRPr="001F412C" w:rsidRDefault="00862D0F" w:rsidP="009872B8">
            <w:pPr>
              <w:pStyle w:val="Body"/>
            </w:pPr>
            <w:r>
              <w:t>E</w:t>
            </w:r>
            <w:r w:rsidRPr="001F412C">
              <w:t xml:space="preserve">xperience </w:t>
            </w:r>
            <w:r>
              <w:t>in</w:t>
            </w:r>
            <w:r w:rsidRPr="001F412C">
              <w:t xml:space="preserve"> the separation of governance and management, and the roles, duties</w:t>
            </w:r>
            <w:r>
              <w:t>,</w:t>
            </w:r>
            <w:r w:rsidRPr="001F412C">
              <w:t xml:space="preserve"> and obligations of board directors</w:t>
            </w:r>
            <w:r>
              <w:t xml:space="preserve">. </w:t>
            </w:r>
          </w:p>
        </w:tc>
      </w:tr>
      <w:tr w:rsidR="00862D0F" w:rsidRPr="00EA6D19" w14:paraId="6782CA5F" w14:textId="77777777" w:rsidTr="00987BFC">
        <w:trPr>
          <w:cantSplit/>
        </w:trPr>
        <w:tc>
          <w:tcPr>
            <w:tcW w:w="2122" w:type="dxa"/>
          </w:tcPr>
          <w:p w14:paraId="738DB46B" w14:textId="3408A29E" w:rsidR="00862D0F" w:rsidRDefault="00862D0F" w:rsidP="009872B8">
            <w:pPr>
              <w:pStyle w:val="Body"/>
              <w:rPr>
                <w:b/>
                <w:bCs/>
                <w:color w:val="17365D" w:themeColor="text2" w:themeShade="BF"/>
              </w:rPr>
            </w:pPr>
            <w:r>
              <w:rPr>
                <w:b/>
                <w:bCs/>
                <w:color w:val="17365D" w:themeColor="text2" w:themeShade="BF"/>
              </w:rPr>
              <w:t xml:space="preserve">Financial management and accounting </w:t>
            </w:r>
          </w:p>
        </w:tc>
        <w:tc>
          <w:tcPr>
            <w:tcW w:w="7166" w:type="dxa"/>
          </w:tcPr>
          <w:p w14:paraId="1E4F692E" w14:textId="1B5CCFF3" w:rsidR="00862D0F" w:rsidRPr="00471F44" w:rsidRDefault="00862D0F" w:rsidP="009872B8">
            <w:pPr>
              <w:pStyle w:val="Body"/>
            </w:pPr>
            <w:r w:rsidRPr="00D15775">
              <w:t xml:space="preserve">Experience in the </w:t>
            </w:r>
            <w:r>
              <w:t>oversight</w:t>
            </w:r>
            <w:r w:rsidRPr="00D15775">
              <w:t xml:space="preserve"> of finances to </w:t>
            </w:r>
            <w:r>
              <w:t>achieve</w:t>
            </w:r>
            <w:r w:rsidRPr="00D15775">
              <w:t xml:space="preserve"> the </w:t>
            </w:r>
            <w:r w:rsidR="002207B8">
              <w:t>sustainability</w:t>
            </w:r>
            <w:r w:rsidR="002207B8" w:rsidRPr="00D15775">
              <w:t xml:space="preserve"> </w:t>
            </w:r>
            <w:r w:rsidRPr="00D15775">
              <w:t xml:space="preserve">of an organisation, including assessing financial viability, overseeing financial </w:t>
            </w:r>
            <w:r w:rsidR="00307210" w:rsidRPr="00D15775">
              <w:t>planning</w:t>
            </w:r>
            <w:r w:rsidR="00BA2FB1">
              <w:t xml:space="preserve"> and budget development</w:t>
            </w:r>
            <w:r w:rsidR="00307210" w:rsidRPr="00D15775">
              <w:t>,</w:t>
            </w:r>
            <w:r w:rsidRPr="00D15775">
              <w:t xml:space="preserve"> and funding arrangements</w:t>
            </w:r>
            <w:r>
              <w:t xml:space="preserve">. </w:t>
            </w:r>
          </w:p>
        </w:tc>
      </w:tr>
      <w:tr w:rsidR="00862D0F" w:rsidRPr="00EA6D19" w14:paraId="1AE69054" w14:textId="77777777" w:rsidTr="00987BFC">
        <w:trPr>
          <w:cantSplit/>
        </w:trPr>
        <w:tc>
          <w:tcPr>
            <w:tcW w:w="2122" w:type="dxa"/>
          </w:tcPr>
          <w:p w14:paraId="7EFB34BF" w14:textId="77777777" w:rsidR="00862D0F" w:rsidRDefault="00862D0F" w:rsidP="009872B8">
            <w:pPr>
              <w:pStyle w:val="Body"/>
              <w:rPr>
                <w:b/>
                <w:bCs/>
                <w:color w:val="17365D" w:themeColor="text2" w:themeShade="BF"/>
              </w:rPr>
            </w:pPr>
            <w:r>
              <w:rPr>
                <w:b/>
                <w:bCs/>
                <w:color w:val="17365D" w:themeColor="text2" w:themeShade="BF"/>
              </w:rPr>
              <w:t>Human Resources</w:t>
            </w:r>
          </w:p>
        </w:tc>
        <w:tc>
          <w:tcPr>
            <w:tcW w:w="7166" w:type="dxa"/>
          </w:tcPr>
          <w:p w14:paraId="06237FB2" w14:textId="23AA44D8" w:rsidR="00862D0F" w:rsidRPr="00471F44" w:rsidRDefault="00862D0F" w:rsidP="009872B8">
            <w:pPr>
              <w:pStyle w:val="Body"/>
            </w:pPr>
            <w:r w:rsidRPr="00862D0F">
              <w:t xml:space="preserve">Experience in managing an organisation's workforce, </w:t>
            </w:r>
            <w:r>
              <w:t xml:space="preserve">including staff </w:t>
            </w:r>
            <w:r w:rsidR="00E514AC">
              <w:t xml:space="preserve">and management </w:t>
            </w:r>
            <w:r>
              <w:t xml:space="preserve">development, </w:t>
            </w:r>
            <w:r w:rsidRPr="00862D0F">
              <w:t xml:space="preserve">compliance with employment and labour laws, managing industrial relations, and overseeing organisational </w:t>
            </w:r>
            <w:r w:rsidR="00E514AC">
              <w:t>culture</w:t>
            </w:r>
            <w:r>
              <w:t xml:space="preserve">. </w:t>
            </w:r>
          </w:p>
        </w:tc>
      </w:tr>
      <w:tr w:rsidR="00862D0F" w:rsidRPr="00EA6D19" w14:paraId="4B7526B4" w14:textId="77777777" w:rsidTr="00987BFC">
        <w:trPr>
          <w:cantSplit/>
        </w:trPr>
        <w:tc>
          <w:tcPr>
            <w:tcW w:w="2122" w:type="dxa"/>
          </w:tcPr>
          <w:p w14:paraId="13EA3032" w14:textId="77777777" w:rsidR="00862D0F" w:rsidRPr="00582365" w:rsidRDefault="00862D0F" w:rsidP="009872B8">
            <w:pPr>
              <w:pStyle w:val="Body"/>
              <w:rPr>
                <w:b/>
                <w:bCs/>
                <w:color w:val="17365D" w:themeColor="text2" w:themeShade="BF"/>
              </w:rPr>
            </w:pPr>
            <w:r>
              <w:rPr>
                <w:b/>
                <w:bCs/>
                <w:color w:val="17365D" w:themeColor="text2" w:themeShade="BF"/>
              </w:rPr>
              <w:t>ICT Strategy and governance</w:t>
            </w:r>
          </w:p>
        </w:tc>
        <w:tc>
          <w:tcPr>
            <w:tcW w:w="7166" w:type="dxa"/>
          </w:tcPr>
          <w:p w14:paraId="1A47B19A" w14:textId="77777777" w:rsidR="00862D0F" w:rsidRPr="00EA6D19" w:rsidRDefault="00862D0F" w:rsidP="009872B8">
            <w:pPr>
              <w:pStyle w:val="Body"/>
            </w:pPr>
            <w:r w:rsidRPr="00862D0F">
              <w:t xml:space="preserve">Experience in </w:t>
            </w:r>
            <w:r>
              <w:t xml:space="preserve">overseeing or </w:t>
            </w:r>
            <w:r w:rsidRPr="00862D0F">
              <w:t>managing information and communications technology</w:t>
            </w:r>
            <w:r>
              <w:t xml:space="preserve">, including information privacy and security. </w:t>
            </w:r>
          </w:p>
        </w:tc>
      </w:tr>
      <w:tr w:rsidR="00196CD1" w:rsidRPr="00EA6D19" w14:paraId="46D276AF" w14:textId="77777777" w:rsidTr="00987BFC">
        <w:trPr>
          <w:cantSplit/>
        </w:trPr>
        <w:tc>
          <w:tcPr>
            <w:tcW w:w="2122" w:type="dxa"/>
          </w:tcPr>
          <w:p w14:paraId="1FDA8FF0" w14:textId="104228BA" w:rsidR="00196CD1" w:rsidRDefault="00196CD1" w:rsidP="009872B8">
            <w:pPr>
              <w:pStyle w:val="Body"/>
              <w:rPr>
                <w:b/>
                <w:bCs/>
                <w:color w:val="17365D" w:themeColor="text2" w:themeShade="BF"/>
              </w:rPr>
            </w:pPr>
            <w:r>
              <w:rPr>
                <w:b/>
                <w:bCs/>
                <w:color w:val="17365D" w:themeColor="text2" w:themeShade="BF"/>
              </w:rPr>
              <w:t>Law</w:t>
            </w:r>
          </w:p>
        </w:tc>
        <w:tc>
          <w:tcPr>
            <w:tcW w:w="7166" w:type="dxa"/>
          </w:tcPr>
          <w:p w14:paraId="1ED0AEE6" w14:textId="6DA961FE" w:rsidR="00196CD1" w:rsidRPr="00471F44" w:rsidRDefault="00196CD1" w:rsidP="009872B8">
            <w:pPr>
              <w:pStyle w:val="Body"/>
            </w:pPr>
            <w:r>
              <w:t>Experience in interpretation and implementation of legal and regulatory requirements</w:t>
            </w:r>
            <w:r w:rsidR="00F909CC">
              <w:t xml:space="preserve"> –</w:t>
            </w:r>
            <w:r>
              <w:t xml:space="preserve"> with a focus on </w:t>
            </w:r>
            <w:r w:rsidRPr="00196CD1">
              <w:t>health</w:t>
            </w:r>
            <w:r>
              <w:t xml:space="preserve"> (including mental health and aged care), </w:t>
            </w:r>
            <w:r w:rsidRPr="00196CD1">
              <w:t>administrati</w:t>
            </w:r>
            <w:r>
              <w:t xml:space="preserve">on, corporate or industrial relations. </w:t>
            </w:r>
          </w:p>
        </w:tc>
      </w:tr>
      <w:tr w:rsidR="00196CD1" w:rsidRPr="00EA6D19" w14:paraId="5318D875" w14:textId="77777777" w:rsidTr="00987BFC">
        <w:trPr>
          <w:cantSplit/>
        </w:trPr>
        <w:tc>
          <w:tcPr>
            <w:tcW w:w="2122" w:type="dxa"/>
          </w:tcPr>
          <w:p w14:paraId="28DCBED1" w14:textId="55211739" w:rsidR="00196CD1" w:rsidRDefault="00196CD1" w:rsidP="009872B8">
            <w:pPr>
              <w:pStyle w:val="Body"/>
              <w:rPr>
                <w:b/>
                <w:bCs/>
                <w:color w:val="17365D" w:themeColor="text2" w:themeShade="BF"/>
              </w:rPr>
            </w:pPr>
            <w:r>
              <w:rPr>
                <w:b/>
                <w:bCs/>
                <w:color w:val="17365D" w:themeColor="text2" w:themeShade="BF"/>
              </w:rPr>
              <w:lastRenderedPageBreak/>
              <w:t>Patient experience and consumer engagement</w:t>
            </w:r>
          </w:p>
        </w:tc>
        <w:tc>
          <w:tcPr>
            <w:tcW w:w="7166" w:type="dxa"/>
          </w:tcPr>
          <w:p w14:paraId="3B3AF99D" w14:textId="1D6C8FAD" w:rsidR="00DB6F20" w:rsidRDefault="00F909CC" w:rsidP="009872B8">
            <w:pPr>
              <w:pStyle w:val="Body"/>
            </w:pPr>
            <w:r>
              <w:t>E</w:t>
            </w:r>
            <w:r w:rsidRPr="00F909CC">
              <w:t xml:space="preserve">xperience as a user of </w:t>
            </w:r>
            <w:r>
              <w:t>hospital care</w:t>
            </w:r>
            <w:r w:rsidRPr="00F909CC">
              <w:t xml:space="preserve"> (or as carer/guardian of a person who is a frequent </w:t>
            </w:r>
            <w:r>
              <w:t>patient</w:t>
            </w:r>
            <w:r w:rsidRPr="00F909CC">
              <w:t>)</w:t>
            </w:r>
            <w:r w:rsidR="004D5EFC">
              <w:t>.</w:t>
            </w:r>
          </w:p>
          <w:p w14:paraId="37910FD3" w14:textId="3C2B3DCE" w:rsidR="00196CD1" w:rsidRPr="00471F44" w:rsidRDefault="00DB6F20" w:rsidP="009872B8">
            <w:pPr>
              <w:pStyle w:val="Body"/>
            </w:pPr>
            <w:r>
              <w:t xml:space="preserve">Experience </w:t>
            </w:r>
            <w:r w:rsidR="004D5EFC">
              <w:t xml:space="preserve">in </w:t>
            </w:r>
            <w:r w:rsidR="00F909CC" w:rsidRPr="00F909CC">
              <w:t>us</w:t>
            </w:r>
            <w:r w:rsidR="004D5EFC">
              <w:t>ing</w:t>
            </w:r>
            <w:r w:rsidR="00F909CC" w:rsidRPr="00F909CC">
              <w:t xml:space="preserve"> consumer feedback to drive hospital improvements in patient</w:t>
            </w:r>
            <w:r w:rsidR="00F91334">
              <w:t>-</w:t>
            </w:r>
            <w:r w:rsidR="00F909CC" w:rsidRPr="00F909CC">
              <w:t>centred care.</w:t>
            </w:r>
            <w:r w:rsidR="00F909CC">
              <w:t xml:space="preserve"> </w:t>
            </w:r>
          </w:p>
        </w:tc>
      </w:tr>
      <w:tr w:rsidR="00F909CC" w:rsidRPr="00EA6D19" w14:paraId="688AFF12" w14:textId="77777777" w:rsidTr="00987BFC">
        <w:trPr>
          <w:cantSplit/>
        </w:trPr>
        <w:tc>
          <w:tcPr>
            <w:tcW w:w="2122" w:type="dxa"/>
          </w:tcPr>
          <w:p w14:paraId="4D94A019" w14:textId="77777777" w:rsidR="00F909CC" w:rsidRDefault="00F909CC" w:rsidP="009872B8">
            <w:pPr>
              <w:pStyle w:val="Body"/>
              <w:rPr>
                <w:b/>
                <w:bCs/>
                <w:color w:val="17365D" w:themeColor="text2" w:themeShade="BF"/>
              </w:rPr>
            </w:pPr>
            <w:r>
              <w:rPr>
                <w:b/>
                <w:bCs/>
                <w:color w:val="17365D" w:themeColor="text2" w:themeShade="BF"/>
              </w:rPr>
              <w:t>Registered Clinician</w:t>
            </w:r>
          </w:p>
        </w:tc>
        <w:tc>
          <w:tcPr>
            <w:tcW w:w="7166" w:type="dxa"/>
          </w:tcPr>
          <w:p w14:paraId="5B9AAB9B" w14:textId="77777777" w:rsidR="00F909CC" w:rsidRDefault="00F909CC" w:rsidP="009872B8">
            <w:pPr>
              <w:pStyle w:val="Body"/>
            </w:pPr>
            <w:r w:rsidRPr="00F909CC">
              <w:t xml:space="preserve">Must </w:t>
            </w:r>
            <w:r>
              <w:t>be</w:t>
            </w:r>
            <w:r w:rsidRPr="00F909CC">
              <w:t xml:space="preserve"> regist</w:t>
            </w:r>
            <w:r>
              <w:t>ered</w:t>
            </w:r>
            <w:r w:rsidRPr="00F909CC">
              <w:t xml:space="preserve"> for active practice with the Australian Health Practitioner Regulation Agency (AHPRA).</w:t>
            </w:r>
            <w:r>
              <w:t xml:space="preserve"> </w:t>
            </w:r>
          </w:p>
          <w:p w14:paraId="59CEAB35" w14:textId="74EA2A9A" w:rsidR="00F909CC" w:rsidRPr="00471F44" w:rsidRDefault="00CE1C0E" w:rsidP="009872B8">
            <w:pPr>
              <w:pStyle w:val="Body"/>
            </w:pPr>
            <w:r>
              <w:t xml:space="preserve">Experience in contemporary clinical practice within a hospital </w:t>
            </w:r>
            <w:r w:rsidR="00D0269F">
              <w:t>and</w:t>
            </w:r>
            <w:r>
              <w:t xml:space="preserve"> exposure to quality and safety processes and systems.  </w:t>
            </w:r>
          </w:p>
        </w:tc>
      </w:tr>
      <w:tr w:rsidR="00D0269F" w:rsidRPr="00EA6D19" w14:paraId="30E580DD" w14:textId="77777777" w:rsidTr="00987BFC">
        <w:trPr>
          <w:cantSplit/>
        </w:trPr>
        <w:tc>
          <w:tcPr>
            <w:tcW w:w="2122" w:type="dxa"/>
          </w:tcPr>
          <w:p w14:paraId="7C230871" w14:textId="77777777" w:rsidR="00D0269F" w:rsidRDefault="00D0269F" w:rsidP="009872B8">
            <w:pPr>
              <w:pStyle w:val="Body"/>
              <w:rPr>
                <w:b/>
                <w:bCs/>
                <w:color w:val="17365D" w:themeColor="text2" w:themeShade="BF"/>
              </w:rPr>
            </w:pPr>
            <w:r>
              <w:rPr>
                <w:b/>
                <w:bCs/>
                <w:color w:val="17365D" w:themeColor="text2" w:themeShade="BF"/>
              </w:rPr>
              <w:t>Strategic Leadership</w:t>
            </w:r>
          </w:p>
        </w:tc>
        <w:tc>
          <w:tcPr>
            <w:tcW w:w="7166" w:type="dxa"/>
          </w:tcPr>
          <w:p w14:paraId="6707CA37" w14:textId="5412C19D" w:rsidR="00D0269F" w:rsidRPr="00471F44" w:rsidRDefault="00D0269F" w:rsidP="00D0269F">
            <w:pPr>
              <w:pStyle w:val="Body"/>
            </w:pPr>
            <w:r w:rsidRPr="00D0269F">
              <w:t xml:space="preserve">Experience </w:t>
            </w:r>
            <w:r>
              <w:t xml:space="preserve">in </w:t>
            </w:r>
            <w:r w:rsidRPr="00D0269F">
              <w:t>strategic thinking, planning</w:t>
            </w:r>
            <w:r>
              <w:t xml:space="preserve">, </w:t>
            </w:r>
            <w:r w:rsidRPr="00D0269F">
              <w:t>leadership, and high-level decision-making</w:t>
            </w:r>
            <w:r>
              <w:t xml:space="preserve">, including </w:t>
            </w:r>
            <w:r w:rsidRPr="00D0269F">
              <w:t>the development of strategic plans and achieving delivery of the goals and desired outcomes</w:t>
            </w:r>
            <w:r>
              <w:t xml:space="preserve">. </w:t>
            </w:r>
          </w:p>
        </w:tc>
      </w:tr>
    </w:tbl>
    <w:p w14:paraId="421009DC" w14:textId="77777777" w:rsidR="0065485E" w:rsidRDefault="0065485E" w:rsidP="00A6332D">
      <w:pPr>
        <w:pStyle w:val="DHHSmainsubheading"/>
        <w:spacing w:before="80"/>
        <w:rPr>
          <w:rFonts w:eastAsia="Times"/>
          <w:color w:val="auto"/>
          <w:sz w:val="21"/>
          <w:szCs w:val="21"/>
        </w:rPr>
      </w:pPr>
    </w:p>
    <w:p w14:paraId="3D8073C5" w14:textId="6749809D" w:rsidR="0065485E" w:rsidRDefault="0065485E">
      <w:pPr>
        <w:spacing w:after="0" w:line="240" w:lineRule="auto"/>
        <w:rPr>
          <w:rFonts w:eastAsia="Times"/>
          <w:szCs w:val="21"/>
        </w:rPr>
      </w:pPr>
      <w:r>
        <w:rPr>
          <w:rFonts w:eastAsia="Times"/>
          <w:szCs w:val="21"/>
        </w:rPr>
        <w:br w:type="page"/>
      </w:r>
    </w:p>
    <w:p w14:paraId="02A0DA7D" w14:textId="7F7CFF4F" w:rsidR="00A6655A" w:rsidRPr="00B57329" w:rsidRDefault="00A6655A" w:rsidP="00A6655A">
      <w:pPr>
        <w:pStyle w:val="Heading1"/>
      </w:pPr>
      <w:bookmarkStart w:id="59" w:name="_Toc149149808"/>
      <w:r>
        <w:lastRenderedPageBreak/>
        <w:t xml:space="preserve">Explaining </w:t>
      </w:r>
      <w:r w:rsidR="00224CEF">
        <w:t>B</w:t>
      </w:r>
      <w:r>
        <w:t xml:space="preserve">oard </w:t>
      </w:r>
      <w:r w:rsidR="00224CEF">
        <w:t>C</w:t>
      </w:r>
      <w:r>
        <w:t>apabilities</w:t>
      </w:r>
      <w:bookmarkEnd w:id="59"/>
      <w:r>
        <w:t xml:space="preserve"> </w:t>
      </w:r>
    </w:p>
    <w:p w14:paraId="6FEA9D23" w14:textId="61EEE6D8" w:rsidR="00A6655A" w:rsidRDefault="00A6655A" w:rsidP="00A6655A">
      <w:pPr>
        <w:pStyle w:val="DHHSmainsubheading"/>
        <w:spacing w:before="80"/>
        <w:rPr>
          <w:rFonts w:eastAsia="Times"/>
          <w:color w:val="auto"/>
          <w:sz w:val="21"/>
          <w:szCs w:val="21"/>
        </w:rPr>
      </w:pPr>
      <w:r>
        <w:rPr>
          <w:rFonts w:eastAsia="Times"/>
          <w:color w:val="auto"/>
          <w:sz w:val="21"/>
          <w:szCs w:val="21"/>
        </w:rPr>
        <w:t xml:space="preserve">Capabilities are </w:t>
      </w:r>
      <w:r w:rsidRPr="00E65053">
        <w:rPr>
          <w:rFonts w:eastAsia="Times"/>
          <w:color w:val="auto"/>
          <w:sz w:val="21"/>
          <w:szCs w:val="21"/>
        </w:rPr>
        <w:t>personal and professional knowledge, experience</w:t>
      </w:r>
      <w:r w:rsidR="00EB0D0E">
        <w:rPr>
          <w:rFonts w:eastAsia="Times"/>
          <w:color w:val="auto"/>
          <w:sz w:val="21"/>
          <w:szCs w:val="21"/>
        </w:rPr>
        <w:t>,</w:t>
      </w:r>
      <w:r w:rsidRPr="00E65053">
        <w:rPr>
          <w:rFonts w:eastAsia="Times"/>
          <w:color w:val="auto"/>
          <w:sz w:val="21"/>
          <w:szCs w:val="21"/>
        </w:rPr>
        <w:t xml:space="preserve"> and skills</w:t>
      </w:r>
      <w:r>
        <w:rPr>
          <w:rFonts w:eastAsia="Times"/>
          <w:color w:val="auto"/>
          <w:sz w:val="21"/>
          <w:szCs w:val="21"/>
        </w:rPr>
        <w:t>. T</w:t>
      </w:r>
      <w:r w:rsidRPr="00556670">
        <w:rPr>
          <w:rFonts w:eastAsia="Times"/>
          <w:color w:val="auto"/>
          <w:sz w:val="21"/>
          <w:szCs w:val="21"/>
        </w:rPr>
        <w:t xml:space="preserve">he department has </w:t>
      </w:r>
      <w:r>
        <w:rPr>
          <w:rFonts w:eastAsia="Times"/>
          <w:color w:val="auto"/>
          <w:sz w:val="21"/>
          <w:szCs w:val="21"/>
        </w:rPr>
        <w:t xml:space="preserve">defined some key </w:t>
      </w:r>
      <w:r w:rsidRPr="00556670">
        <w:rPr>
          <w:rFonts w:eastAsia="Times"/>
          <w:color w:val="auto"/>
          <w:sz w:val="21"/>
          <w:szCs w:val="21"/>
        </w:rPr>
        <w:t>capabilities</w:t>
      </w:r>
      <w:r>
        <w:rPr>
          <w:rFonts w:eastAsia="Times"/>
          <w:color w:val="auto"/>
          <w:sz w:val="21"/>
          <w:szCs w:val="21"/>
        </w:rPr>
        <w:t xml:space="preserve"> and </w:t>
      </w:r>
      <w:r w:rsidRPr="00556670">
        <w:rPr>
          <w:rFonts w:eastAsia="Times"/>
          <w:color w:val="auto"/>
          <w:sz w:val="21"/>
          <w:szCs w:val="21"/>
        </w:rPr>
        <w:t xml:space="preserve">grouped </w:t>
      </w:r>
      <w:r>
        <w:rPr>
          <w:rFonts w:eastAsia="Times"/>
          <w:color w:val="auto"/>
          <w:sz w:val="21"/>
          <w:szCs w:val="21"/>
        </w:rPr>
        <w:t xml:space="preserve">these </w:t>
      </w:r>
      <w:r w:rsidRPr="00556670">
        <w:rPr>
          <w:rFonts w:eastAsia="Times"/>
          <w:color w:val="auto"/>
          <w:sz w:val="21"/>
          <w:szCs w:val="21"/>
        </w:rPr>
        <w:t>into two tiers</w:t>
      </w:r>
      <w:r>
        <w:rPr>
          <w:rFonts w:eastAsia="Times"/>
          <w:color w:val="auto"/>
          <w:sz w:val="21"/>
          <w:szCs w:val="21"/>
        </w:rPr>
        <w:t>.</w:t>
      </w:r>
      <w:r w:rsidRPr="00556670">
        <w:rPr>
          <w:rFonts w:eastAsia="Times"/>
          <w:color w:val="auto"/>
          <w:sz w:val="21"/>
          <w:szCs w:val="21"/>
        </w:rPr>
        <w:t xml:space="preserve"> </w:t>
      </w:r>
      <w:r w:rsidRPr="00987BFC">
        <w:rPr>
          <w:rFonts w:eastAsia="Times"/>
          <w:color w:val="auto"/>
          <w:sz w:val="21"/>
          <w:szCs w:val="21"/>
        </w:rPr>
        <w:t xml:space="preserve">Tier 1 are necessary capabilities that must be present on each board. Tier 2 are important capabilities that are desirable for a board, and the extent of the requirement </w:t>
      </w:r>
      <w:r w:rsidR="00390161">
        <w:rPr>
          <w:rFonts w:eastAsia="Times"/>
          <w:color w:val="auto"/>
          <w:sz w:val="21"/>
          <w:szCs w:val="21"/>
        </w:rPr>
        <w:t>will</w:t>
      </w:r>
      <w:r w:rsidR="00390161" w:rsidRPr="00987BFC">
        <w:rPr>
          <w:rFonts w:eastAsia="Times"/>
          <w:color w:val="auto"/>
          <w:sz w:val="21"/>
          <w:szCs w:val="21"/>
        </w:rPr>
        <w:t xml:space="preserve"> </w:t>
      </w:r>
      <w:r w:rsidRPr="00987BFC">
        <w:rPr>
          <w:rFonts w:eastAsia="Times"/>
          <w:color w:val="auto"/>
          <w:sz w:val="21"/>
          <w:szCs w:val="21"/>
        </w:rPr>
        <w:t>depend on the strategic plan and direction of the entity.</w:t>
      </w:r>
    </w:p>
    <w:p w14:paraId="169B3C9C" w14:textId="77777777" w:rsidR="00A6655A" w:rsidRDefault="00A6655A" w:rsidP="00A6655A">
      <w:pPr>
        <w:pStyle w:val="DHHSmainsubheading"/>
        <w:spacing w:before="80"/>
        <w:rPr>
          <w:rFonts w:eastAsia="Times"/>
          <w:color w:val="auto"/>
          <w:sz w:val="21"/>
          <w:szCs w:val="21"/>
        </w:rPr>
      </w:pPr>
    </w:p>
    <w:tbl>
      <w:tblPr>
        <w:tblStyle w:val="TableGrid"/>
        <w:tblW w:w="5000" w:type="pct"/>
        <w:tblLook w:val="06A0" w:firstRow="1" w:lastRow="0" w:firstColumn="1" w:lastColumn="0" w:noHBand="1" w:noVBand="1"/>
      </w:tblPr>
      <w:tblGrid>
        <w:gridCol w:w="5097"/>
        <w:gridCol w:w="4191"/>
      </w:tblGrid>
      <w:tr w:rsidR="00457D82" w:rsidRPr="00160967" w14:paraId="1CCA52E6" w14:textId="77777777" w:rsidTr="00400FC6">
        <w:trPr>
          <w:tblHeader/>
        </w:trPr>
        <w:tc>
          <w:tcPr>
            <w:tcW w:w="2744" w:type="pct"/>
          </w:tcPr>
          <w:p w14:paraId="5C70DEA6" w14:textId="52AFBE01" w:rsidR="00A6655A" w:rsidRPr="00C064A6" w:rsidRDefault="00A6655A" w:rsidP="00224CEF">
            <w:pPr>
              <w:pStyle w:val="Tablecolhead"/>
              <w:rPr>
                <w:color w:val="auto"/>
                <w:szCs w:val="21"/>
              </w:rPr>
            </w:pPr>
            <w:r w:rsidRPr="00C064A6">
              <w:rPr>
                <w:color w:val="auto"/>
                <w:szCs w:val="21"/>
              </w:rPr>
              <w:t>Tier 1</w:t>
            </w:r>
            <w:r w:rsidR="00CF5299" w:rsidRPr="00C064A6">
              <w:rPr>
                <w:color w:val="auto"/>
                <w:szCs w:val="21"/>
              </w:rPr>
              <w:t>:</w:t>
            </w:r>
            <w:r w:rsidRPr="00C064A6">
              <w:rPr>
                <w:color w:val="auto"/>
                <w:szCs w:val="21"/>
              </w:rPr>
              <w:t xml:space="preserve"> </w:t>
            </w:r>
            <w:r w:rsidR="00F31D21" w:rsidRPr="00C064A6">
              <w:rPr>
                <w:color w:val="auto"/>
                <w:szCs w:val="21"/>
              </w:rPr>
              <w:t>Necessary capabilities</w:t>
            </w:r>
          </w:p>
        </w:tc>
        <w:tc>
          <w:tcPr>
            <w:tcW w:w="2256" w:type="pct"/>
          </w:tcPr>
          <w:p w14:paraId="711A660F" w14:textId="2F4AE10F" w:rsidR="00A6655A" w:rsidRPr="00C064A6" w:rsidRDefault="00A6655A" w:rsidP="00211062">
            <w:pPr>
              <w:pStyle w:val="Tablecolhead"/>
              <w:rPr>
                <w:color w:val="auto"/>
                <w:szCs w:val="21"/>
              </w:rPr>
            </w:pPr>
            <w:r w:rsidRPr="00C064A6">
              <w:rPr>
                <w:color w:val="auto"/>
                <w:szCs w:val="21"/>
              </w:rPr>
              <w:t>Tier 2</w:t>
            </w:r>
            <w:r w:rsidR="00CF5299" w:rsidRPr="00C064A6">
              <w:rPr>
                <w:color w:val="auto"/>
                <w:szCs w:val="21"/>
              </w:rPr>
              <w:t>:</w:t>
            </w:r>
            <w:r w:rsidR="00F31D21" w:rsidRPr="00C064A6">
              <w:rPr>
                <w:color w:val="auto"/>
                <w:szCs w:val="21"/>
              </w:rPr>
              <w:t xml:space="preserve"> Important capabilities</w:t>
            </w:r>
          </w:p>
        </w:tc>
      </w:tr>
      <w:tr w:rsidR="00457D82" w:rsidRPr="00160967" w14:paraId="36821B46" w14:textId="77777777" w:rsidTr="00400FC6">
        <w:tc>
          <w:tcPr>
            <w:tcW w:w="2744" w:type="pct"/>
          </w:tcPr>
          <w:p w14:paraId="18DB085D" w14:textId="7D388321" w:rsidR="00A6655A" w:rsidRPr="00C064A6" w:rsidRDefault="00A6655A"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 xml:space="preserve">Audit and </w:t>
            </w:r>
            <w:r w:rsidR="00002E4D" w:rsidRPr="00C064A6">
              <w:rPr>
                <w:rFonts w:eastAsia="Times"/>
                <w:color w:val="auto"/>
                <w:sz w:val="21"/>
                <w:szCs w:val="21"/>
              </w:rPr>
              <w:t>r</w:t>
            </w:r>
            <w:r w:rsidRPr="00C064A6">
              <w:rPr>
                <w:rFonts w:eastAsia="Times"/>
                <w:color w:val="auto"/>
                <w:sz w:val="21"/>
                <w:szCs w:val="21"/>
              </w:rPr>
              <w:t xml:space="preserve">isk </w:t>
            </w:r>
            <w:r w:rsidR="00002E4D" w:rsidRPr="00C064A6">
              <w:rPr>
                <w:rFonts w:eastAsia="Times"/>
                <w:color w:val="auto"/>
                <w:sz w:val="21"/>
                <w:szCs w:val="21"/>
              </w:rPr>
              <w:t>m</w:t>
            </w:r>
            <w:r w:rsidRPr="00C064A6">
              <w:rPr>
                <w:rFonts w:eastAsia="Times"/>
                <w:color w:val="auto"/>
                <w:sz w:val="21"/>
                <w:szCs w:val="21"/>
              </w:rPr>
              <w:t>anagement</w:t>
            </w:r>
          </w:p>
          <w:p w14:paraId="25DCA437" w14:textId="1E39AA09" w:rsidR="00A6655A" w:rsidRPr="00C064A6" w:rsidRDefault="00A6655A"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 xml:space="preserve">Clinical </w:t>
            </w:r>
            <w:r w:rsidR="00002E4D" w:rsidRPr="00C064A6">
              <w:rPr>
                <w:rFonts w:eastAsia="Times"/>
                <w:color w:val="auto"/>
                <w:sz w:val="21"/>
                <w:szCs w:val="21"/>
              </w:rPr>
              <w:t>g</w:t>
            </w:r>
            <w:r w:rsidRPr="00C064A6">
              <w:rPr>
                <w:rFonts w:eastAsia="Times"/>
                <w:color w:val="auto"/>
                <w:sz w:val="21"/>
                <w:szCs w:val="21"/>
              </w:rPr>
              <w:t>overnance</w:t>
            </w:r>
          </w:p>
          <w:p w14:paraId="1C948FF3" w14:textId="318E57E1" w:rsidR="00A6655A" w:rsidRPr="00C064A6" w:rsidRDefault="00A6655A"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 xml:space="preserve">Corporate </w:t>
            </w:r>
            <w:r w:rsidR="00002E4D" w:rsidRPr="00C064A6">
              <w:rPr>
                <w:rFonts w:eastAsia="Times"/>
                <w:color w:val="auto"/>
                <w:sz w:val="21"/>
                <w:szCs w:val="21"/>
              </w:rPr>
              <w:t>g</w:t>
            </w:r>
            <w:r w:rsidRPr="00C064A6">
              <w:rPr>
                <w:rFonts w:eastAsia="Times"/>
                <w:color w:val="auto"/>
                <w:sz w:val="21"/>
                <w:szCs w:val="21"/>
              </w:rPr>
              <w:t>overnance</w:t>
            </w:r>
          </w:p>
          <w:p w14:paraId="1AA6D787" w14:textId="7AA4B2C8" w:rsidR="00BA3427" w:rsidRPr="00C064A6" w:rsidRDefault="00457D82"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 xml:space="preserve">Financial </w:t>
            </w:r>
            <w:r w:rsidR="00002E4D" w:rsidRPr="00C064A6">
              <w:rPr>
                <w:rFonts w:eastAsia="Times"/>
                <w:color w:val="auto"/>
                <w:sz w:val="21"/>
                <w:szCs w:val="21"/>
              </w:rPr>
              <w:t>m</w:t>
            </w:r>
            <w:r w:rsidRPr="00C064A6">
              <w:rPr>
                <w:rFonts w:eastAsia="Times"/>
                <w:color w:val="auto"/>
                <w:sz w:val="21"/>
                <w:szCs w:val="21"/>
              </w:rPr>
              <w:t xml:space="preserve">anagement </w:t>
            </w:r>
            <w:r w:rsidR="008F69C4" w:rsidRPr="00C064A6">
              <w:rPr>
                <w:rFonts w:eastAsia="Times"/>
                <w:color w:val="auto"/>
                <w:sz w:val="21"/>
                <w:szCs w:val="21"/>
              </w:rPr>
              <w:t>and</w:t>
            </w:r>
            <w:r w:rsidRPr="00C064A6">
              <w:rPr>
                <w:rFonts w:eastAsia="Times"/>
                <w:color w:val="auto"/>
                <w:sz w:val="21"/>
                <w:szCs w:val="21"/>
              </w:rPr>
              <w:t xml:space="preserve"> </w:t>
            </w:r>
            <w:r w:rsidR="00002E4D" w:rsidRPr="00C064A6">
              <w:rPr>
                <w:rFonts w:eastAsia="Times"/>
                <w:color w:val="auto"/>
                <w:sz w:val="21"/>
                <w:szCs w:val="21"/>
              </w:rPr>
              <w:t>a</w:t>
            </w:r>
            <w:r w:rsidRPr="00C064A6">
              <w:rPr>
                <w:rFonts w:eastAsia="Times"/>
                <w:color w:val="auto"/>
                <w:sz w:val="21"/>
                <w:szCs w:val="21"/>
              </w:rPr>
              <w:t xml:space="preserve">ccounting </w:t>
            </w:r>
          </w:p>
          <w:p w14:paraId="5EE0D1E7" w14:textId="10ADCE78" w:rsidR="00A6655A" w:rsidRPr="00C064A6" w:rsidRDefault="00DD1DEC"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Law</w:t>
            </w:r>
          </w:p>
          <w:p w14:paraId="2524CE72" w14:textId="1B6BA02A" w:rsidR="00DD1DEC" w:rsidRPr="00C064A6" w:rsidRDefault="00DD1DEC"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 xml:space="preserve">Patient (user) </w:t>
            </w:r>
            <w:r w:rsidR="00956CD5" w:rsidRPr="00C064A6">
              <w:rPr>
                <w:rFonts w:eastAsia="Times"/>
                <w:color w:val="auto"/>
                <w:sz w:val="21"/>
                <w:szCs w:val="21"/>
              </w:rPr>
              <w:t xml:space="preserve">experience </w:t>
            </w:r>
            <w:r w:rsidR="008F69C4" w:rsidRPr="00C064A6">
              <w:rPr>
                <w:rFonts w:eastAsia="Times"/>
                <w:color w:val="auto"/>
                <w:sz w:val="21"/>
                <w:szCs w:val="21"/>
              </w:rPr>
              <w:t>and</w:t>
            </w:r>
            <w:r w:rsidR="00956CD5" w:rsidRPr="00C064A6">
              <w:rPr>
                <w:rFonts w:eastAsia="Times"/>
                <w:color w:val="auto"/>
                <w:sz w:val="21"/>
                <w:szCs w:val="21"/>
              </w:rPr>
              <w:t xml:space="preserve"> consumer engagement</w:t>
            </w:r>
          </w:p>
          <w:p w14:paraId="500583E1" w14:textId="3DCB5654" w:rsidR="00002E4D" w:rsidRPr="00C064A6" w:rsidRDefault="00002E4D"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Registered clinician</w:t>
            </w:r>
          </w:p>
          <w:p w14:paraId="0A631913" w14:textId="771B95A6" w:rsidR="00002E4D" w:rsidRPr="00C064A6" w:rsidRDefault="00002E4D" w:rsidP="00400FC6">
            <w:pPr>
              <w:pStyle w:val="DHHSmainsubheading"/>
              <w:numPr>
                <w:ilvl w:val="0"/>
                <w:numId w:val="27"/>
              </w:numPr>
              <w:spacing w:before="40"/>
              <w:ind w:left="449" w:hanging="283"/>
              <w:rPr>
                <w:rFonts w:eastAsia="Times"/>
                <w:color w:val="auto"/>
                <w:sz w:val="21"/>
                <w:szCs w:val="21"/>
              </w:rPr>
            </w:pPr>
            <w:r w:rsidRPr="00C064A6">
              <w:rPr>
                <w:rFonts w:eastAsia="Times"/>
                <w:color w:val="auto"/>
                <w:sz w:val="21"/>
                <w:szCs w:val="21"/>
              </w:rPr>
              <w:t>Strategic leadership</w:t>
            </w:r>
          </w:p>
        </w:tc>
        <w:tc>
          <w:tcPr>
            <w:tcW w:w="2256" w:type="pct"/>
          </w:tcPr>
          <w:p w14:paraId="52D72A73" w14:textId="6E4858F9" w:rsidR="00A6655A" w:rsidRPr="00C064A6" w:rsidRDefault="00E5623E" w:rsidP="00400FC6">
            <w:pPr>
              <w:pStyle w:val="DHHSmainsubheading"/>
              <w:numPr>
                <w:ilvl w:val="0"/>
                <w:numId w:val="27"/>
              </w:numPr>
              <w:spacing w:before="40"/>
              <w:ind w:left="314" w:hanging="283"/>
              <w:rPr>
                <w:rFonts w:eastAsia="Times"/>
                <w:color w:val="auto"/>
                <w:sz w:val="21"/>
                <w:szCs w:val="21"/>
              </w:rPr>
            </w:pPr>
            <w:r w:rsidRPr="00C064A6">
              <w:rPr>
                <w:rFonts w:eastAsia="Times"/>
                <w:color w:val="auto"/>
                <w:sz w:val="21"/>
                <w:szCs w:val="21"/>
              </w:rPr>
              <w:t>Asset management</w:t>
            </w:r>
          </w:p>
          <w:p w14:paraId="1C245AF4" w14:textId="0AEC2854" w:rsidR="00E5623E" w:rsidRPr="00C064A6" w:rsidRDefault="00E5623E" w:rsidP="00400FC6">
            <w:pPr>
              <w:pStyle w:val="DHHSmainsubheading"/>
              <w:numPr>
                <w:ilvl w:val="0"/>
                <w:numId w:val="27"/>
              </w:numPr>
              <w:spacing w:before="40"/>
              <w:ind w:left="314" w:hanging="283"/>
              <w:rPr>
                <w:rFonts w:eastAsia="Times"/>
                <w:color w:val="auto"/>
                <w:sz w:val="21"/>
                <w:szCs w:val="21"/>
              </w:rPr>
            </w:pPr>
            <w:r w:rsidRPr="00C064A6">
              <w:rPr>
                <w:rFonts w:eastAsia="Times"/>
                <w:color w:val="auto"/>
                <w:sz w:val="21"/>
                <w:szCs w:val="21"/>
              </w:rPr>
              <w:t xml:space="preserve">Communications </w:t>
            </w:r>
            <w:r w:rsidR="008F69C4" w:rsidRPr="00C064A6">
              <w:rPr>
                <w:rFonts w:eastAsia="Times"/>
                <w:color w:val="auto"/>
                <w:sz w:val="21"/>
                <w:szCs w:val="21"/>
              </w:rPr>
              <w:t>and</w:t>
            </w:r>
            <w:r w:rsidRPr="00C064A6">
              <w:rPr>
                <w:rFonts w:eastAsia="Times"/>
                <w:color w:val="auto"/>
                <w:sz w:val="21"/>
                <w:szCs w:val="21"/>
              </w:rPr>
              <w:t xml:space="preserve"> stakeholder engagement</w:t>
            </w:r>
          </w:p>
          <w:p w14:paraId="38212398" w14:textId="79EE518B" w:rsidR="009B0B67" w:rsidRPr="00C064A6" w:rsidRDefault="009B0B67" w:rsidP="00400FC6">
            <w:pPr>
              <w:pStyle w:val="DHHSmainsubheading"/>
              <w:numPr>
                <w:ilvl w:val="0"/>
                <w:numId w:val="27"/>
              </w:numPr>
              <w:spacing w:before="40"/>
              <w:ind w:left="314" w:hanging="283"/>
              <w:rPr>
                <w:rFonts w:eastAsia="Times"/>
                <w:color w:val="auto"/>
                <w:sz w:val="21"/>
                <w:szCs w:val="21"/>
              </w:rPr>
            </w:pPr>
            <w:r w:rsidRPr="00C064A6">
              <w:rPr>
                <w:rFonts w:eastAsia="Times"/>
                <w:color w:val="auto"/>
                <w:sz w:val="21"/>
                <w:szCs w:val="21"/>
              </w:rPr>
              <w:t>Community services</w:t>
            </w:r>
          </w:p>
          <w:p w14:paraId="2660E783" w14:textId="72CF5EBE" w:rsidR="009B0B67" w:rsidRPr="00C064A6" w:rsidRDefault="009B0B67" w:rsidP="00400FC6">
            <w:pPr>
              <w:pStyle w:val="DHHSmainsubheading"/>
              <w:numPr>
                <w:ilvl w:val="0"/>
                <w:numId w:val="27"/>
              </w:numPr>
              <w:spacing w:before="40"/>
              <w:ind w:left="314" w:hanging="283"/>
              <w:rPr>
                <w:rFonts w:eastAsia="Times"/>
                <w:color w:val="auto"/>
                <w:sz w:val="21"/>
                <w:szCs w:val="21"/>
              </w:rPr>
            </w:pPr>
            <w:r w:rsidRPr="00C064A6">
              <w:rPr>
                <w:rFonts w:eastAsia="Times"/>
                <w:color w:val="auto"/>
                <w:sz w:val="21"/>
                <w:szCs w:val="21"/>
              </w:rPr>
              <w:t>Human resource management</w:t>
            </w:r>
          </w:p>
          <w:p w14:paraId="16C59F6F" w14:textId="110E012A" w:rsidR="009B0B67" w:rsidRPr="00C064A6" w:rsidRDefault="009B0B67" w:rsidP="00400FC6">
            <w:pPr>
              <w:pStyle w:val="DHHSmainsubheading"/>
              <w:numPr>
                <w:ilvl w:val="0"/>
                <w:numId w:val="27"/>
              </w:numPr>
              <w:spacing w:before="40"/>
              <w:ind w:left="314" w:hanging="283"/>
              <w:rPr>
                <w:rFonts w:eastAsia="Times"/>
                <w:sz w:val="21"/>
                <w:szCs w:val="21"/>
              </w:rPr>
            </w:pPr>
            <w:r w:rsidRPr="00C064A6">
              <w:rPr>
                <w:rFonts w:eastAsia="Times"/>
                <w:color w:val="auto"/>
                <w:sz w:val="21"/>
                <w:szCs w:val="21"/>
              </w:rPr>
              <w:t>Information</w:t>
            </w:r>
            <w:r w:rsidR="005B6636">
              <w:rPr>
                <w:rFonts w:eastAsia="Times"/>
                <w:color w:val="auto"/>
                <w:sz w:val="21"/>
                <w:szCs w:val="21"/>
              </w:rPr>
              <w:t xml:space="preserve"> and </w:t>
            </w:r>
            <w:r w:rsidR="008F69C4" w:rsidRPr="00C064A6">
              <w:rPr>
                <w:rFonts w:eastAsia="Times"/>
                <w:color w:val="auto"/>
                <w:sz w:val="21"/>
                <w:szCs w:val="21"/>
              </w:rPr>
              <w:t>c</w:t>
            </w:r>
            <w:r w:rsidRPr="00C064A6">
              <w:rPr>
                <w:rFonts w:eastAsia="Times"/>
                <w:color w:val="auto"/>
                <w:sz w:val="21"/>
                <w:szCs w:val="21"/>
              </w:rPr>
              <w:t>ommunications</w:t>
            </w:r>
            <w:r w:rsidR="00F06EB6">
              <w:rPr>
                <w:rFonts w:eastAsia="Times"/>
                <w:color w:val="auto"/>
                <w:sz w:val="21"/>
                <w:szCs w:val="21"/>
              </w:rPr>
              <w:t xml:space="preserve"> techn</w:t>
            </w:r>
            <w:r w:rsidR="005B6636">
              <w:rPr>
                <w:rFonts w:eastAsia="Times"/>
                <w:color w:val="auto"/>
                <w:sz w:val="21"/>
                <w:szCs w:val="21"/>
              </w:rPr>
              <w:t>ology</w:t>
            </w:r>
            <w:r w:rsidRPr="00C064A6">
              <w:rPr>
                <w:rFonts w:eastAsia="Times"/>
                <w:color w:val="auto"/>
                <w:sz w:val="21"/>
                <w:szCs w:val="21"/>
              </w:rPr>
              <w:t xml:space="preserve"> </w:t>
            </w:r>
            <w:r w:rsidR="00A04015" w:rsidRPr="00C064A6">
              <w:rPr>
                <w:rFonts w:eastAsia="Times"/>
                <w:color w:val="auto"/>
                <w:sz w:val="21"/>
                <w:szCs w:val="21"/>
              </w:rPr>
              <w:t xml:space="preserve">(ICT) </w:t>
            </w:r>
            <w:r w:rsidRPr="00C064A6">
              <w:rPr>
                <w:rFonts w:eastAsia="Times"/>
                <w:color w:val="auto"/>
                <w:sz w:val="21"/>
                <w:szCs w:val="21"/>
              </w:rPr>
              <w:t>strategy</w:t>
            </w:r>
            <w:r w:rsidR="008F69C4" w:rsidRPr="00C064A6">
              <w:rPr>
                <w:rFonts w:eastAsia="Times"/>
                <w:color w:val="auto"/>
                <w:sz w:val="21"/>
                <w:szCs w:val="21"/>
              </w:rPr>
              <w:t>,</w:t>
            </w:r>
            <w:r w:rsidR="00166482" w:rsidRPr="00C064A6">
              <w:rPr>
                <w:rFonts w:eastAsia="Times"/>
                <w:color w:val="auto"/>
                <w:sz w:val="21"/>
                <w:szCs w:val="21"/>
              </w:rPr>
              <w:t xml:space="preserve"> </w:t>
            </w:r>
            <w:r w:rsidR="008F69C4" w:rsidRPr="00C064A6">
              <w:rPr>
                <w:rFonts w:eastAsia="Times"/>
                <w:color w:val="auto"/>
                <w:sz w:val="21"/>
                <w:szCs w:val="21"/>
              </w:rPr>
              <w:t>and</w:t>
            </w:r>
            <w:r w:rsidR="00166482" w:rsidRPr="00C064A6">
              <w:rPr>
                <w:rFonts w:eastAsia="Times"/>
                <w:color w:val="auto"/>
                <w:sz w:val="21"/>
                <w:szCs w:val="21"/>
              </w:rPr>
              <w:t xml:space="preserve"> governance</w:t>
            </w:r>
          </w:p>
        </w:tc>
      </w:tr>
    </w:tbl>
    <w:p w14:paraId="385D1DE1" w14:textId="77777777" w:rsidR="00A6655A" w:rsidRDefault="00A6655A" w:rsidP="00A6655A">
      <w:pPr>
        <w:pStyle w:val="DHHSmainsubheading"/>
        <w:spacing w:before="80"/>
        <w:rPr>
          <w:rFonts w:eastAsia="Times"/>
          <w:color w:val="auto"/>
          <w:sz w:val="21"/>
          <w:szCs w:val="21"/>
        </w:rPr>
      </w:pPr>
    </w:p>
    <w:p w14:paraId="03E5364D" w14:textId="13BC8C31" w:rsidR="00A6655A" w:rsidRDefault="00A6655A" w:rsidP="00A6655A">
      <w:pPr>
        <w:pStyle w:val="DHHSmainsubheading"/>
        <w:spacing w:before="80"/>
        <w:rPr>
          <w:rFonts w:eastAsia="Times"/>
          <w:color w:val="auto"/>
          <w:sz w:val="21"/>
          <w:szCs w:val="21"/>
        </w:rPr>
      </w:pPr>
      <w:r w:rsidRPr="00A35916">
        <w:rPr>
          <w:rFonts w:eastAsia="Times"/>
          <w:color w:val="auto"/>
          <w:sz w:val="21"/>
          <w:szCs w:val="21"/>
        </w:rPr>
        <w:t xml:space="preserve">Each capability </w:t>
      </w:r>
      <w:r>
        <w:rPr>
          <w:rFonts w:eastAsia="Times"/>
          <w:color w:val="auto"/>
          <w:sz w:val="21"/>
          <w:szCs w:val="21"/>
        </w:rPr>
        <w:t xml:space="preserve">is categorised into three levels – </w:t>
      </w:r>
      <w:r w:rsidRPr="00A35916">
        <w:rPr>
          <w:rFonts w:eastAsia="Times"/>
          <w:color w:val="auto"/>
          <w:sz w:val="21"/>
          <w:szCs w:val="21"/>
        </w:rPr>
        <w:t>foundational</w:t>
      </w:r>
      <w:r>
        <w:rPr>
          <w:rFonts w:eastAsia="Times"/>
          <w:color w:val="auto"/>
          <w:sz w:val="21"/>
          <w:szCs w:val="21"/>
        </w:rPr>
        <w:t xml:space="preserve">, proficient, and </w:t>
      </w:r>
      <w:r w:rsidRPr="00A35916">
        <w:rPr>
          <w:rFonts w:eastAsia="Times"/>
          <w:color w:val="auto"/>
          <w:sz w:val="21"/>
          <w:szCs w:val="21"/>
        </w:rPr>
        <w:t xml:space="preserve">advanced. A description </w:t>
      </w:r>
      <w:r>
        <w:rPr>
          <w:rFonts w:eastAsia="Times"/>
          <w:color w:val="auto"/>
          <w:sz w:val="21"/>
          <w:szCs w:val="21"/>
        </w:rPr>
        <w:t>of each level is</w:t>
      </w:r>
      <w:r w:rsidRPr="00A35916">
        <w:rPr>
          <w:rFonts w:eastAsia="Times"/>
          <w:color w:val="auto"/>
          <w:sz w:val="21"/>
          <w:szCs w:val="21"/>
        </w:rPr>
        <w:t xml:space="preserve"> provided </w:t>
      </w:r>
      <w:r>
        <w:rPr>
          <w:rFonts w:eastAsia="Times"/>
          <w:color w:val="auto"/>
          <w:sz w:val="21"/>
          <w:szCs w:val="21"/>
        </w:rPr>
        <w:t>for</w:t>
      </w:r>
      <w:r w:rsidRPr="00A35916">
        <w:rPr>
          <w:rFonts w:eastAsia="Times"/>
          <w:color w:val="auto"/>
          <w:sz w:val="21"/>
          <w:szCs w:val="21"/>
        </w:rPr>
        <w:t xml:space="preserve"> each capability. </w:t>
      </w:r>
      <w:r w:rsidRPr="002A2141">
        <w:rPr>
          <w:rFonts w:eastAsia="Times"/>
          <w:color w:val="auto"/>
          <w:sz w:val="21"/>
          <w:szCs w:val="21"/>
        </w:rPr>
        <w:t xml:space="preserve">All board directors should demonstrate that they meet foundational level across each of their </w:t>
      </w:r>
      <w:r>
        <w:rPr>
          <w:rFonts w:eastAsia="Times"/>
          <w:color w:val="auto"/>
          <w:sz w:val="21"/>
          <w:szCs w:val="21"/>
        </w:rPr>
        <w:t xml:space="preserve">nominated </w:t>
      </w:r>
      <w:r w:rsidRPr="002A2141">
        <w:rPr>
          <w:rFonts w:eastAsia="Times"/>
          <w:color w:val="auto"/>
          <w:sz w:val="21"/>
          <w:szCs w:val="21"/>
        </w:rPr>
        <w:t>capabilities within their first year of appointment. Should a director not meet foundational level, the department would encourage a conversation with the board chair to discuss development opportunities to support the director to achieve the required minimum level.</w:t>
      </w:r>
      <w:r>
        <w:rPr>
          <w:rFonts w:eastAsia="Times"/>
          <w:color w:val="auto"/>
          <w:sz w:val="21"/>
          <w:szCs w:val="21"/>
        </w:rPr>
        <w:t xml:space="preserve"> </w:t>
      </w:r>
      <w:r w:rsidRPr="00556670">
        <w:rPr>
          <w:rFonts w:eastAsia="Times"/>
          <w:color w:val="auto"/>
          <w:sz w:val="21"/>
          <w:szCs w:val="21"/>
        </w:rPr>
        <w:t>Th</w:t>
      </w:r>
      <w:r>
        <w:rPr>
          <w:rFonts w:eastAsia="Times"/>
          <w:color w:val="auto"/>
          <w:sz w:val="21"/>
          <w:szCs w:val="21"/>
        </w:rPr>
        <w:t>e table below outlines</w:t>
      </w:r>
      <w:r w:rsidRPr="00556670">
        <w:rPr>
          <w:rFonts w:eastAsia="Times"/>
          <w:color w:val="auto"/>
          <w:sz w:val="21"/>
          <w:szCs w:val="21"/>
        </w:rPr>
        <w:t xml:space="preserve"> </w:t>
      </w:r>
      <w:r>
        <w:rPr>
          <w:rFonts w:eastAsia="Times"/>
          <w:color w:val="auto"/>
          <w:sz w:val="21"/>
          <w:szCs w:val="21"/>
        </w:rPr>
        <w:t>how</w:t>
      </w:r>
      <w:r w:rsidRPr="00556670">
        <w:rPr>
          <w:rFonts w:eastAsia="Times"/>
          <w:color w:val="auto"/>
          <w:sz w:val="21"/>
          <w:szCs w:val="21"/>
        </w:rPr>
        <w:t xml:space="preserve"> </w:t>
      </w:r>
      <w:r>
        <w:rPr>
          <w:rFonts w:eastAsia="Times"/>
          <w:color w:val="auto"/>
          <w:sz w:val="21"/>
          <w:szCs w:val="21"/>
        </w:rPr>
        <w:t>each capability</w:t>
      </w:r>
      <w:r w:rsidRPr="00556670">
        <w:rPr>
          <w:rFonts w:eastAsia="Times"/>
          <w:color w:val="auto"/>
          <w:sz w:val="21"/>
          <w:szCs w:val="21"/>
        </w:rPr>
        <w:t xml:space="preserve"> </w:t>
      </w:r>
      <w:r>
        <w:rPr>
          <w:rFonts w:eastAsia="Times"/>
          <w:color w:val="auto"/>
          <w:sz w:val="21"/>
          <w:szCs w:val="21"/>
        </w:rPr>
        <w:t>is structured in the document</w:t>
      </w:r>
      <w:r w:rsidRPr="00556670">
        <w:rPr>
          <w:rFonts w:eastAsia="Times"/>
          <w:color w:val="auto"/>
          <w:sz w:val="21"/>
          <w:szCs w:val="21"/>
        </w:rPr>
        <w:t xml:space="preserve">. </w:t>
      </w:r>
    </w:p>
    <w:p w14:paraId="0B60CC3E" w14:textId="77777777" w:rsidR="00A6655A" w:rsidRDefault="00A6655A" w:rsidP="00A6655A">
      <w:pPr>
        <w:pStyle w:val="DHHSmainsubheading"/>
        <w:spacing w:before="80" w:after="120"/>
        <w:jc w:val="both"/>
        <w:rPr>
          <w:rFonts w:eastAsia="Times"/>
          <w:color w:val="auto"/>
          <w:sz w:val="21"/>
          <w:szCs w:val="21"/>
        </w:rPr>
      </w:pPr>
    </w:p>
    <w:tbl>
      <w:tblPr>
        <w:tblStyle w:val="TableGrid"/>
        <w:tblW w:w="5000" w:type="pct"/>
        <w:tblLook w:val="06A0" w:firstRow="1" w:lastRow="0" w:firstColumn="1" w:lastColumn="0" w:noHBand="1" w:noVBand="1"/>
      </w:tblPr>
      <w:tblGrid>
        <w:gridCol w:w="1981"/>
        <w:gridCol w:w="2268"/>
        <w:gridCol w:w="2550"/>
        <w:gridCol w:w="2489"/>
      </w:tblGrid>
      <w:tr w:rsidR="00A6655A" w14:paraId="79428475" w14:textId="77777777" w:rsidTr="00987BFC">
        <w:trPr>
          <w:tblHeader/>
        </w:trPr>
        <w:tc>
          <w:tcPr>
            <w:tcW w:w="1066" w:type="pct"/>
          </w:tcPr>
          <w:p w14:paraId="1B8816B4" w14:textId="434D9202" w:rsidR="00A6655A" w:rsidRPr="005C252D" w:rsidRDefault="00BA3427" w:rsidP="00224CEF">
            <w:pPr>
              <w:pStyle w:val="Tablecolhead"/>
              <w:rPr>
                <w:sz w:val="24"/>
                <w:szCs w:val="24"/>
              </w:rPr>
            </w:pPr>
            <w:r>
              <w:rPr>
                <w:sz w:val="24"/>
                <w:szCs w:val="24"/>
              </w:rPr>
              <w:t>Description</w:t>
            </w:r>
            <w:r w:rsidR="00A6655A" w:rsidRPr="005C252D">
              <w:rPr>
                <w:sz w:val="24"/>
                <w:szCs w:val="24"/>
              </w:rPr>
              <w:t xml:space="preserve"> </w:t>
            </w:r>
          </w:p>
        </w:tc>
        <w:tc>
          <w:tcPr>
            <w:tcW w:w="1221" w:type="pct"/>
          </w:tcPr>
          <w:p w14:paraId="4EDBC95D" w14:textId="77777777" w:rsidR="00A6655A" w:rsidRPr="005C252D" w:rsidRDefault="00A6655A" w:rsidP="00211062">
            <w:pPr>
              <w:pStyle w:val="Tablecolhead"/>
              <w:rPr>
                <w:sz w:val="24"/>
                <w:szCs w:val="24"/>
              </w:rPr>
            </w:pPr>
            <w:r w:rsidRPr="005C252D">
              <w:rPr>
                <w:sz w:val="24"/>
                <w:szCs w:val="24"/>
              </w:rPr>
              <w:t>Foundational</w:t>
            </w:r>
          </w:p>
        </w:tc>
        <w:tc>
          <w:tcPr>
            <w:tcW w:w="1373" w:type="pct"/>
          </w:tcPr>
          <w:p w14:paraId="60C8C3AF" w14:textId="77777777" w:rsidR="00A6655A" w:rsidRPr="005C252D" w:rsidRDefault="00A6655A" w:rsidP="00211062">
            <w:pPr>
              <w:pStyle w:val="Tablecolhead"/>
              <w:rPr>
                <w:sz w:val="24"/>
                <w:szCs w:val="24"/>
              </w:rPr>
            </w:pPr>
            <w:r w:rsidRPr="005C252D">
              <w:rPr>
                <w:sz w:val="24"/>
                <w:szCs w:val="24"/>
              </w:rPr>
              <w:t>Proficient</w:t>
            </w:r>
          </w:p>
        </w:tc>
        <w:tc>
          <w:tcPr>
            <w:tcW w:w="1340" w:type="pct"/>
          </w:tcPr>
          <w:p w14:paraId="1107F4AE" w14:textId="77777777" w:rsidR="00A6655A" w:rsidRPr="005C252D" w:rsidRDefault="00A6655A" w:rsidP="00211062">
            <w:pPr>
              <w:pStyle w:val="Tablecolhead"/>
              <w:rPr>
                <w:sz w:val="24"/>
                <w:szCs w:val="24"/>
              </w:rPr>
            </w:pPr>
            <w:r w:rsidRPr="005C252D">
              <w:rPr>
                <w:sz w:val="24"/>
                <w:szCs w:val="24"/>
              </w:rPr>
              <w:t>Advanced</w:t>
            </w:r>
          </w:p>
        </w:tc>
      </w:tr>
      <w:tr w:rsidR="00A6655A" w:rsidRPr="00556670" w14:paraId="2A5F82BC" w14:textId="77777777" w:rsidTr="00987BFC">
        <w:tc>
          <w:tcPr>
            <w:tcW w:w="1066" w:type="pct"/>
          </w:tcPr>
          <w:p w14:paraId="07E08720" w14:textId="3162B96A" w:rsidR="00A6655A" w:rsidRPr="00C064A6" w:rsidRDefault="00A6655A" w:rsidP="00C064A6">
            <w:pPr>
              <w:spacing w:before="80"/>
              <w:rPr>
                <w:rFonts w:cs="Arial"/>
                <w:szCs w:val="21"/>
              </w:rPr>
            </w:pPr>
            <w:r w:rsidRPr="00C064A6">
              <w:rPr>
                <w:rFonts w:cs="Arial"/>
                <w:szCs w:val="21"/>
              </w:rPr>
              <w:t xml:space="preserve">Each definition provides information regarding relevant knowledge, </w:t>
            </w:r>
            <w:r w:rsidR="00645A82" w:rsidRPr="00C064A6">
              <w:rPr>
                <w:rFonts w:cs="Arial"/>
                <w:szCs w:val="21"/>
              </w:rPr>
              <w:t>experience,</w:t>
            </w:r>
            <w:r w:rsidRPr="00C064A6">
              <w:rPr>
                <w:rFonts w:cs="Arial"/>
                <w:szCs w:val="21"/>
              </w:rPr>
              <w:t xml:space="preserve"> and skills necessary to meet the three levels of proficiency. </w:t>
            </w:r>
          </w:p>
          <w:p w14:paraId="4BAC8B99" w14:textId="77777777" w:rsidR="00A6655A" w:rsidRPr="00C16F77" w:rsidRDefault="00A6655A" w:rsidP="00987BFC">
            <w:pPr>
              <w:pStyle w:val="DHHSmainsubheading"/>
              <w:spacing w:before="80" w:after="120"/>
              <w:rPr>
                <w:rFonts w:eastAsia="Times"/>
                <w:color w:val="auto"/>
                <w:sz w:val="21"/>
                <w:szCs w:val="21"/>
              </w:rPr>
            </w:pPr>
          </w:p>
        </w:tc>
        <w:tc>
          <w:tcPr>
            <w:tcW w:w="1221" w:type="pct"/>
          </w:tcPr>
          <w:p w14:paraId="35745688" w14:textId="3B699BC5" w:rsidR="00A6655A" w:rsidRDefault="00A6655A" w:rsidP="00A6655A">
            <w:pPr>
              <w:spacing w:before="80"/>
              <w:rPr>
                <w:rFonts w:cs="Arial"/>
                <w:szCs w:val="21"/>
              </w:rPr>
            </w:pPr>
            <w:r w:rsidRPr="00556670">
              <w:rPr>
                <w:rFonts w:cs="Arial"/>
                <w:szCs w:val="21"/>
              </w:rPr>
              <w:t xml:space="preserve">The foundational category </w:t>
            </w:r>
            <w:r>
              <w:rPr>
                <w:rFonts w:cs="Arial"/>
                <w:szCs w:val="21"/>
              </w:rPr>
              <w:t>outlines</w:t>
            </w:r>
            <w:r w:rsidRPr="00556670">
              <w:rPr>
                <w:rFonts w:cs="Arial"/>
                <w:szCs w:val="21"/>
              </w:rPr>
              <w:t xml:space="preserve"> the minimum </w:t>
            </w:r>
            <w:r>
              <w:rPr>
                <w:rFonts w:cs="Arial"/>
                <w:szCs w:val="21"/>
              </w:rPr>
              <w:t>level</w:t>
            </w:r>
            <w:r w:rsidRPr="00556670">
              <w:rPr>
                <w:rFonts w:cs="Arial"/>
                <w:szCs w:val="21"/>
              </w:rPr>
              <w:t xml:space="preserve"> f</w:t>
            </w:r>
            <w:r>
              <w:rPr>
                <w:rFonts w:cs="Arial"/>
                <w:szCs w:val="21"/>
              </w:rPr>
              <w:t>or</w:t>
            </w:r>
            <w:r w:rsidRPr="00556670">
              <w:rPr>
                <w:rFonts w:cs="Arial"/>
                <w:szCs w:val="21"/>
              </w:rPr>
              <w:t xml:space="preserve"> a director of a public health </w:t>
            </w:r>
            <w:r>
              <w:rPr>
                <w:rFonts w:cs="Arial"/>
                <w:szCs w:val="21"/>
              </w:rPr>
              <w:t xml:space="preserve">service </w:t>
            </w:r>
            <w:r w:rsidRPr="00556670">
              <w:rPr>
                <w:rFonts w:cs="Arial"/>
                <w:szCs w:val="21"/>
              </w:rPr>
              <w:t>board for th</w:t>
            </w:r>
            <w:r>
              <w:rPr>
                <w:rFonts w:cs="Arial"/>
                <w:szCs w:val="21"/>
              </w:rPr>
              <w:t>e</w:t>
            </w:r>
            <w:r w:rsidRPr="00556670">
              <w:rPr>
                <w:rFonts w:cs="Arial"/>
                <w:szCs w:val="21"/>
              </w:rPr>
              <w:t xml:space="preserve"> </w:t>
            </w:r>
            <w:r>
              <w:rPr>
                <w:rFonts w:cs="Arial"/>
                <w:szCs w:val="21"/>
              </w:rPr>
              <w:t xml:space="preserve">capability. The director would have a good understanding and knowledge with some experience and skills. </w:t>
            </w:r>
          </w:p>
          <w:p w14:paraId="4B28731A" w14:textId="77777777" w:rsidR="00A6655A" w:rsidRPr="00556670" w:rsidRDefault="00A6655A" w:rsidP="00A6655A">
            <w:pPr>
              <w:spacing w:before="80"/>
              <w:rPr>
                <w:szCs w:val="21"/>
              </w:rPr>
            </w:pPr>
            <w:r w:rsidRPr="00556670">
              <w:rPr>
                <w:rFonts w:cs="Arial"/>
                <w:szCs w:val="21"/>
              </w:rPr>
              <w:t xml:space="preserve"> </w:t>
            </w:r>
          </w:p>
        </w:tc>
        <w:tc>
          <w:tcPr>
            <w:tcW w:w="1373" w:type="pct"/>
          </w:tcPr>
          <w:p w14:paraId="69D48229" w14:textId="6455AC93" w:rsidR="00A6655A" w:rsidRDefault="00A6655A" w:rsidP="00A6655A">
            <w:pPr>
              <w:spacing w:before="80"/>
              <w:rPr>
                <w:rFonts w:cs="Arial"/>
                <w:szCs w:val="21"/>
              </w:rPr>
            </w:pPr>
            <w:r w:rsidRPr="00556670">
              <w:rPr>
                <w:rFonts w:cs="Arial"/>
                <w:szCs w:val="21"/>
              </w:rPr>
              <w:t xml:space="preserve">In addition to foundational level, directors </w:t>
            </w:r>
            <w:r>
              <w:rPr>
                <w:rFonts w:cs="Arial"/>
                <w:szCs w:val="21"/>
              </w:rPr>
              <w:t xml:space="preserve">categorised as proficient </w:t>
            </w:r>
            <w:r w:rsidRPr="00556670">
              <w:rPr>
                <w:rFonts w:cs="Arial"/>
                <w:szCs w:val="21"/>
              </w:rPr>
              <w:t xml:space="preserve">will have more experience in this area and will demonstrate </w:t>
            </w:r>
            <w:r>
              <w:rPr>
                <w:rFonts w:cs="Arial"/>
                <w:szCs w:val="21"/>
              </w:rPr>
              <w:t xml:space="preserve">solid </w:t>
            </w:r>
            <w:r w:rsidR="002E38DF">
              <w:rPr>
                <w:rFonts w:cs="Arial"/>
                <w:szCs w:val="21"/>
              </w:rPr>
              <w:t xml:space="preserve">working </w:t>
            </w:r>
            <w:r>
              <w:rPr>
                <w:rFonts w:cs="Arial"/>
                <w:szCs w:val="21"/>
              </w:rPr>
              <w:t>knowledge with key</w:t>
            </w:r>
            <w:r w:rsidRPr="00556670">
              <w:rPr>
                <w:rFonts w:cs="Arial"/>
                <w:szCs w:val="21"/>
              </w:rPr>
              <w:t xml:space="preserve"> </w:t>
            </w:r>
            <w:r>
              <w:rPr>
                <w:rFonts w:cs="Arial"/>
                <w:szCs w:val="21"/>
              </w:rPr>
              <w:t>achievements</w:t>
            </w:r>
            <w:r w:rsidRPr="00556670">
              <w:rPr>
                <w:rFonts w:cs="Arial"/>
                <w:szCs w:val="21"/>
              </w:rPr>
              <w:t>.</w:t>
            </w:r>
            <w:r>
              <w:rPr>
                <w:rFonts w:cs="Arial"/>
                <w:szCs w:val="21"/>
              </w:rPr>
              <w:t xml:space="preserve"> </w:t>
            </w:r>
          </w:p>
          <w:p w14:paraId="1892574F" w14:textId="069B55F5" w:rsidR="00A6655A" w:rsidRPr="00556670" w:rsidRDefault="00A6655A" w:rsidP="00A6655A">
            <w:pPr>
              <w:spacing w:before="80"/>
              <w:rPr>
                <w:szCs w:val="21"/>
              </w:rPr>
            </w:pPr>
            <w:r>
              <w:rPr>
                <w:rFonts w:cs="Arial"/>
                <w:szCs w:val="21"/>
              </w:rPr>
              <w:t>The p</w:t>
            </w:r>
            <w:r w:rsidRPr="00556670">
              <w:rPr>
                <w:rFonts w:cs="Arial"/>
                <w:szCs w:val="21"/>
              </w:rPr>
              <w:t xml:space="preserve">roficient </w:t>
            </w:r>
            <w:r>
              <w:rPr>
                <w:rFonts w:cs="Arial"/>
                <w:szCs w:val="21"/>
              </w:rPr>
              <w:t xml:space="preserve">category </w:t>
            </w:r>
            <w:r w:rsidRPr="00556670">
              <w:rPr>
                <w:rFonts w:cs="Arial"/>
                <w:szCs w:val="21"/>
              </w:rPr>
              <w:t xml:space="preserve">seeks to identify </w:t>
            </w:r>
            <w:r w:rsidR="000E5E4B">
              <w:rPr>
                <w:rFonts w:cs="Arial"/>
                <w:szCs w:val="21"/>
              </w:rPr>
              <w:t>persons</w:t>
            </w:r>
            <w:r w:rsidR="000E5E4B" w:rsidRPr="00556670">
              <w:rPr>
                <w:rFonts w:cs="Arial"/>
                <w:szCs w:val="21"/>
              </w:rPr>
              <w:t xml:space="preserve"> </w:t>
            </w:r>
            <w:r w:rsidRPr="00556670">
              <w:rPr>
                <w:rFonts w:cs="Arial"/>
                <w:szCs w:val="21"/>
              </w:rPr>
              <w:t>who have demonstrated experience</w:t>
            </w:r>
            <w:r>
              <w:rPr>
                <w:rFonts w:cs="Arial"/>
                <w:szCs w:val="21"/>
              </w:rPr>
              <w:t xml:space="preserve"> </w:t>
            </w:r>
            <w:r w:rsidRPr="00556670">
              <w:rPr>
                <w:rFonts w:cs="Arial"/>
                <w:szCs w:val="21"/>
              </w:rPr>
              <w:t xml:space="preserve">which may be evident through </w:t>
            </w:r>
            <w:r>
              <w:rPr>
                <w:rFonts w:cs="Arial"/>
                <w:szCs w:val="21"/>
              </w:rPr>
              <w:t>their personal or professional achievements, level of</w:t>
            </w:r>
            <w:r w:rsidRPr="00556670">
              <w:rPr>
                <w:rFonts w:cs="Arial"/>
                <w:szCs w:val="21"/>
              </w:rPr>
              <w:t xml:space="preserve"> experience</w:t>
            </w:r>
            <w:r w:rsidR="00A435A6">
              <w:rPr>
                <w:rFonts w:cs="Arial"/>
                <w:szCs w:val="21"/>
              </w:rPr>
              <w:t xml:space="preserve"> and knowledge</w:t>
            </w:r>
            <w:r w:rsidRPr="00556670">
              <w:rPr>
                <w:rFonts w:cs="Arial"/>
                <w:szCs w:val="21"/>
              </w:rPr>
              <w:t xml:space="preserve">. </w:t>
            </w:r>
          </w:p>
        </w:tc>
        <w:tc>
          <w:tcPr>
            <w:tcW w:w="1340" w:type="pct"/>
          </w:tcPr>
          <w:p w14:paraId="412C2134" w14:textId="77777777" w:rsidR="00A6655A" w:rsidRPr="00556670" w:rsidRDefault="00A6655A" w:rsidP="00A6655A">
            <w:pPr>
              <w:spacing w:before="80"/>
              <w:rPr>
                <w:rFonts w:cs="Arial"/>
                <w:szCs w:val="21"/>
              </w:rPr>
            </w:pPr>
            <w:r w:rsidRPr="00556670">
              <w:rPr>
                <w:rFonts w:cs="Arial"/>
                <w:szCs w:val="21"/>
              </w:rPr>
              <w:t xml:space="preserve">In addition to proficient level, directors </w:t>
            </w:r>
            <w:r>
              <w:rPr>
                <w:rFonts w:cs="Arial"/>
                <w:szCs w:val="21"/>
              </w:rPr>
              <w:t xml:space="preserve">categorised as advanced </w:t>
            </w:r>
            <w:r w:rsidRPr="00556670">
              <w:rPr>
                <w:rFonts w:cs="Arial"/>
                <w:szCs w:val="21"/>
              </w:rPr>
              <w:t xml:space="preserve">will have clear evidence of their expertise demonstrated through </w:t>
            </w:r>
            <w:r>
              <w:rPr>
                <w:rFonts w:cs="Arial"/>
                <w:szCs w:val="21"/>
              </w:rPr>
              <w:t>in-depth</w:t>
            </w:r>
            <w:r w:rsidRPr="00556670">
              <w:rPr>
                <w:rFonts w:cs="Arial"/>
                <w:szCs w:val="21"/>
              </w:rPr>
              <w:t xml:space="preserve"> knowledge, </w:t>
            </w:r>
            <w:r>
              <w:rPr>
                <w:rFonts w:cs="Arial"/>
                <w:szCs w:val="21"/>
              </w:rPr>
              <w:t xml:space="preserve">extensive experience, </w:t>
            </w:r>
            <w:r w:rsidRPr="00556670">
              <w:rPr>
                <w:rFonts w:cs="Arial"/>
                <w:szCs w:val="21"/>
              </w:rPr>
              <w:t xml:space="preserve">and </w:t>
            </w:r>
            <w:r>
              <w:rPr>
                <w:rFonts w:cs="Arial"/>
                <w:szCs w:val="21"/>
              </w:rPr>
              <w:t xml:space="preserve">outstanding </w:t>
            </w:r>
            <w:r w:rsidRPr="00556670">
              <w:rPr>
                <w:rFonts w:cs="Arial"/>
                <w:szCs w:val="21"/>
              </w:rPr>
              <w:t>a</w:t>
            </w:r>
            <w:r>
              <w:rPr>
                <w:rFonts w:cs="Arial"/>
                <w:szCs w:val="21"/>
              </w:rPr>
              <w:t>chievements.</w:t>
            </w:r>
          </w:p>
          <w:p w14:paraId="61EF0A00" w14:textId="7D567AEB" w:rsidR="00A6655A" w:rsidRPr="00556670" w:rsidRDefault="00A6655A" w:rsidP="00C50B49">
            <w:pPr>
              <w:spacing w:before="80"/>
              <w:rPr>
                <w:szCs w:val="21"/>
              </w:rPr>
            </w:pPr>
            <w:r w:rsidRPr="00556670">
              <w:rPr>
                <w:rFonts w:cs="Arial"/>
                <w:szCs w:val="21"/>
              </w:rPr>
              <w:t xml:space="preserve">The advanced </w:t>
            </w:r>
            <w:r>
              <w:rPr>
                <w:rFonts w:cs="Arial"/>
                <w:szCs w:val="21"/>
              </w:rPr>
              <w:t xml:space="preserve">category </w:t>
            </w:r>
            <w:r w:rsidR="00541B07">
              <w:rPr>
                <w:rFonts w:cs="Arial"/>
                <w:szCs w:val="21"/>
              </w:rPr>
              <w:t>recognises</w:t>
            </w:r>
            <w:r w:rsidRPr="00556670">
              <w:rPr>
                <w:rFonts w:cs="Arial"/>
                <w:szCs w:val="21"/>
              </w:rPr>
              <w:t xml:space="preserve"> </w:t>
            </w:r>
            <w:r w:rsidR="003F5812">
              <w:rPr>
                <w:rFonts w:cs="Arial"/>
                <w:szCs w:val="21"/>
              </w:rPr>
              <w:t xml:space="preserve">directors </w:t>
            </w:r>
            <w:r w:rsidR="00C50B49">
              <w:rPr>
                <w:rFonts w:cs="Arial"/>
                <w:szCs w:val="21"/>
              </w:rPr>
              <w:t>who are</w:t>
            </w:r>
            <w:r w:rsidR="003F5812">
              <w:rPr>
                <w:rFonts w:cs="Arial"/>
                <w:szCs w:val="21"/>
              </w:rPr>
              <w:t xml:space="preserve"> </w:t>
            </w:r>
            <w:r w:rsidRPr="00556670">
              <w:rPr>
                <w:rFonts w:cs="Arial"/>
                <w:szCs w:val="21"/>
              </w:rPr>
              <w:t>highly experienced</w:t>
            </w:r>
            <w:r>
              <w:rPr>
                <w:rFonts w:cs="Arial"/>
                <w:szCs w:val="21"/>
              </w:rPr>
              <w:t xml:space="preserve"> and </w:t>
            </w:r>
            <w:r w:rsidR="00C50B49">
              <w:rPr>
                <w:rFonts w:cs="Arial"/>
                <w:szCs w:val="21"/>
              </w:rPr>
              <w:t xml:space="preserve">have </w:t>
            </w:r>
            <w:r>
              <w:rPr>
                <w:rFonts w:cs="Arial"/>
                <w:szCs w:val="21"/>
              </w:rPr>
              <w:t xml:space="preserve">gained </w:t>
            </w:r>
            <w:r w:rsidRPr="00556670">
              <w:rPr>
                <w:rFonts w:cs="Arial"/>
                <w:szCs w:val="21"/>
              </w:rPr>
              <w:t xml:space="preserve">expert </w:t>
            </w:r>
            <w:r>
              <w:rPr>
                <w:rFonts w:cs="Arial"/>
                <w:szCs w:val="21"/>
              </w:rPr>
              <w:t>knowledge</w:t>
            </w:r>
            <w:r w:rsidRPr="00556670">
              <w:rPr>
                <w:rFonts w:cs="Arial"/>
                <w:szCs w:val="21"/>
              </w:rPr>
              <w:t xml:space="preserve"> </w:t>
            </w:r>
            <w:r>
              <w:rPr>
                <w:rFonts w:cs="Arial"/>
                <w:szCs w:val="21"/>
              </w:rPr>
              <w:t>in the capability</w:t>
            </w:r>
            <w:r w:rsidRPr="00556670">
              <w:rPr>
                <w:rFonts w:cs="Arial"/>
                <w:szCs w:val="21"/>
              </w:rPr>
              <w:t>.</w:t>
            </w:r>
            <w:r>
              <w:rPr>
                <w:rFonts w:cs="Arial"/>
                <w:szCs w:val="21"/>
              </w:rPr>
              <w:t xml:space="preserve"> </w:t>
            </w:r>
          </w:p>
        </w:tc>
      </w:tr>
    </w:tbl>
    <w:p w14:paraId="041B4B3A" w14:textId="4E91615A" w:rsidR="00A6655A" w:rsidRDefault="00A6655A" w:rsidP="00987BFC">
      <w:pPr>
        <w:pStyle w:val="DHHSmainsubheading"/>
        <w:spacing w:before="80"/>
        <w:rPr>
          <w:rFonts w:cs="Arial"/>
          <w:szCs w:val="21"/>
        </w:rPr>
        <w:sectPr w:rsidR="00A6655A" w:rsidSect="00454A7D">
          <w:headerReference w:type="even" r:id="rId18"/>
          <w:headerReference w:type="default" r:id="rId19"/>
          <w:footerReference w:type="even" r:id="rId20"/>
          <w:footerReference w:type="default" r:id="rId21"/>
          <w:pgSz w:w="11906" w:h="16838" w:code="9"/>
          <w:pgMar w:top="1418" w:right="1304" w:bottom="1134" w:left="1304" w:header="680" w:footer="851" w:gutter="0"/>
          <w:cols w:space="340"/>
          <w:titlePg/>
          <w:docGrid w:linePitch="360"/>
        </w:sectPr>
      </w:pPr>
    </w:p>
    <w:p w14:paraId="28A36DFA" w14:textId="77777777" w:rsidR="007F3542" w:rsidRDefault="007F3542" w:rsidP="00224CEF">
      <w:pPr>
        <w:pStyle w:val="Heading1"/>
        <w:spacing w:before="0"/>
      </w:pPr>
      <w:bookmarkStart w:id="60" w:name="_Toc149149809"/>
      <w:r>
        <w:lastRenderedPageBreak/>
        <w:t>Tier 1 – Necessary Capabilities for the Board</w:t>
      </w:r>
      <w:bookmarkEnd w:id="60"/>
    </w:p>
    <w:p w14:paraId="20BEE8D7" w14:textId="0CDF9A47" w:rsidR="007F3542" w:rsidRDefault="007F3542" w:rsidP="007F3542">
      <w:pPr>
        <w:pStyle w:val="Body"/>
      </w:pPr>
      <w:r w:rsidRPr="00556670">
        <w:t xml:space="preserve">Tier 1 </w:t>
      </w:r>
      <w:r>
        <w:t xml:space="preserve">capabilities </w:t>
      </w:r>
      <w:r w:rsidRPr="00556670">
        <w:t xml:space="preserve">are necessary </w:t>
      </w:r>
      <w:r w:rsidR="00EE39D4">
        <w:t>for</w:t>
      </w:r>
      <w:r w:rsidRPr="000F41CD">
        <w:t xml:space="preserve"> board</w:t>
      </w:r>
      <w:r w:rsidR="00F37A57">
        <w:t>s</w:t>
      </w:r>
      <w:r w:rsidRPr="000F41CD">
        <w:t xml:space="preserve"> to </w:t>
      </w:r>
      <w:r w:rsidR="0013644C">
        <w:t>meet</w:t>
      </w:r>
      <w:r w:rsidR="0013644C" w:rsidRPr="000F41CD">
        <w:t xml:space="preserve"> </w:t>
      </w:r>
      <w:r w:rsidRPr="000F41CD">
        <w:t xml:space="preserve">the strategic priorities that a Victorian </w:t>
      </w:r>
      <w:r w:rsidR="00D17808">
        <w:t xml:space="preserve">public </w:t>
      </w:r>
      <w:r w:rsidRPr="000F41CD">
        <w:t xml:space="preserve">health </w:t>
      </w:r>
      <w:r w:rsidR="00D17808">
        <w:t xml:space="preserve">service </w:t>
      </w:r>
      <w:r w:rsidRPr="000F41CD">
        <w:t>board would be expected to address in the normal course of its duties</w:t>
      </w:r>
      <w:r w:rsidRPr="00556670">
        <w:t>.</w:t>
      </w:r>
      <w:r w:rsidR="005B21BE">
        <w:t xml:space="preserve"> </w:t>
      </w:r>
    </w:p>
    <w:p w14:paraId="56F736FD" w14:textId="5AFA67E4" w:rsidR="007F3542" w:rsidRDefault="007F3542" w:rsidP="007F3542">
      <w:pPr>
        <w:pStyle w:val="Heading2"/>
      </w:pPr>
      <w:bookmarkStart w:id="61" w:name="_Toc149149810"/>
      <w:r>
        <w:t xml:space="preserve">Audit and Risk </w:t>
      </w:r>
      <w:r w:rsidR="0078713E">
        <w:t>M</w:t>
      </w:r>
      <w:r>
        <w:t>anagement</w:t>
      </w:r>
      <w:bookmarkEnd w:id="61"/>
      <w:r>
        <w:t xml:space="preserve"> </w:t>
      </w:r>
    </w:p>
    <w:p w14:paraId="50403A48" w14:textId="50ED0AE3" w:rsidR="00B926D5" w:rsidRPr="00B926D5" w:rsidRDefault="00B926D5" w:rsidP="00987BFC">
      <w:pPr>
        <w:pStyle w:val="Body"/>
      </w:pPr>
      <w:r>
        <w:rPr>
          <w:szCs w:val="21"/>
          <w:lang w:val="en-US"/>
        </w:rPr>
        <w:t>T</w:t>
      </w:r>
      <w:r w:rsidRPr="00C16F77">
        <w:rPr>
          <w:szCs w:val="21"/>
          <w:lang w:val="en-US"/>
        </w:rPr>
        <w:t xml:space="preserve">he </w:t>
      </w:r>
      <w:r w:rsidRPr="00987BFC">
        <w:rPr>
          <w:i/>
          <w:iCs/>
          <w:szCs w:val="21"/>
          <w:lang w:val="en-US"/>
        </w:rPr>
        <w:t>Standing Directions</w:t>
      </w:r>
      <w:r w:rsidRPr="00C16F77">
        <w:rPr>
          <w:szCs w:val="21"/>
          <w:lang w:val="en-US"/>
        </w:rPr>
        <w:t xml:space="preserve"> of the Minister for Finance under the </w:t>
      </w:r>
      <w:r w:rsidRPr="00953138">
        <w:rPr>
          <w:i/>
          <w:iCs/>
          <w:szCs w:val="21"/>
          <w:lang w:val="en-US"/>
        </w:rPr>
        <w:t>Financial Management Act 19</w:t>
      </w:r>
      <w:r>
        <w:rPr>
          <w:i/>
          <w:iCs/>
          <w:szCs w:val="21"/>
          <w:lang w:val="en-US"/>
        </w:rPr>
        <w:t>94</w:t>
      </w:r>
      <w:r w:rsidRPr="00C16F77">
        <w:rPr>
          <w:szCs w:val="21"/>
          <w:lang w:val="en-US"/>
        </w:rPr>
        <w:t xml:space="preserve"> </w:t>
      </w:r>
      <w:r>
        <w:rPr>
          <w:szCs w:val="21"/>
          <w:lang w:val="en-US"/>
        </w:rPr>
        <w:t xml:space="preserve">defines the </w:t>
      </w:r>
      <w:r w:rsidRPr="00C16F77">
        <w:rPr>
          <w:szCs w:val="21"/>
          <w:lang w:val="en-US"/>
        </w:rPr>
        <w:t xml:space="preserve">minimum qualification requirements </w:t>
      </w:r>
      <w:r>
        <w:rPr>
          <w:szCs w:val="21"/>
          <w:lang w:val="en-US"/>
        </w:rPr>
        <w:t>a</w:t>
      </w:r>
      <w:r w:rsidRPr="00C16F77">
        <w:rPr>
          <w:szCs w:val="21"/>
          <w:lang w:val="en-US"/>
        </w:rPr>
        <w:t xml:space="preserve"> member of an audit committee </w:t>
      </w:r>
      <w:r>
        <w:rPr>
          <w:szCs w:val="21"/>
          <w:lang w:val="en-US"/>
        </w:rPr>
        <w:t>must</w:t>
      </w:r>
      <w:r w:rsidRPr="00C16F77">
        <w:rPr>
          <w:szCs w:val="21"/>
          <w:lang w:val="en-US"/>
        </w:rPr>
        <w:t xml:space="preserve"> meet</w:t>
      </w:r>
      <w:r>
        <w:rPr>
          <w:szCs w:val="21"/>
          <w:lang w:val="en-US"/>
        </w:rPr>
        <w:t>.</w:t>
      </w:r>
      <w:r w:rsidRPr="00C16F77">
        <w:rPr>
          <w:szCs w:val="21"/>
          <w:lang w:val="en-US"/>
        </w:rPr>
        <w:t xml:space="preserve"> </w:t>
      </w:r>
      <w:r>
        <w:rPr>
          <w:szCs w:val="21"/>
          <w:lang w:val="en-US"/>
        </w:rPr>
        <w:t xml:space="preserve">If a board does not have a director who meets the criteria, an independent member </w:t>
      </w:r>
      <w:r w:rsidR="003E48BF">
        <w:rPr>
          <w:szCs w:val="21"/>
          <w:lang w:val="en-US"/>
        </w:rPr>
        <w:t xml:space="preserve">is </w:t>
      </w:r>
      <w:r>
        <w:rPr>
          <w:szCs w:val="21"/>
          <w:lang w:val="en-US"/>
        </w:rPr>
        <w:t xml:space="preserve">required </w:t>
      </w:r>
      <w:r w:rsidR="00623F42">
        <w:rPr>
          <w:szCs w:val="21"/>
          <w:lang w:val="en-US"/>
        </w:rPr>
        <w:t xml:space="preserve">(with </w:t>
      </w:r>
      <w:r>
        <w:rPr>
          <w:szCs w:val="21"/>
          <w:lang w:val="en-US"/>
        </w:rPr>
        <w:t>advanced level).</w:t>
      </w:r>
      <w:r w:rsidR="00B40974">
        <w:rPr>
          <w:szCs w:val="21"/>
          <w:lang w:val="en-US"/>
        </w:rPr>
        <w:t xml:space="preserve"> </w:t>
      </w:r>
    </w:p>
    <w:tbl>
      <w:tblPr>
        <w:tblStyle w:val="TableGrid"/>
        <w:tblW w:w="5062" w:type="pct"/>
        <w:tblLook w:val="06A0" w:firstRow="1" w:lastRow="0" w:firstColumn="1" w:lastColumn="0" w:noHBand="1" w:noVBand="1"/>
      </w:tblPr>
      <w:tblGrid>
        <w:gridCol w:w="4817"/>
        <w:gridCol w:w="3211"/>
        <w:gridCol w:w="3211"/>
        <w:gridCol w:w="3214"/>
      </w:tblGrid>
      <w:tr w:rsidR="007F3542" w14:paraId="6928DD23" w14:textId="77777777" w:rsidTr="00006AA1">
        <w:trPr>
          <w:tblHeader/>
        </w:trPr>
        <w:tc>
          <w:tcPr>
            <w:tcW w:w="1666" w:type="pct"/>
          </w:tcPr>
          <w:p w14:paraId="1DAFDFDA" w14:textId="77777777" w:rsidR="007F3542" w:rsidRPr="00E05479" w:rsidRDefault="007F3542" w:rsidP="00006AA1">
            <w:pPr>
              <w:pStyle w:val="Tablecolhead"/>
              <w:rPr>
                <w:sz w:val="32"/>
                <w:szCs w:val="32"/>
              </w:rPr>
            </w:pPr>
            <w:r w:rsidRPr="005C252D">
              <w:rPr>
                <w:sz w:val="24"/>
                <w:szCs w:val="24"/>
              </w:rPr>
              <w:t>Capability description</w:t>
            </w:r>
          </w:p>
        </w:tc>
        <w:tc>
          <w:tcPr>
            <w:tcW w:w="1111" w:type="pct"/>
          </w:tcPr>
          <w:p w14:paraId="7F2B76CC" w14:textId="77777777" w:rsidR="007F3542" w:rsidRDefault="007F3542" w:rsidP="00006AA1">
            <w:pPr>
              <w:pStyle w:val="Tablecolhead"/>
            </w:pPr>
            <w:r w:rsidRPr="005C252D">
              <w:rPr>
                <w:sz w:val="24"/>
                <w:szCs w:val="24"/>
              </w:rPr>
              <w:t>Foundational</w:t>
            </w:r>
          </w:p>
        </w:tc>
        <w:tc>
          <w:tcPr>
            <w:tcW w:w="1111" w:type="pct"/>
          </w:tcPr>
          <w:p w14:paraId="417970B0" w14:textId="77777777" w:rsidR="007F3542" w:rsidRDefault="007F3542" w:rsidP="00006AA1">
            <w:pPr>
              <w:pStyle w:val="Tablecolhead"/>
            </w:pPr>
            <w:r w:rsidRPr="005C252D">
              <w:rPr>
                <w:sz w:val="24"/>
                <w:szCs w:val="24"/>
              </w:rPr>
              <w:t>Proficien</w:t>
            </w:r>
            <w:r w:rsidRPr="00987BFC">
              <w:rPr>
                <w:sz w:val="24"/>
                <w:szCs w:val="24"/>
              </w:rPr>
              <w:t>t</w:t>
            </w:r>
          </w:p>
        </w:tc>
        <w:tc>
          <w:tcPr>
            <w:tcW w:w="1112" w:type="pct"/>
          </w:tcPr>
          <w:p w14:paraId="6AE4DE16" w14:textId="77777777" w:rsidR="007F3542" w:rsidRDefault="007F3542" w:rsidP="00006AA1">
            <w:pPr>
              <w:pStyle w:val="Tablecolhead"/>
            </w:pPr>
            <w:r w:rsidRPr="005C252D">
              <w:rPr>
                <w:sz w:val="24"/>
                <w:szCs w:val="24"/>
              </w:rPr>
              <w:t>Advanced</w:t>
            </w:r>
          </w:p>
        </w:tc>
      </w:tr>
      <w:tr w:rsidR="007F3542" w:rsidRPr="00556670" w14:paraId="5D81B7FA" w14:textId="77777777" w:rsidTr="00006AA1">
        <w:tc>
          <w:tcPr>
            <w:tcW w:w="1666" w:type="pct"/>
          </w:tcPr>
          <w:p w14:paraId="5FB87E53" w14:textId="77777777" w:rsidR="007F3542" w:rsidRPr="00A95089" w:rsidRDefault="007F3542" w:rsidP="00006AA1">
            <w:pPr>
              <w:pStyle w:val="DHHSmainsubheading"/>
              <w:spacing w:before="80" w:after="120"/>
              <w:jc w:val="both"/>
              <w:rPr>
                <w:rFonts w:eastAsia="Times"/>
                <w:b/>
                <w:color w:val="auto"/>
                <w:sz w:val="21"/>
                <w:szCs w:val="21"/>
              </w:rPr>
            </w:pPr>
            <w:r w:rsidRPr="00A95089">
              <w:rPr>
                <w:rFonts w:eastAsia="Times"/>
                <w:b/>
                <w:color w:val="auto"/>
                <w:sz w:val="21"/>
                <w:szCs w:val="21"/>
              </w:rPr>
              <w:t>Audit:</w:t>
            </w:r>
          </w:p>
          <w:p w14:paraId="43D32499" w14:textId="3F5CCEE8" w:rsidR="007F3542" w:rsidRPr="00A95089" w:rsidRDefault="007F3542" w:rsidP="007F3542">
            <w:pPr>
              <w:pStyle w:val="DHHSmainsubheading"/>
              <w:numPr>
                <w:ilvl w:val="0"/>
                <w:numId w:val="13"/>
              </w:numPr>
              <w:spacing w:before="80" w:after="120"/>
              <w:rPr>
                <w:color w:val="auto"/>
                <w:sz w:val="21"/>
                <w:szCs w:val="21"/>
                <w:lang w:val="en-US"/>
              </w:rPr>
            </w:pPr>
            <w:r w:rsidRPr="00A95089">
              <w:rPr>
                <w:rFonts w:eastAsia="Times"/>
                <w:color w:val="auto"/>
                <w:sz w:val="21"/>
                <w:szCs w:val="21"/>
              </w:rPr>
              <w:t>Professional experience or qualifications in examining financial reports</w:t>
            </w:r>
            <w:r w:rsidR="00A95089">
              <w:rPr>
                <w:rFonts w:eastAsia="Times"/>
                <w:color w:val="auto"/>
                <w:sz w:val="21"/>
                <w:szCs w:val="21"/>
              </w:rPr>
              <w:t xml:space="preserve">, </w:t>
            </w:r>
            <w:r w:rsidR="00A95089" w:rsidRPr="00A95089">
              <w:rPr>
                <w:color w:val="auto"/>
                <w:sz w:val="21"/>
                <w:szCs w:val="21"/>
                <w:lang w:val="en-US"/>
              </w:rPr>
              <w:t>monitoring financial compliance</w:t>
            </w:r>
            <w:r w:rsidR="00A95089">
              <w:rPr>
                <w:color w:val="auto"/>
                <w:sz w:val="21"/>
                <w:szCs w:val="21"/>
                <w:lang w:val="en-US"/>
              </w:rPr>
              <w:t xml:space="preserve"> and accountability</w:t>
            </w:r>
            <w:r w:rsidRPr="00A95089">
              <w:rPr>
                <w:rFonts w:eastAsia="Times"/>
                <w:color w:val="auto"/>
                <w:sz w:val="21"/>
                <w:szCs w:val="21"/>
              </w:rPr>
              <w:t xml:space="preserve">. </w:t>
            </w:r>
          </w:p>
          <w:p w14:paraId="162FD162" w14:textId="7A273FEA" w:rsidR="007F3542" w:rsidRPr="00A95089" w:rsidRDefault="007F3542" w:rsidP="007F3542">
            <w:pPr>
              <w:pStyle w:val="DHHSmainsubheading"/>
              <w:numPr>
                <w:ilvl w:val="0"/>
                <w:numId w:val="13"/>
              </w:numPr>
              <w:spacing w:before="80" w:after="120"/>
              <w:rPr>
                <w:color w:val="auto"/>
                <w:sz w:val="21"/>
                <w:szCs w:val="21"/>
                <w:lang w:val="en-US"/>
              </w:rPr>
            </w:pPr>
            <w:r w:rsidRPr="00A95089">
              <w:rPr>
                <w:color w:val="auto"/>
                <w:sz w:val="21"/>
                <w:szCs w:val="21"/>
                <w:lang w:val="en-US"/>
              </w:rPr>
              <w:t>Knowledge of legal</w:t>
            </w:r>
            <w:r w:rsidR="00A95089">
              <w:rPr>
                <w:color w:val="auto"/>
                <w:sz w:val="21"/>
                <w:szCs w:val="21"/>
                <w:lang w:val="en-US"/>
              </w:rPr>
              <w:t xml:space="preserve">, </w:t>
            </w:r>
            <w:r w:rsidRPr="00A95089">
              <w:rPr>
                <w:color w:val="auto"/>
                <w:sz w:val="21"/>
                <w:szCs w:val="21"/>
                <w:lang w:val="en-US"/>
              </w:rPr>
              <w:t xml:space="preserve">regulatory </w:t>
            </w:r>
            <w:r w:rsidR="00A95089">
              <w:rPr>
                <w:color w:val="auto"/>
                <w:sz w:val="21"/>
                <w:szCs w:val="21"/>
                <w:lang w:val="en-US"/>
              </w:rPr>
              <w:t xml:space="preserve">and policy </w:t>
            </w:r>
            <w:r w:rsidRPr="00A95089">
              <w:rPr>
                <w:color w:val="auto"/>
                <w:sz w:val="21"/>
                <w:szCs w:val="21"/>
                <w:lang w:val="en-US"/>
              </w:rPr>
              <w:t xml:space="preserve">requirements. </w:t>
            </w:r>
          </w:p>
          <w:p w14:paraId="4380613C" w14:textId="7B13CB22" w:rsidR="007F3542" w:rsidRPr="00A95089" w:rsidRDefault="00A95089" w:rsidP="007F3542">
            <w:pPr>
              <w:pStyle w:val="DHHSmainsubheading"/>
              <w:numPr>
                <w:ilvl w:val="0"/>
                <w:numId w:val="13"/>
              </w:numPr>
              <w:spacing w:before="80" w:after="120"/>
              <w:rPr>
                <w:color w:val="auto"/>
                <w:sz w:val="21"/>
                <w:szCs w:val="21"/>
                <w:lang w:val="en-US"/>
              </w:rPr>
            </w:pPr>
            <w:r>
              <w:rPr>
                <w:color w:val="auto"/>
                <w:sz w:val="21"/>
                <w:szCs w:val="21"/>
                <w:lang w:val="en-US"/>
              </w:rPr>
              <w:t>Ability to</w:t>
            </w:r>
            <w:r w:rsidRPr="00A95089">
              <w:rPr>
                <w:color w:val="auto"/>
                <w:sz w:val="21"/>
                <w:szCs w:val="21"/>
                <w:lang w:val="en-US"/>
              </w:rPr>
              <w:t xml:space="preserve"> </w:t>
            </w:r>
            <w:r w:rsidR="007F3542" w:rsidRPr="00A95089">
              <w:rPr>
                <w:color w:val="auto"/>
                <w:sz w:val="21"/>
                <w:szCs w:val="21"/>
                <w:lang w:val="en-US"/>
              </w:rPr>
              <w:t xml:space="preserve">apply </w:t>
            </w:r>
            <w:r>
              <w:rPr>
                <w:color w:val="auto"/>
                <w:sz w:val="21"/>
                <w:szCs w:val="21"/>
                <w:lang w:val="en-US"/>
              </w:rPr>
              <w:t>experience and knowledge</w:t>
            </w:r>
            <w:r w:rsidRPr="00A95089">
              <w:rPr>
                <w:color w:val="auto"/>
                <w:sz w:val="21"/>
                <w:szCs w:val="21"/>
                <w:lang w:val="en-US"/>
              </w:rPr>
              <w:t xml:space="preserve"> </w:t>
            </w:r>
            <w:r w:rsidR="007F3542" w:rsidRPr="00A95089">
              <w:rPr>
                <w:color w:val="auto"/>
                <w:sz w:val="21"/>
                <w:szCs w:val="21"/>
                <w:lang w:val="en-US"/>
              </w:rPr>
              <w:t xml:space="preserve">to broader risk frameworks, </w:t>
            </w:r>
            <w:r w:rsidR="00771227">
              <w:rPr>
                <w:color w:val="auto"/>
                <w:sz w:val="21"/>
                <w:szCs w:val="21"/>
                <w:lang w:val="en-US"/>
              </w:rPr>
              <w:t>and</w:t>
            </w:r>
            <w:r w:rsidR="007F3542" w:rsidRPr="00A95089">
              <w:rPr>
                <w:color w:val="auto"/>
                <w:sz w:val="21"/>
                <w:szCs w:val="21"/>
                <w:lang w:val="en-US"/>
              </w:rPr>
              <w:t xml:space="preserve"> with </w:t>
            </w:r>
            <w:r w:rsidR="00771227">
              <w:rPr>
                <w:color w:val="auto"/>
                <w:sz w:val="21"/>
                <w:szCs w:val="21"/>
                <w:lang w:val="en-US"/>
              </w:rPr>
              <w:t>a</w:t>
            </w:r>
            <w:r w:rsidR="00771227" w:rsidRPr="00A95089">
              <w:rPr>
                <w:color w:val="auto"/>
                <w:sz w:val="21"/>
                <w:szCs w:val="21"/>
                <w:lang w:val="en-US"/>
              </w:rPr>
              <w:t xml:space="preserve"> </w:t>
            </w:r>
            <w:r w:rsidR="007F3542" w:rsidRPr="00A95089">
              <w:rPr>
                <w:color w:val="auto"/>
                <w:sz w:val="21"/>
                <w:szCs w:val="21"/>
                <w:lang w:val="en-US"/>
              </w:rPr>
              <w:t>range of internal controls required of a complex entity.</w:t>
            </w:r>
          </w:p>
          <w:p w14:paraId="589AE98A" w14:textId="77777777" w:rsidR="007F3542" w:rsidRPr="00A95089" w:rsidRDefault="007F3542" w:rsidP="00006AA1">
            <w:pPr>
              <w:pStyle w:val="DHHSmainsubheading"/>
              <w:spacing w:before="80"/>
              <w:rPr>
                <w:color w:val="auto"/>
                <w:sz w:val="21"/>
                <w:szCs w:val="21"/>
                <w:lang w:val="en-US"/>
              </w:rPr>
            </w:pPr>
            <w:r w:rsidRPr="00A95089">
              <w:rPr>
                <w:b/>
                <w:color w:val="auto"/>
                <w:sz w:val="21"/>
                <w:szCs w:val="21"/>
                <w:lang w:val="en-US"/>
              </w:rPr>
              <w:t>Risk management</w:t>
            </w:r>
            <w:r w:rsidRPr="00A95089">
              <w:rPr>
                <w:color w:val="auto"/>
                <w:sz w:val="21"/>
                <w:szCs w:val="21"/>
                <w:lang w:val="en-US"/>
              </w:rPr>
              <w:t>:</w:t>
            </w:r>
          </w:p>
          <w:p w14:paraId="75D4E38E" w14:textId="570C4513" w:rsidR="00B40974" w:rsidRPr="00987BFC" w:rsidRDefault="007F3542" w:rsidP="007F3542">
            <w:pPr>
              <w:pStyle w:val="DHHSmainsubheading"/>
              <w:numPr>
                <w:ilvl w:val="0"/>
                <w:numId w:val="14"/>
              </w:numPr>
              <w:spacing w:before="80" w:after="120"/>
              <w:rPr>
                <w:color w:val="auto"/>
                <w:sz w:val="21"/>
                <w:szCs w:val="21"/>
                <w:lang w:val="en-US"/>
              </w:rPr>
            </w:pPr>
            <w:r w:rsidRPr="00A95089">
              <w:rPr>
                <w:rFonts w:eastAsia="Times"/>
                <w:color w:val="auto"/>
                <w:sz w:val="21"/>
                <w:szCs w:val="21"/>
              </w:rPr>
              <w:t xml:space="preserve">Professional experience or qualifications in identifying, </w:t>
            </w:r>
            <w:r w:rsidR="00EB4A72" w:rsidRPr="00A95089">
              <w:rPr>
                <w:rFonts w:eastAsia="Times"/>
                <w:color w:val="auto"/>
                <w:sz w:val="21"/>
                <w:szCs w:val="21"/>
              </w:rPr>
              <w:t>assessing,</w:t>
            </w:r>
            <w:r w:rsidRPr="00A95089">
              <w:rPr>
                <w:rFonts w:eastAsia="Times"/>
                <w:color w:val="auto"/>
                <w:sz w:val="21"/>
                <w:szCs w:val="21"/>
              </w:rPr>
              <w:t xml:space="preserve"> and responding to strategic, financial, operational and reputational risks </w:t>
            </w:r>
            <w:r w:rsidR="00771227">
              <w:rPr>
                <w:rFonts w:eastAsia="Times"/>
                <w:color w:val="auto"/>
                <w:sz w:val="21"/>
                <w:szCs w:val="21"/>
              </w:rPr>
              <w:t xml:space="preserve">and </w:t>
            </w:r>
            <w:r w:rsidRPr="00A95089">
              <w:rPr>
                <w:rFonts w:eastAsia="Times"/>
                <w:color w:val="auto"/>
                <w:sz w:val="21"/>
                <w:szCs w:val="21"/>
              </w:rPr>
              <w:t>opportunities.</w:t>
            </w:r>
          </w:p>
          <w:p w14:paraId="5F329A6F" w14:textId="792E5AF3" w:rsidR="007F3542" w:rsidRPr="00A95089" w:rsidRDefault="00B40974" w:rsidP="00987BFC">
            <w:pPr>
              <w:pStyle w:val="DHHSmainsubheading"/>
              <w:numPr>
                <w:ilvl w:val="0"/>
                <w:numId w:val="14"/>
              </w:numPr>
              <w:spacing w:before="80" w:after="120"/>
              <w:rPr>
                <w:rFonts w:eastAsia="Times"/>
                <w:color w:val="auto"/>
                <w:sz w:val="21"/>
                <w:szCs w:val="21"/>
              </w:rPr>
            </w:pPr>
            <w:r w:rsidRPr="00987BFC">
              <w:rPr>
                <w:rFonts w:eastAsia="Times"/>
                <w:color w:val="auto"/>
                <w:sz w:val="21"/>
                <w:szCs w:val="21"/>
              </w:rPr>
              <w:t>It would be advantageous if the applicant can demonstrate relevant experience in performing / evaluating financial and/or non-financial audits or similar program/policy evaluations.</w:t>
            </w:r>
            <w:r w:rsidR="007F3542" w:rsidRPr="000F6D96">
              <w:rPr>
                <w:szCs w:val="21"/>
              </w:rPr>
              <w:t xml:space="preserve"> </w:t>
            </w:r>
          </w:p>
        </w:tc>
        <w:tc>
          <w:tcPr>
            <w:tcW w:w="1111" w:type="pct"/>
          </w:tcPr>
          <w:p w14:paraId="335B90B5" w14:textId="091D2AEB" w:rsidR="007F3542" w:rsidRPr="00C16F77" w:rsidRDefault="007F3542" w:rsidP="00006AA1">
            <w:pPr>
              <w:spacing w:before="80"/>
              <w:rPr>
                <w:rFonts w:cs="Arial"/>
                <w:szCs w:val="21"/>
              </w:rPr>
            </w:pPr>
            <w:r>
              <w:rPr>
                <w:rFonts w:cs="Arial"/>
                <w:szCs w:val="21"/>
              </w:rPr>
              <w:t>C</w:t>
            </w:r>
            <w:r w:rsidRPr="00C16F77">
              <w:rPr>
                <w:rFonts w:cs="Arial"/>
                <w:szCs w:val="21"/>
              </w:rPr>
              <w:t xml:space="preserve">an </w:t>
            </w:r>
            <w:r>
              <w:rPr>
                <w:rFonts w:cs="Arial"/>
                <w:szCs w:val="21"/>
              </w:rPr>
              <w:t xml:space="preserve">analyse and interpret </w:t>
            </w:r>
            <w:r w:rsidRPr="00C16F77">
              <w:rPr>
                <w:rFonts w:cs="Arial"/>
                <w:szCs w:val="21"/>
              </w:rPr>
              <w:t>financial reports</w:t>
            </w:r>
            <w:r w:rsidR="00771227">
              <w:rPr>
                <w:rFonts w:cs="Arial"/>
                <w:szCs w:val="21"/>
              </w:rPr>
              <w:t xml:space="preserve"> and an organisation’s risk registers</w:t>
            </w:r>
            <w:r w:rsidRPr="00C16F77">
              <w:rPr>
                <w:rFonts w:cs="Arial"/>
                <w:szCs w:val="21"/>
              </w:rPr>
              <w:t>.</w:t>
            </w:r>
          </w:p>
          <w:p w14:paraId="112FFA19" w14:textId="3A555720" w:rsidR="007F3542" w:rsidRPr="00C16F77" w:rsidRDefault="00BB3AF1" w:rsidP="00006AA1">
            <w:pPr>
              <w:spacing w:before="80"/>
              <w:rPr>
                <w:rFonts w:cs="Arial"/>
                <w:szCs w:val="21"/>
              </w:rPr>
            </w:pPr>
            <w:r>
              <w:rPr>
                <w:rFonts w:cs="Arial"/>
                <w:szCs w:val="21"/>
              </w:rPr>
              <w:t>Understands</w:t>
            </w:r>
            <w:r w:rsidR="007F3542" w:rsidRPr="00C16F77">
              <w:rPr>
                <w:rFonts w:cs="Arial"/>
                <w:szCs w:val="21"/>
              </w:rPr>
              <w:t xml:space="preserve"> financial and non-financial risks.</w:t>
            </w:r>
            <w:r w:rsidR="007F3542">
              <w:rPr>
                <w:rFonts w:cs="Arial"/>
                <w:szCs w:val="21"/>
              </w:rPr>
              <w:t xml:space="preserve"> </w:t>
            </w:r>
          </w:p>
          <w:p w14:paraId="5172F18D" w14:textId="0CC2CE03" w:rsidR="007F3542" w:rsidRDefault="007F3542" w:rsidP="00006AA1">
            <w:pPr>
              <w:spacing w:before="80"/>
              <w:rPr>
                <w:rFonts w:cs="Arial"/>
                <w:szCs w:val="21"/>
              </w:rPr>
            </w:pPr>
            <w:r w:rsidRPr="00C16F77">
              <w:rPr>
                <w:rFonts w:cs="Arial"/>
                <w:szCs w:val="21"/>
              </w:rPr>
              <w:t>Understand</w:t>
            </w:r>
            <w:r w:rsidR="00BB3AF1">
              <w:rPr>
                <w:rFonts w:cs="Arial"/>
                <w:szCs w:val="21"/>
              </w:rPr>
              <w:t>s</w:t>
            </w:r>
            <w:r w:rsidRPr="00C16F77">
              <w:rPr>
                <w:rFonts w:cs="Arial"/>
                <w:szCs w:val="21"/>
              </w:rPr>
              <w:t xml:space="preserve"> risk appetite and risk tolerance, covering strategic, financial</w:t>
            </w:r>
            <w:r>
              <w:rPr>
                <w:rFonts w:cs="Arial"/>
                <w:szCs w:val="21"/>
              </w:rPr>
              <w:t>,</w:t>
            </w:r>
            <w:r w:rsidRPr="00C16F77">
              <w:rPr>
                <w:rFonts w:cs="Arial"/>
                <w:szCs w:val="21"/>
              </w:rPr>
              <w:t xml:space="preserve"> </w:t>
            </w:r>
            <w:r w:rsidR="003E646D" w:rsidRPr="00C16F77">
              <w:rPr>
                <w:rFonts w:cs="Arial"/>
                <w:szCs w:val="21"/>
              </w:rPr>
              <w:t>operational,</w:t>
            </w:r>
            <w:r w:rsidR="00771227">
              <w:rPr>
                <w:rFonts w:cs="Arial"/>
                <w:szCs w:val="21"/>
              </w:rPr>
              <w:t xml:space="preserve"> and reputational</w:t>
            </w:r>
            <w:r w:rsidRPr="00C16F77">
              <w:rPr>
                <w:rFonts w:cs="Arial"/>
                <w:szCs w:val="21"/>
              </w:rPr>
              <w:t xml:space="preserve"> risks</w:t>
            </w:r>
            <w:r>
              <w:rPr>
                <w:rFonts w:cs="Arial"/>
                <w:szCs w:val="21"/>
              </w:rPr>
              <w:t xml:space="preserve">. </w:t>
            </w:r>
          </w:p>
          <w:p w14:paraId="21680D62" w14:textId="77777777" w:rsidR="007F3542" w:rsidRPr="00556670" w:rsidRDefault="007F3542" w:rsidP="00006AA1">
            <w:pPr>
              <w:spacing w:before="80"/>
              <w:rPr>
                <w:szCs w:val="21"/>
              </w:rPr>
            </w:pPr>
            <w:r w:rsidRPr="005A37EE">
              <w:rPr>
                <w:rFonts w:cs="Arial"/>
                <w:szCs w:val="21"/>
              </w:rPr>
              <w:t xml:space="preserve">Awareness of internal audit and other assurance </w:t>
            </w:r>
            <w:r>
              <w:rPr>
                <w:rFonts w:cs="Arial"/>
                <w:szCs w:val="21"/>
              </w:rPr>
              <w:t>tools and mechanisms</w:t>
            </w:r>
            <w:r w:rsidRPr="005A37EE">
              <w:rPr>
                <w:rFonts w:cs="Arial"/>
                <w:szCs w:val="21"/>
              </w:rPr>
              <w:t>.</w:t>
            </w:r>
            <w:r w:rsidRPr="00C16F77">
              <w:rPr>
                <w:rFonts w:cs="Arial"/>
                <w:szCs w:val="21"/>
              </w:rPr>
              <w:t xml:space="preserve"> </w:t>
            </w:r>
          </w:p>
        </w:tc>
        <w:tc>
          <w:tcPr>
            <w:tcW w:w="1111" w:type="pct"/>
          </w:tcPr>
          <w:p w14:paraId="2FD61A21" w14:textId="31C85385" w:rsidR="007F3542" w:rsidRDefault="007F3542" w:rsidP="00006AA1">
            <w:pPr>
              <w:spacing w:before="80"/>
              <w:rPr>
                <w:rFonts w:cs="Arial"/>
                <w:szCs w:val="21"/>
              </w:rPr>
            </w:pPr>
            <w:r>
              <w:rPr>
                <w:rFonts w:cs="Arial"/>
                <w:szCs w:val="21"/>
              </w:rPr>
              <w:t>E</w:t>
            </w:r>
            <w:r w:rsidRPr="005A37EE">
              <w:rPr>
                <w:rFonts w:cs="Arial"/>
                <w:szCs w:val="21"/>
              </w:rPr>
              <w:t>xperience in audit</w:t>
            </w:r>
            <w:r w:rsidR="000A1280">
              <w:rPr>
                <w:rFonts w:cs="Arial"/>
                <w:szCs w:val="21"/>
              </w:rPr>
              <w:t>s</w:t>
            </w:r>
            <w:r w:rsidRPr="005A37EE">
              <w:rPr>
                <w:rFonts w:cs="Arial"/>
                <w:szCs w:val="21"/>
              </w:rPr>
              <w:t xml:space="preserve"> and risk</w:t>
            </w:r>
            <w:r>
              <w:rPr>
                <w:rFonts w:cs="Arial"/>
                <w:szCs w:val="21"/>
              </w:rPr>
              <w:t xml:space="preserve"> management.</w:t>
            </w:r>
            <w:r w:rsidRPr="005A37EE">
              <w:rPr>
                <w:rFonts w:cs="Arial"/>
                <w:szCs w:val="21"/>
              </w:rPr>
              <w:t xml:space="preserve"> </w:t>
            </w:r>
          </w:p>
          <w:p w14:paraId="1B709B6C" w14:textId="0AC3D206" w:rsidR="007F3542" w:rsidRPr="00C16F77" w:rsidRDefault="00771227" w:rsidP="00006AA1">
            <w:pPr>
              <w:spacing w:before="80"/>
              <w:rPr>
                <w:rFonts w:cs="Arial"/>
                <w:szCs w:val="21"/>
              </w:rPr>
            </w:pPr>
            <w:r>
              <w:rPr>
                <w:rFonts w:cs="Arial"/>
                <w:szCs w:val="21"/>
              </w:rPr>
              <w:t>Experience as</w:t>
            </w:r>
            <w:r w:rsidR="007F3542" w:rsidRPr="00C16F77">
              <w:rPr>
                <w:rFonts w:cs="Arial"/>
                <w:szCs w:val="21"/>
              </w:rPr>
              <w:t xml:space="preserve"> a member of an audit committee or </w:t>
            </w:r>
            <w:r>
              <w:rPr>
                <w:rFonts w:cs="Arial"/>
                <w:szCs w:val="21"/>
              </w:rPr>
              <w:t xml:space="preserve">working </w:t>
            </w:r>
            <w:r w:rsidR="007F3542" w:rsidRPr="00C16F77">
              <w:rPr>
                <w:rFonts w:cs="Arial"/>
                <w:szCs w:val="21"/>
              </w:rPr>
              <w:t xml:space="preserve">with audit committees.  </w:t>
            </w:r>
          </w:p>
          <w:p w14:paraId="1397676F" w14:textId="30759968" w:rsidR="007F3542" w:rsidRPr="00C16F77" w:rsidRDefault="007F3542" w:rsidP="00006AA1">
            <w:pPr>
              <w:spacing w:before="80"/>
              <w:rPr>
                <w:rFonts w:cs="Arial"/>
                <w:szCs w:val="21"/>
              </w:rPr>
            </w:pPr>
            <w:r w:rsidRPr="00C16F77">
              <w:rPr>
                <w:rFonts w:cs="Arial"/>
                <w:szCs w:val="21"/>
              </w:rPr>
              <w:t xml:space="preserve">Diploma or undergraduate degree in </w:t>
            </w:r>
            <w:r w:rsidR="00771227">
              <w:rPr>
                <w:rFonts w:cs="Arial"/>
                <w:szCs w:val="21"/>
              </w:rPr>
              <w:t>f</w:t>
            </w:r>
            <w:r w:rsidRPr="00C16F77">
              <w:rPr>
                <w:rFonts w:cs="Arial"/>
                <w:szCs w:val="21"/>
              </w:rPr>
              <w:t>inance</w:t>
            </w:r>
            <w:r w:rsidR="00771227">
              <w:rPr>
                <w:rFonts w:cs="Arial"/>
                <w:szCs w:val="21"/>
              </w:rPr>
              <w:t xml:space="preserve">, </w:t>
            </w:r>
            <w:r w:rsidRPr="00C16F77">
              <w:rPr>
                <w:rFonts w:cs="Arial"/>
                <w:szCs w:val="21"/>
              </w:rPr>
              <w:t>accounting</w:t>
            </w:r>
            <w:r w:rsidR="00771227">
              <w:rPr>
                <w:rFonts w:cs="Arial"/>
                <w:szCs w:val="21"/>
              </w:rPr>
              <w:t>,</w:t>
            </w:r>
            <w:r w:rsidRPr="00C16F77">
              <w:rPr>
                <w:rFonts w:cs="Arial"/>
                <w:szCs w:val="21"/>
              </w:rPr>
              <w:t xml:space="preserve"> commerce</w:t>
            </w:r>
            <w:r w:rsidR="00771227">
              <w:rPr>
                <w:rFonts w:cs="Arial"/>
                <w:szCs w:val="21"/>
              </w:rPr>
              <w:t>, or risk management</w:t>
            </w:r>
          </w:p>
          <w:p w14:paraId="54D4822F" w14:textId="64BAD9D6" w:rsidR="007F3542" w:rsidRDefault="007F3542" w:rsidP="00006AA1">
            <w:pPr>
              <w:spacing w:before="80"/>
              <w:rPr>
                <w:rFonts w:cs="Arial"/>
                <w:szCs w:val="21"/>
              </w:rPr>
            </w:pPr>
            <w:r w:rsidRPr="00C16F77">
              <w:rPr>
                <w:rFonts w:cs="Arial"/>
                <w:szCs w:val="21"/>
              </w:rPr>
              <w:t xml:space="preserve">Able to </w:t>
            </w:r>
            <w:r>
              <w:rPr>
                <w:rFonts w:cs="Arial"/>
                <w:szCs w:val="21"/>
              </w:rPr>
              <w:t>interpret</w:t>
            </w:r>
            <w:r w:rsidRPr="00C16F77">
              <w:rPr>
                <w:rFonts w:cs="Arial"/>
                <w:szCs w:val="21"/>
              </w:rPr>
              <w:t xml:space="preserve"> financial reports</w:t>
            </w:r>
            <w:r>
              <w:rPr>
                <w:rFonts w:cs="Arial"/>
                <w:szCs w:val="21"/>
              </w:rPr>
              <w:t xml:space="preserve">, </w:t>
            </w:r>
            <w:r w:rsidRPr="00C16F77">
              <w:rPr>
                <w:rFonts w:cs="Arial"/>
                <w:szCs w:val="21"/>
              </w:rPr>
              <w:t>identify ri</w:t>
            </w:r>
            <w:r>
              <w:rPr>
                <w:rFonts w:cs="Arial"/>
                <w:szCs w:val="21"/>
              </w:rPr>
              <w:t xml:space="preserve">sks, </w:t>
            </w:r>
            <w:r w:rsidRPr="00C16F77">
              <w:rPr>
                <w:rFonts w:cs="Arial"/>
                <w:szCs w:val="21"/>
              </w:rPr>
              <w:t>raise red flags</w:t>
            </w:r>
            <w:r w:rsidR="00771227">
              <w:rPr>
                <w:rFonts w:cs="Arial"/>
                <w:szCs w:val="21"/>
              </w:rPr>
              <w:t>,</w:t>
            </w:r>
            <w:r w:rsidRPr="00C16F77">
              <w:rPr>
                <w:rFonts w:cs="Arial"/>
                <w:szCs w:val="21"/>
              </w:rPr>
              <w:t xml:space="preserve"> and ask appropriate questions.</w:t>
            </w:r>
            <w:r>
              <w:rPr>
                <w:rFonts w:cs="Arial"/>
                <w:szCs w:val="21"/>
              </w:rPr>
              <w:t xml:space="preserve"> </w:t>
            </w:r>
          </w:p>
          <w:p w14:paraId="60E7F642" w14:textId="2865EFFB" w:rsidR="007F3542" w:rsidRPr="00556670" w:rsidRDefault="007F3542" w:rsidP="00006AA1">
            <w:pPr>
              <w:spacing w:before="80"/>
              <w:rPr>
                <w:szCs w:val="21"/>
              </w:rPr>
            </w:pPr>
            <w:r w:rsidRPr="005A37EE">
              <w:rPr>
                <w:rFonts w:cs="Arial"/>
                <w:szCs w:val="21"/>
              </w:rPr>
              <w:t xml:space="preserve">Experience using internal audit and other assurance </w:t>
            </w:r>
            <w:r>
              <w:rPr>
                <w:rFonts w:cs="Arial"/>
                <w:szCs w:val="21"/>
              </w:rPr>
              <w:t>tools and mechanisms</w:t>
            </w:r>
            <w:r w:rsidR="00771227">
              <w:rPr>
                <w:rFonts w:cs="Arial"/>
                <w:szCs w:val="21"/>
              </w:rPr>
              <w:t xml:space="preserve">, such as </w:t>
            </w:r>
            <w:r w:rsidR="00771227" w:rsidRPr="00A95089">
              <w:rPr>
                <w:szCs w:val="21"/>
                <w:lang w:val="en-US"/>
              </w:rPr>
              <w:t xml:space="preserve">the </w:t>
            </w:r>
            <w:r w:rsidR="00C172BA">
              <w:rPr>
                <w:szCs w:val="21"/>
                <w:lang w:val="en-US"/>
              </w:rPr>
              <w:t>d</w:t>
            </w:r>
            <w:r w:rsidR="00771227" w:rsidRPr="00A95089">
              <w:rPr>
                <w:szCs w:val="21"/>
                <w:lang w:val="en-US"/>
              </w:rPr>
              <w:t>epartment</w:t>
            </w:r>
            <w:r w:rsidR="00771227">
              <w:rPr>
                <w:szCs w:val="21"/>
                <w:lang w:val="en-US"/>
              </w:rPr>
              <w:t>’s</w:t>
            </w:r>
            <w:r w:rsidR="00771227" w:rsidRPr="00A95089">
              <w:rPr>
                <w:szCs w:val="21"/>
                <w:lang w:val="en-US"/>
              </w:rPr>
              <w:t xml:space="preserve"> </w:t>
            </w:r>
            <w:r w:rsidR="00771227" w:rsidRPr="00400FC6">
              <w:rPr>
                <w:i/>
                <w:iCs/>
                <w:szCs w:val="21"/>
                <w:lang w:val="en-US"/>
              </w:rPr>
              <w:t>Integrity Governance Framework</w:t>
            </w:r>
            <w:r w:rsidRPr="005A37EE">
              <w:rPr>
                <w:rFonts w:cs="Arial"/>
                <w:szCs w:val="21"/>
              </w:rPr>
              <w:t>.</w:t>
            </w:r>
            <w:r>
              <w:rPr>
                <w:szCs w:val="21"/>
              </w:rPr>
              <w:t xml:space="preserve"> </w:t>
            </w:r>
          </w:p>
        </w:tc>
        <w:tc>
          <w:tcPr>
            <w:tcW w:w="1112" w:type="pct"/>
          </w:tcPr>
          <w:p w14:paraId="696EC5E1" w14:textId="02640F39" w:rsidR="007F3542" w:rsidRPr="00C16F77" w:rsidRDefault="007F3542" w:rsidP="00006AA1">
            <w:pPr>
              <w:spacing w:before="80"/>
              <w:rPr>
                <w:rFonts w:cs="Arial"/>
                <w:szCs w:val="21"/>
              </w:rPr>
            </w:pPr>
            <w:r w:rsidRPr="00C16F77">
              <w:rPr>
                <w:rFonts w:cs="Arial"/>
                <w:szCs w:val="21"/>
              </w:rPr>
              <w:t xml:space="preserve">Has </w:t>
            </w:r>
            <w:r w:rsidR="00B40974">
              <w:rPr>
                <w:rFonts w:cs="Arial"/>
                <w:szCs w:val="21"/>
              </w:rPr>
              <w:t>been</w:t>
            </w:r>
            <w:r w:rsidR="00B40974" w:rsidRPr="00C16F77">
              <w:rPr>
                <w:rFonts w:cs="Arial"/>
                <w:szCs w:val="21"/>
              </w:rPr>
              <w:t xml:space="preserve"> </w:t>
            </w:r>
            <w:r w:rsidRPr="00C16F77">
              <w:rPr>
                <w:rFonts w:cs="Arial"/>
                <w:szCs w:val="21"/>
              </w:rPr>
              <w:t>a chair of an audit committee or has extensive experience</w:t>
            </w:r>
            <w:r>
              <w:rPr>
                <w:rFonts w:cs="Arial"/>
                <w:szCs w:val="21"/>
              </w:rPr>
              <w:t xml:space="preserve"> </w:t>
            </w:r>
            <w:r w:rsidR="00872EF9">
              <w:rPr>
                <w:rFonts w:cs="Arial"/>
                <w:szCs w:val="21"/>
              </w:rPr>
              <w:t>working</w:t>
            </w:r>
            <w:r>
              <w:rPr>
                <w:rFonts w:cs="Arial"/>
                <w:szCs w:val="21"/>
              </w:rPr>
              <w:t xml:space="preserve"> with </w:t>
            </w:r>
            <w:r w:rsidR="00B40974">
              <w:rPr>
                <w:rFonts w:cs="Arial"/>
                <w:szCs w:val="21"/>
              </w:rPr>
              <w:t xml:space="preserve">audit </w:t>
            </w:r>
            <w:r>
              <w:rPr>
                <w:rFonts w:cs="Arial"/>
                <w:szCs w:val="21"/>
              </w:rPr>
              <w:t>committees</w:t>
            </w:r>
            <w:r w:rsidRPr="00C16F77">
              <w:rPr>
                <w:rFonts w:cs="Arial"/>
                <w:szCs w:val="21"/>
              </w:rPr>
              <w:t>.</w:t>
            </w:r>
            <w:r w:rsidR="00B40974">
              <w:rPr>
                <w:rFonts w:cs="Arial"/>
                <w:szCs w:val="21"/>
              </w:rPr>
              <w:t xml:space="preserve"> </w:t>
            </w:r>
          </w:p>
          <w:p w14:paraId="55FB24F8" w14:textId="774EA7F5" w:rsidR="007F3542" w:rsidRPr="00C16F77" w:rsidRDefault="001E5BD5" w:rsidP="00006AA1">
            <w:pPr>
              <w:spacing w:before="80"/>
              <w:rPr>
                <w:rFonts w:cs="Arial"/>
                <w:szCs w:val="21"/>
              </w:rPr>
            </w:pPr>
            <w:r>
              <w:rPr>
                <w:rFonts w:cs="Arial"/>
                <w:szCs w:val="21"/>
              </w:rPr>
              <w:t xml:space="preserve">A </w:t>
            </w:r>
            <w:r w:rsidR="007F3542" w:rsidRPr="00C16F77">
              <w:rPr>
                <w:rFonts w:cs="Arial"/>
                <w:szCs w:val="21"/>
              </w:rPr>
              <w:t>C</w:t>
            </w:r>
            <w:r w:rsidR="00771227">
              <w:rPr>
                <w:rFonts w:cs="Arial"/>
                <w:szCs w:val="21"/>
              </w:rPr>
              <w:t xml:space="preserve">hartered </w:t>
            </w:r>
            <w:r w:rsidR="007F3542" w:rsidRPr="00C16F77">
              <w:rPr>
                <w:rFonts w:cs="Arial"/>
                <w:szCs w:val="21"/>
              </w:rPr>
              <w:t>A</w:t>
            </w:r>
            <w:r w:rsidR="00771227">
              <w:rPr>
                <w:rFonts w:cs="Arial"/>
                <w:szCs w:val="21"/>
              </w:rPr>
              <w:t>ccounted (CA)</w:t>
            </w:r>
            <w:r w:rsidR="007F3542" w:rsidRPr="00C16F77">
              <w:rPr>
                <w:rFonts w:cs="Arial"/>
                <w:szCs w:val="21"/>
              </w:rPr>
              <w:t>, C</w:t>
            </w:r>
            <w:r w:rsidR="00771227">
              <w:rPr>
                <w:rFonts w:cs="Arial"/>
                <w:szCs w:val="21"/>
              </w:rPr>
              <w:t xml:space="preserve">ertified </w:t>
            </w:r>
            <w:r w:rsidR="00771227" w:rsidRPr="00C16F77">
              <w:rPr>
                <w:rFonts w:cs="Arial"/>
                <w:szCs w:val="21"/>
              </w:rPr>
              <w:t>P</w:t>
            </w:r>
            <w:r w:rsidR="00771227">
              <w:rPr>
                <w:rFonts w:cs="Arial"/>
                <w:szCs w:val="21"/>
              </w:rPr>
              <w:t xml:space="preserve">ractising </w:t>
            </w:r>
            <w:r w:rsidR="00771227" w:rsidRPr="00C16F77">
              <w:rPr>
                <w:rFonts w:cs="Arial"/>
                <w:szCs w:val="21"/>
              </w:rPr>
              <w:t>A</w:t>
            </w:r>
            <w:r w:rsidR="00771227">
              <w:rPr>
                <w:rFonts w:cs="Arial"/>
                <w:szCs w:val="21"/>
              </w:rPr>
              <w:t>ccountant (CPA)</w:t>
            </w:r>
            <w:r>
              <w:rPr>
                <w:rFonts w:cs="Arial"/>
                <w:szCs w:val="21"/>
              </w:rPr>
              <w:t>,</w:t>
            </w:r>
            <w:r w:rsidR="007F3542" w:rsidRPr="00C16F77">
              <w:rPr>
                <w:rFonts w:cs="Arial"/>
                <w:szCs w:val="21"/>
              </w:rPr>
              <w:t xml:space="preserve"> or equivalent</w:t>
            </w:r>
            <w:r w:rsidR="007F3542">
              <w:rPr>
                <w:rFonts w:cs="Arial"/>
                <w:szCs w:val="21"/>
              </w:rPr>
              <w:t>.</w:t>
            </w:r>
          </w:p>
          <w:p w14:paraId="33935AD6" w14:textId="2D034CAB" w:rsidR="007F3542" w:rsidRPr="00C16F77" w:rsidRDefault="00B40974" w:rsidP="00006AA1">
            <w:pPr>
              <w:spacing w:before="80"/>
              <w:rPr>
                <w:rFonts w:cs="Arial"/>
                <w:szCs w:val="21"/>
              </w:rPr>
            </w:pPr>
            <w:r>
              <w:rPr>
                <w:rFonts w:cs="Arial"/>
                <w:szCs w:val="21"/>
              </w:rPr>
              <w:t xml:space="preserve">Has been responsible for implementing or overseeing </w:t>
            </w:r>
            <w:r w:rsidR="007F3542" w:rsidRPr="00C16F77">
              <w:rPr>
                <w:rFonts w:cs="Arial"/>
                <w:szCs w:val="21"/>
              </w:rPr>
              <w:t>relevant risk frameworks</w:t>
            </w:r>
            <w:r w:rsidR="007F3542">
              <w:rPr>
                <w:rFonts w:cs="Arial"/>
                <w:szCs w:val="21"/>
              </w:rPr>
              <w:t>.</w:t>
            </w:r>
            <w:r w:rsidR="007F3542" w:rsidRPr="00C16F77">
              <w:rPr>
                <w:rFonts w:cs="Arial"/>
                <w:szCs w:val="21"/>
              </w:rPr>
              <w:t xml:space="preserve"> </w:t>
            </w:r>
          </w:p>
          <w:p w14:paraId="12D3AC32" w14:textId="5CE40C0D" w:rsidR="007F3542" w:rsidRPr="00556670" w:rsidRDefault="00B40974" w:rsidP="00006AA1">
            <w:pPr>
              <w:spacing w:before="80"/>
              <w:rPr>
                <w:szCs w:val="21"/>
              </w:rPr>
            </w:pPr>
            <w:r>
              <w:rPr>
                <w:rFonts w:cs="Arial"/>
                <w:szCs w:val="21"/>
              </w:rPr>
              <w:t>Experience in overseeing risk management</w:t>
            </w:r>
            <w:r w:rsidR="007F3542" w:rsidRPr="00C16F77">
              <w:rPr>
                <w:rFonts w:cs="Arial"/>
                <w:szCs w:val="21"/>
              </w:rPr>
              <w:t xml:space="preserve"> and development of strategies</w:t>
            </w:r>
            <w:r>
              <w:rPr>
                <w:rFonts w:cs="Arial"/>
                <w:szCs w:val="21"/>
              </w:rPr>
              <w:t xml:space="preserve"> to mitigate risk and optimise opportunities</w:t>
            </w:r>
            <w:r w:rsidR="007F3542" w:rsidRPr="00C16F77">
              <w:rPr>
                <w:rFonts w:cs="Arial"/>
                <w:szCs w:val="21"/>
              </w:rPr>
              <w:t>.</w:t>
            </w:r>
            <w:r>
              <w:rPr>
                <w:rFonts w:cs="Arial"/>
                <w:szCs w:val="21"/>
              </w:rPr>
              <w:t xml:space="preserve"> </w:t>
            </w:r>
          </w:p>
        </w:tc>
      </w:tr>
    </w:tbl>
    <w:p w14:paraId="1D442683" w14:textId="7CAD0B8F" w:rsidR="007F3542" w:rsidRDefault="007F3542" w:rsidP="007F3542">
      <w:pPr>
        <w:pStyle w:val="Heading2"/>
      </w:pPr>
      <w:bookmarkStart w:id="62" w:name="_Toc149149811"/>
      <w:r>
        <w:lastRenderedPageBreak/>
        <w:t>Clinical Governance</w:t>
      </w:r>
      <w:bookmarkEnd w:id="62"/>
    </w:p>
    <w:p w14:paraId="5A8636EC" w14:textId="43DFC4C8" w:rsidR="007F3542" w:rsidRDefault="00477748" w:rsidP="007F3542">
      <w:pPr>
        <w:spacing w:before="80"/>
        <w:rPr>
          <w:szCs w:val="21"/>
          <w:lang w:val="en-US"/>
        </w:rPr>
      </w:pPr>
      <w:r>
        <w:rPr>
          <w:szCs w:val="21"/>
          <w:lang w:val="en-US"/>
        </w:rPr>
        <w:t xml:space="preserve">While </w:t>
      </w:r>
      <w:r w:rsidR="007F3542" w:rsidRPr="00912531">
        <w:rPr>
          <w:szCs w:val="21"/>
          <w:lang w:val="en-US"/>
        </w:rPr>
        <w:t xml:space="preserve">most </w:t>
      </w:r>
      <w:r w:rsidR="007F3542">
        <w:rPr>
          <w:szCs w:val="21"/>
          <w:lang w:val="en-US"/>
        </w:rPr>
        <w:t>applicants</w:t>
      </w:r>
      <w:r w:rsidR="007F3542" w:rsidRPr="00912531">
        <w:rPr>
          <w:szCs w:val="21"/>
          <w:lang w:val="en-US"/>
        </w:rPr>
        <w:t xml:space="preserve"> with clinical governance </w:t>
      </w:r>
      <w:r w:rsidR="007F3542">
        <w:rPr>
          <w:szCs w:val="21"/>
          <w:lang w:val="en-US"/>
        </w:rPr>
        <w:t>capabilities</w:t>
      </w:r>
      <w:r w:rsidR="007F3542" w:rsidRPr="00912531">
        <w:rPr>
          <w:szCs w:val="21"/>
          <w:lang w:val="en-US"/>
        </w:rPr>
        <w:t xml:space="preserve"> </w:t>
      </w:r>
      <w:r>
        <w:rPr>
          <w:szCs w:val="21"/>
          <w:lang w:val="en-US"/>
        </w:rPr>
        <w:t>tend to</w:t>
      </w:r>
      <w:r w:rsidRPr="00912531">
        <w:rPr>
          <w:szCs w:val="21"/>
          <w:lang w:val="en-US"/>
        </w:rPr>
        <w:t xml:space="preserve"> </w:t>
      </w:r>
      <w:r w:rsidR="007F3542" w:rsidRPr="00912531">
        <w:rPr>
          <w:szCs w:val="21"/>
          <w:lang w:val="en-US"/>
        </w:rPr>
        <w:t xml:space="preserve">be from a hospital-based clinical </w:t>
      </w:r>
      <w:r>
        <w:rPr>
          <w:szCs w:val="21"/>
          <w:lang w:val="en-US"/>
        </w:rPr>
        <w:t xml:space="preserve">profession, </w:t>
      </w:r>
      <w:r w:rsidR="007F3542" w:rsidRPr="00912531">
        <w:rPr>
          <w:szCs w:val="21"/>
          <w:lang w:val="en-US"/>
        </w:rPr>
        <w:t>this is not a requirement to demonstrate clinical governance competence</w:t>
      </w:r>
      <w:r w:rsidR="007F3542">
        <w:rPr>
          <w:szCs w:val="21"/>
          <w:lang w:val="en-US"/>
        </w:rPr>
        <w:t xml:space="preserve">. </w:t>
      </w:r>
      <w:r w:rsidR="001B34AF">
        <w:rPr>
          <w:szCs w:val="21"/>
          <w:lang w:val="en-US"/>
        </w:rPr>
        <w:t>There are o</w:t>
      </w:r>
      <w:r w:rsidR="007F3542">
        <w:rPr>
          <w:szCs w:val="21"/>
          <w:lang w:val="en-US"/>
        </w:rPr>
        <w:t xml:space="preserve">ther </w:t>
      </w:r>
      <w:r w:rsidR="007F3542" w:rsidRPr="00912531">
        <w:rPr>
          <w:szCs w:val="21"/>
          <w:lang w:val="en-US"/>
        </w:rPr>
        <w:t xml:space="preserve">professions with clinical governance </w:t>
      </w:r>
      <w:r w:rsidR="001B34AF">
        <w:rPr>
          <w:szCs w:val="21"/>
          <w:lang w:val="en-US"/>
        </w:rPr>
        <w:t>such as</w:t>
      </w:r>
      <w:r w:rsidR="001B34AF" w:rsidRPr="00912531">
        <w:rPr>
          <w:szCs w:val="21"/>
          <w:lang w:val="en-US"/>
        </w:rPr>
        <w:t xml:space="preserve"> </w:t>
      </w:r>
      <w:r w:rsidR="007F3542" w:rsidRPr="00912531">
        <w:rPr>
          <w:szCs w:val="21"/>
          <w:lang w:val="en-US"/>
        </w:rPr>
        <w:t xml:space="preserve">an incident investigator at a hospital </w:t>
      </w:r>
      <w:r w:rsidR="001B34AF">
        <w:rPr>
          <w:szCs w:val="21"/>
          <w:lang w:val="en-US"/>
        </w:rPr>
        <w:t xml:space="preserve">and </w:t>
      </w:r>
      <w:r w:rsidR="007F3542" w:rsidRPr="00912531">
        <w:rPr>
          <w:szCs w:val="21"/>
          <w:lang w:val="en-US"/>
        </w:rPr>
        <w:t>medico-legal counsel.</w:t>
      </w:r>
      <w:r>
        <w:rPr>
          <w:szCs w:val="21"/>
          <w:lang w:val="en-US"/>
        </w:rPr>
        <w:t xml:space="preserve"> </w:t>
      </w:r>
    </w:p>
    <w:p w14:paraId="69F5D293" w14:textId="0791418C" w:rsidR="007F3542" w:rsidRDefault="007F3542" w:rsidP="007F3542">
      <w:pPr>
        <w:pStyle w:val="Body"/>
      </w:pPr>
      <w:r w:rsidRPr="00420C60">
        <w:rPr>
          <w:szCs w:val="21"/>
          <w:lang w:val="en-US"/>
        </w:rPr>
        <w:t xml:space="preserve">All successful </w:t>
      </w:r>
      <w:r>
        <w:rPr>
          <w:szCs w:val="21"/>
          <w:lang w:val="en-US"/>
        </w:rPr>
        <w:t>applicants</w:t>
      </w:r>
      <w:r w:rsidRPr="00420C60">
        <w:rPr>
          <w:szCs w:val="21"/>
          <w:lang w:val="en-US"/>
        </w:rPr>
        <w:t xml:space="preserve"> with </w:t>
      </w:r>
      <w:r w:rsidR="00A41024">
        <w:rPr>
          <w:szCs w:val="21"/>
          <w:lang w:val="en-US"/>
        </w:rPr>
        <w:t>limited</w:t>
      </w:r>
      <w:r w:rsidRPr="00420C60">
        <w:rPr>
          <w:szCs w:val="21"/>
          <w:lang w:val="en-US"/>
        </w:rPr>
        <w:t xml:space="preserve"> </w:t>
      </w:r>
      <w:r w:rsidR="00A41024">
        <w:rPr>
          <w:szCs w:val="21"/>
          <w:lang w:val="en-US"/>
        </w:rPr>
        <w:t>or</w:t>
      </w:r>
      <w:r w:rsidRPr="00420C60">
        <w:rPr>
          <w:szCs w:val="21"/>
          <w:lang w:val="en-US"/>
        </w:rPr>
        <w:t xml:space="preserve"> no clinical governance </w:t>
      </w:r>
      <w:r>
        <w:rPr>
          <w:szCs w:val="21"/>
          <w:lang w:val="en-US"/>
        </w:rPr>
        <w:t>capabilities</w:t>
      </w:r>
      <w:r w:rsidRPr="00420C60">
        <w:rPr>
          <w:szCs w:val="21"/>
          <w:lang w:val="en-US"/>
        </w:rPr>
        <w:t xml:space="preserve"> </w:t>
      </w:r>
      <w:r>
        <w:rPr>
          <w:szCs w:val="21"/>
          <w:lang w:val="en-US"/>
        </w:rPr>
        <w:t xml:space="preserve">are </w:t>
      </w:r>
      <w:r w:rsidRPr="00420C60">
        <w:rPr>
          <w:szCs w:val="21"/>
          <w:lang w:val="en-US"/>
        </w:rPr>
        <w:t xml:space="preserve">required to undergo clinical governance training </w:t>
      </w:r>
      <w:r w:rsidR="00477748">
        <w:rPr>
          <w:szCs w:val="21"/>
          <w:lang w:val="en-US"/>
        </w:rPr>
        <w:t>offered by Safer Care Victoria</w:t>
      </w:r>
      <w:r w:rsidR="00871DB1">
        <w:rPr>
          <w:szCs w:val="21"/>
          <w:lang w:val="en-US"/>
        </w:rPr>
        <w:t xml:space="preserve"> (SCV)</w:t>
      </w:r>
      <w:r w:rsidR="00477748">
        <w:rPr>
          <w:szCs w:val="21"/>
          <w:lang w:val="en-US"/>
        </w:rPr>
        <w:t xml:space="preserve"> </w:t>
      </w:r>
      <w:r w:rsidRPr="00420C60">
        <w:rPr>
          <w:szCs w:val="21"/>
          <w:lang w:val="en-US"/>
        </w:rPr>
        <w:t xml:space="preserve">within the first year to meet foundational </w:t>
      </w:r>
      <w:r w:rsidR="00871DB1">
        <w:rPr>
          <w:szCs w:val="21"/>
          <w:lang w:val="en-US"/>
        </w:rPr>
        <w:t>level in this capability</w:t>
      </w:r>
      <w:r w:rsidRPr="00420C60">
        <w:rPr>
          <w:szCs w:val="21"/>
          <w:lang w:val="en-US"/>
        </w:rPr>
        <w:t xml:space="preserve">. </w:t>
      </w:r>
      <w:r w:rsidR="00293252">
        <w:rPr>
          <w:szCs w:val="21"/>
          <w:lang w:val="en-US"/>
        </w:rPr>
        <w:t xml:space="preserve">All board directors are expected to do this training at least once during their </w:t>
      </w:r>
      <w:r w:rsidR="00786AD0">
        <w:rPr>
          <w:szCs w:val="21"/>
          <w:lang w:val="en-US"/>
        </w:rPr>
        <w:t xml:space="preserve">appointment </w:t>
      </w:r>
      <w:r w:rsidR="00293252">
        <w:rPr>
          <w:szCs w:val="21"/>
          <w:lang w:val="en-US"/>
        </w:rPr>
        <w:t>term</w:t>
      </w:r>
      <w:r w:rsidR="00786AD0">
        <w:rPr>
          <w:szCs w:val="21"/>
          <w:lang w:val="en-US"/>
        </w:rPr>
        <w:t xml:space="preserve">. </w:t>
      </w:r>
      <w:r w:rsidRPr="00420C60">
        <w:rPr>
          <w:szCs w:val="21"/>
          <w:lang w:val="en-US"/>
        </w:rPr>
        <w:t xml:space="preserve">This </w:t>
      </w:r>
      <w:r w:rsidR="00477748">
        <w:rPr>
          <w:szCs w:val="21"/>
          <w:lang w:val="en-US"/>
        </w:rPr>
        <w:t>enables</w:t>
      </w:r>
      <w:r w:rsidRPr="00420C60">
        <w:rPr>
          <w:szCs w:val="21"/>
          <w:lang w:val="en-US"/>
        </w:rPr>
        <w:t xml:space="preserve"> all </w:t>
      </w:r>
      <w:r w:rsidR="00477748">
        <w:rPr>
          <w:szCs w:val="21"/>
          <w:lang w:val="en-US"/>
        </w:rPr>
        <w:t xml:space="preserve">board </w:t>
      </w:r>
      <w:r w:rsidRPr="00420C60">
        <w:rPr>
          <w:szCs w:val="21"/>
          <w:lang w:val="en-US"/>
        </w:rPr>
        <w:t>directors to understand and apply current clinical governance framework</w:t>
      </w:r>
      <w:r>
        <w:rPr>
          <w:szCs w:val="21"/>
          <w:lang w:val="en-US"/>
        </w:rPr>
        <w:t xml:space="preserve"> as part of the</w:t>
      </w:r>
      <w:r w:rsidR="001B34AF">
        <w:rPr>
          <w:szCs w:val="21"/>
          <w:lang w:val="en-US"/>
        </w:rPr>
        <w:t>ir</w:t>
      </w:r>
      <w:r>
        <w:rPr>
          <w:szCs w:val="21"/>
          <w:lang w:val="en-US"/>
        </w:rPr>
        <w:t xml:space="preserve"> responsibilities </w:t>
      </w:r>
      <w:r w:rsidR="00871DB1">
        <w:rPr>
          <w:szCs w:val="21"/>
          <w:lang w:val="en-US"/>
        </w:rPr>
        <w:t xml:space="preserve">of being on </w:t>
      </w:r>
      <w:r>
        <w:rPr>
          <w:szCs w:val="21"/>
          <w:lang w:val="en-US"/>
        </w:rPr>
        <w:t xml:space="preserve">a </w:t>
      </w:r>
      <w:r w:rsidR="00871DB1">
        <w:rPr>
          <w:szCs w:val="21"/>
          <w:lang w:val="en-US"/>
        </w:rPr>
        <w:t xml:space="preserve">Victorian </w:t>
      </w:r>
      <w:r>
        <w:rPr>
          <w:szCs w:val="21"/>
          <w:lang w:val="en-US"/>
        </w:rPr>
        <w:t>public health board</w:t>
      </w:r>
      <w:r w:rsidRPr="00420C60">
        <w:rPr>
          <w:szCs w:val="21"/>
          <w:lang w:val="en-US"/>
        </w:rPr>
        <w:t>.</w:t>
      </w:r>
      <w:r w:rsidR="00871DB1">
        <w:rPr>
          <w:szCs w:val="21"/>
          <w:lang w:val="en-US"/>
        </w:rPr>
        <w:t xml:space="preserve"> </w:t>
      </w:r>
    </w:p>
    <w:tbl>
      <w:tblPr>
        <w:tblStyle w:val="TableGrid"/>
        <w:tblW w:w="4963" w:type="pct"/>
        <w:tblLook w:val="06A0" w:firstRow="1" w:lastRow="0" w:firstColumn="1" w:lastColumn="0" w:noHBand="1" w:noVBand="1"/>
      </w:tblPr>
      <w:tblGrid>
        <w:gridCol w:w="4672"/>
        <w:gridCol w:w="3166"/>
        <w:gridCol w:w="3166"/>
        <w:gridCol w:w="3166"/>
      </w:tblGrid>
      <w:tr w:rsidR="007F3542" w14:paraId="2BBA44D7" w14:textId="77777777" w:rsidTr="00006AA1">
        <w:trPr>
          <w:tblHeader/>
        </w:trPr>
        <w:tc>
          <w:tcPr>
            <w:tcW w:w="1649" w:type="pct"/>
          </w:tcPr>
          <w:p w14:paraId="169C3F40" w14:textId="77777777" w:rsidR="007F3542" w:rsidRPr="005C252D" w:rsidRDefault="007F3542" w:rsidP="00987BFC">
            <w:pPr>
              <w:pStyle w:val="Tablecolhead"/>
              <w:rPr>
                <w:sz w:val="24"/>
                <w:szCs w:val="24"/>
              </w:rPr>
            </w:pPr>
            <w:r w:rsidRPr="005C252D">
              <w:rPr>
                <w:sz w:val="24"/>
                <w:szCs w:val="24"/>
              </w:rPr>
              <w:t>Capability description</w:t>
            </w:r>
          </w:p>
        </w:tc>
        <w:tc>
          <w:tcPr>
            <w:tcW w:w="1117" w:type="pct"/>
          </w:tcPr>
          <w:p w14:paraId="033338AB" w14:textId="77777777" w:rsidR="007F3542" w:rsidRPr="005C252D" w:rsidRDefault="007F3542" w:rsidP="00006AA1">
            <w:pPr>
              <w:pStyle w:val="Tablecolhead"/>
              <w:rPr>
                <w:sz w:val="24"/>
                <w:szCs w:val="24"/>
              </w:rPr>
            </w:pPr>
            <w:r w:rsidRPr="005C252D">
              <w:rPr>
                <w:sz w:val="24"/>
                <w:szCs w:val="24"/>
              </w:rPr>
              <w:t>Foundational</w:t>
            </w:r>
          </w:p>
        </w:tc>
        <w:tc>
          <w:tcPr>
            <w:tcW w:w="1117" w:type="pct"/>
          </w:tcPr>
          <w:p w14:paraId="5F11B75C" w14:textId="77777777" w:rsidR="007F3542" w:rsidRPr="005C252D" w:rsidRDefault="007F3542" w:rsidP="00006AA1">
            <w:pPr>
              <w:pStyle w:val="Tablecolhead"/>
              <w:rPr>
                <w:sz w:val="24"/>
                <w:szCs w:val="24"/>
              </w:rPr>
            </w:pPr>
            <w:r w:rsidRPr="005C252D">
              <w:rPr>
                <w:sz w:val="24"/>
                <w:szCs w:val="24"/>
              </w:rPr>
              <w:t>Proficient</w:t>
            </w:r>
          </w:p>
        </w:tc>
        <w:tc>
          <w:tcPr>
            <w:tcW w:w="1117" w:type="pct"/>
          </w:tcPr>
          <w:p w14:paraId="45B429F4" w14:textId="77777777" w:rsidR="007F3542" w:rsidRPr="005C252D" w:rsidRDefault="007F3542" w:rsidP="00006AA1">
            <w:pPr>
              <w:pStyle w:val="Tablecolhead"/>
              <w:rPr>
                <w:sz w:val="24"/>
                <w:szCs w:val="24"/>
              </w:rPr>
            </w:pPr>
            <w:r w:rsidRPr="005C252D">
              <w:rPr>
                <w:sz w:val="24"/>
                <w:szCs w:val="24"/>
              </w:rPr>
              <w:t>Advanced</w:t>
            </w:r>
          </w:p>
        </w:tc>
      </w:tr>
      <w:tr w:rsidR="007F3542" w:rsidRPr="00556670" w14:paraId="5B069082" w14:textId="77777777" w:rsidTr="00006AA1">
        <w:tc>
          <w:tcPr>
            <w:tcW w:w="1649" w:type="pct"/>
          </w:tcPr>
          <w:p w14:paraId="23EFC5B9" w14:textId="1AEAD05F" w:rsidR="007F3542" w:rsidRPr="00912531" w:rsidRDefault="00477748" w:rsidP="007F3542">
            <w:pPr>
              <w:numPr>
                <w:ilvl w:val="0"/>
                <w:numId w:val="15"/>
              </w:numPr>
              <w:spacing w:before="80" w:line="240" w:lineRule="auto"/>
              <w:ind w:left="426" w:hanging="426"/>
              <w:rPr>
                <w:szCs w:val="21"/>
                <w:lang w:val="en-US"/>
              </w:rPr>
            </w:pPr>
            <w:r>
              <w:rPr>
                <w:rFonts w:eastAsia="Times"/>
                <w:szCs w:val="21"/>
              </w:rPr>
              <w:t>E</w:t>
            </w:r>
            <w:r w:rsidR="007F3542" w:rsidRPr="00912531">
              <w:rPr>
                <w:rFonts w:eastAsia="Times"/>
                <w:szCs w:val="21"/>
              </w:rPr>
              <w:t xml:space="preserve">xperience in the application, </w:t>
            </w:r>
            <w:r w:rsidR="00DB62C1" w:rsidRPr="00912531">
              <w:rPr>
                <w:rFonts w:eastAsia="Times"/>
                <w:szCs w:val="21"/>
              </w:rPr>
              <w:t>design,</w:t>
            </w:r>
            <w:r w:rsidR="007F3542" w:rsidRPr="00912531">
              <w:rPr>
                <w:rFonts w:eastAsia="Times"/>
                <w:szCs w:val="21"/>
              </w:rPr>
              <w:t xml:space="preserve"> and evaluation of clinical governance systems to ensure safe clinical care and drive continuous improvement of patient outcomes.  </w:t>
            </w:r>
          </w:p>
          <w:p w14:paraId="408106F9" w14:textId="098B676E" w:rsidR="007F3542" w:rsidRPr="00912531" w:rsidRDefault="00BB3AF1" w:rsidP="007F3542">
            <w:pPr>
              <w:numPr>
                <w:ilvl w:val="0"/>
                <w:numId w:val="15"/>
              </w:numPr>
              <w:spacing w:before="80" w:line="240" w:lineRule="auto"/>
              <w:ind w:left="426" w:hanging="426"/>
              <w:rPr>
                <w:szCs w:val="21"/>
                <w:lang w:val="en-US"/>
              </w:rPr>
            </w:pPr>
            <w:r>
              <w:rPr>
                <w:szCs w:val="21"/>
                <w:lang w:val="en-US"/>
              </w:rPr>
              <w:t>Understanding</w:t>
            </w:r>
            <w:r w:rsidRPr="00912531">
              <w:rPr>
                <w:szCs w:val="21"/>
                <w:lang w:val="en-US"/>
              </w:rPr>
              <w:t xml:space="preserve"> </w:t>
            </w:r>
            <w:r w:rsidR="007F3542" w:rsidRPr="00912531">
              <w:rPr>
                <w:szCs w:val="21"/>
                <w:lang w:val="en-US"/>
              </w:rPr>
              <w:t>of current clinical governance</w:t>
            </w:r>
            <w:r w:rsidR="00477748">
              <w:rPr>
                <w:szCs w:val="21"/>
                <w:lang w:val="en-US"/>
              </w:rPr>
              <w:t xml:space="preserve"> and</w:t>
            </w:r>
            <w:r w:rsidR="007F3542" w:rsidRPr="00912531">
              <w:rPr>
                <w:szCs w:val="21"/>
                <w:lang w:val="en-US"/>
              </w:rPr>
              <w:t xml:space="preserve"> accreditation frameworks</w:t>
            </w:r>
            <w:r w:rsidR="00477748">
              <w:rPr>
                <w:szCs w:val="21"/>
                <w:lang w:val="en-US"/>
              </w:rPr>
              <w:t>,</w:t>
            </w:r>
            <w:r w:rsidR="007F3542" w:rsidRPr="00912531">
              <w:rPr>
                <w:szCs w:val="21"/>
                <w:lang w:val="en-US"/>
              </w:rPr>
              <w:t xml:space="preserve"> and </w:t>
            </w:r>
            <w:r w:rsidR="00871DB1">
              <w:rPr>
                <w:szCs w:val="21"/>
                <w:lang w:val="en-US"/>
              </w:rPr>
              <w:t>p</w:t>
            </w:r>
            <w:r w:rsidR="00871DB1" w:rsidRPr="00912531">
              <w:rPr>
                <w:szCs w:val="21"/>
                <w:lang w:val="en-US"/>
              </w:rPr>
              <w:t>rocesses</w:t>
            </w:r>
            <w:r w:rsidR="007F3542" w:rsidRPr="00912531">
              <w:rPr>
                <w:szCs w:val="21"/>
                <w:lang w:val="en-US"/>
              </w:rPr>
              <w:t xml:space="preserve">. </w:t>
            </w:r>
          </w:p>
          <w:p w14:paraId="30F56436" w14:textId="3D488216" w:rsidR="007F3542" w:rsidRDefault="007F3542" w:rsidP="007F3542">
            <w:pPr>
              <w:numPr>
                <w:ilvl w:val="0"/>
                <w:numId w:val="15"/>
              </w:numPr>
              <w:spacing w:before="80" w:line="240" w:lineRule="auto"/>
              <w:ind w:left="426" w:hanging="426"/>
              <w:rPr>
                <w:szCs w:val="21"/>
                <w:lang w:val="en-US"/>
              </w:rPr>
            </w:pPr>
            <w:r w:rsidRPr="00912531">
              <w:rPr>
                <w:szCs w:val="21"/>
                <w:lang w:val="en-US"/>
              </w:rPr>
              <w:t xml:space="preserve">Ability to critically analyse and interpret </w:t>
            </w:r>
            <w:r w:rsidR="00871DB1">
              <w:rPr>
                <w:szCs w:val="21"/>
                <w:lang w:val="en-US"/>
              </w:rPr>
              <w:t>information</w:t>
            </w:r>
            <w:r w:rsidR="00871DB1" w:rsidRPr="00912531">
              <w:rPr>
                <w:szCs w:val="21"/>
                <w:lang w:val="en-US"/>
              </w:rPr>
              <w:t xml:space="preserve"> </w:t>
            </w:r>
            <w:r w:rsidRPr="00912531">
              <w:rPr>
                <w:szCs w:val="21"/>
                <w:lang w:val="en-US"/>
              </w:rPr>
              <w:t xml:space="preserve">to facilitate continuous </w:t>
            </w:r>
            <w:r w:rsidR="00DB62C1" w:rsidRPr="00912531">
              <w:rPr>
                <w:szCs w:val="21"/>
                <w:lang w:val="en-US"/>
              </w:rPr>
              <w:t>evidence-based</w:t>
            </w:r>
            <w:r w:rsidRPr="00912531">
              <w:rPr>
                <w:szCs w:val="21"/>
                <w:lang w:val="en-US"/>
              </w:rPr>
              <w:t xml:space="preserve"> quality improvement</w:t>
            </w:r>
            <w:r w:rsidR="00871DB1">
              <w:rPr>
                <w:szCs w:val="21"/>
                <w:lang w:val="en-US"/>
              </w:rPr>
              <w:t xml:space="preserve"> and compliance with regulatory and policy requirements</w:t>
            </w:r>
            <w:r w:rsidRPr="00912531">
              <w:rPr>
                <w:szCs w:val="21"/>
                <w:lang w:val="en-US"/>
              </w:rPr>
              <w:t xml:space="preserve">. </w:t>
            </w:r>
          </w:p>
          <w:p w14:paraId="511238B8" w14:textId="1FC4A31F" w:rsidR="007F3542" w:rsidRPr="007F1D0C" w:rsidRDefault="007F3542" w:rsidP="007F3542">
            <w:pPr>
              <w:numPr>
                <w:ilvl w:val="0"/>
                <w:numId w:val="15"/>
              </w:numPr>
              <w:spacing w:before="80" w:line="240" w:lineRule="auto"/>
              <w:ind w:left="426" w:hanging="426"/>
              <w:rPr>
                <w:szCs w:val="21"/>
                <w:lang w:val="en-US"/>
              </w:rPr>
            </w:pPr>
            <w:r w:rsidRPr="007F1D0C">
              <w:rPr>
                <w:szCs w:val="21"/>
                <w:lang w:val="en-US"/>
              </w:rPr>
              <w:t xml:space="preserve">Understanding of Safer Care Victoria’s </w:t>
            </w:r>
            <w:r w:rsidR="00DD69F4" w:rsidRPr="00C064A6">
              <w:rPr>
                <w:i/>
                <w:iCs/>
                <w:szCs w:val="21"/>
                <w:lang w:val="en-US"/>
              </w:rPr>
              <w:t xml:space="preserve">Victorian </w:t>
            </w:r>
            <w:r w:rsidRPr="00400FC6">
              <w:rPr>
                <w:i/>
                <w:iCs/>
                <w:szCs w:val="21"/>
                <w:lang w:val="en-US"/>
              </w:rPr>
              <w:t>Clinical Governance Framework</w:t>
            </w:r>
            <w:r>
              <w:rPr>
                <w:szCs w:val="21"/>
                <w:lang w:val="en-US"/>
              </w:rPr>
              <w:t>.</w:t>
            </w:r>
            <w:r w:rsidR="00871DB1">
              <w:rPr>
                <w:szCs w:val="21"/>
                <w:lang w:val="en-US"/>
              </w:rPr>
              <w:t xml:space="preserve"> </w:t>
            </w:r>
          </w:p>
          <w:p w14:paraId="4316C129" w14:textId="77777777" w:rsidR="007F3542" w:rsidRPr="00C16F77" w:rsidRDefault="007F3542" w:rsidP="00006AA1">
            <w:pPr>
              <w:spacing w:before="80"/>
              <w:jc w:val="both"/>
              <w:rPr>
                <w:rFonts w:eastAsia="Times"/>
                <w:szCs w:val="21"/>
              </w:rPr>
            </w:pPr>
          </w:p>
        </w:tc>
        <w:tc>
          <w:tcPr>
            <w:tcW w:w="1117" w:type="pct"/>
          </w:tcPr>
          <w:p w14:paraId="5AFD2553" w14:textId="7B130A32" w:rsidR="007F3542" w:rsidRPr="00912531" w:rsidRDefault="00871DB1" w:rsidP="00006AA1">
            <w:pPr>
              <w:spacing w:before="80"/>
              <w:rPr>
                <w:rFonts w:cs="Arial"/>
                <w:szCs w:val="21"/>
              </w:rPr>
            </w:pPr>
            <w:r>
              <w:rPr>
                <w:rFonts w:cs="Arial"/>
                <w:szCs w:val="21"/>
              </w:rPr>
              <w:t>Understands</w:t>
            </w:r>
            <w:r w:rsidR="007F3542" w:rsidRPr="00912531">
              <w:rPr>
                <w:rFonts w:cs="Arial"/>
                <w:szCs w:val="21"/>
              </w:rPr>
              <w:t xml:space="preserve"> the board</w:t>
            </w:r>
            <w:r>
              <w:rPr>
                <w:rFonts w:cs="Arial"/>
                <w:szCs w:val="21"/>
              </w:rPr>
              <w:t xml:space="preserve">’s </w:t>
            </w:r>
            <w:r w:rsidR="007F3542" w:rsidRPr="00912531">
              <w:rPr>
                <w:rFonts w:cs="Arial"/>
                <w:szCs w:val="21"/>
              </w:rPr>
              <w:t>accountabilities in delivering effective clinical governance.</w:t>
            </w:r>
            <w:r>
              <w:rPr>
                <w:rFonts w:cs="Arial"/>
                <w:szCs w:val="21"/>
              </w:rPr>
              <w:t xml:space="preserve"> </w:t>
            </w:r>
          </w:p>
          <w:p w14:paraId="2482117D" w14:textId="7BEA3EDC" w:rsidR="007F3542" w:rsidRPr="00912531" w:rsidRDefault="00871DB1" w:rsidP="00006AA1">
            <w:pPr>
              <w:spacing w:before="80"/>
              <w:rPr>
                <w:rFonts w:cs="Arial"/>
                <w:szCs w:val="21"/>
              </w:rPr>
            </w:pPr>
            <w:r>
              <w:rPr>
                <w:rFonts w:cs="Arial"/>
                <w:szCs w:val="21"/>
              </w:rPr>
              <w:t>U</w:t>
            </w:r>
            <w:r w:rsidR="007F3542" w:rsidRPr="00912531">
              <w:rPr>
                <w:rFonts w:cs="Arial"/>
                <w:szCs w:val="21"/>
              </w:rPr>
              <w:t>nderstand</w:t>
            </w:r>
            <w:r>
              <w:rPr>
                <w:rFonts w:cs="Arial"/>
                <w:szCs w:val="21"/>
              </w:rPr>
              <w:t>s</w:t>
            </w:r>
            <w:r w:rsidR="007F3542" w:rsidRPr="00912531">
              <w:rPr>
                <w:rFonts w:cs="Arial"/>
                <w:szCs w:val="21"/>
              </w:rPr>
              <w:t xml:space="preserve"> the domains that underpin the SCV clinical governance framework.</w:t>
            </w:r>
            <w:r>
              <w:rPr>
                <w:rFonts w:cs="Arial"/>
                <w:szCs w:val="21"/>
              </w:rPr>
              <w:t xml:space="preserve"> </w:t>
            </w:r>
          </w:p>
          <w:p w14:paraId="050C466B" w14:textId="327F8220" w:rsidR="007F3542" w:rsidRPr="00912531" w:rsidRDefault="007F3542" w:rsidP="00006AA1">
            <w:pPr>
              <w:spacing w:before="80"/>
              <w:rPr>
                <w:rFonts w:cs="Arial"/>
                <w:szCs w:val="21"/>
              </w:rPr>
            </w:pPr>
            <w:r w:rsidRPr="00912531">
              <w:rPr>
                <w:rFonts w:cs="Arial"/>
                <w:szCs w:val="21"/>
              </w:rPr>
              <w:t>Able to interpret and raise appropriate questions in relation to quality and safety report</w:t>
            </w:r>
            <w:r w:rsidR="00B40974">
              <w:rPr>
                <w:rFonts w:cs="Arial"/>
                <w:szCs w:val="21"/>
              </w:rPr>
              <w:t>s</w:t>
            </w:r>
            <w:r w:rsidRPr="00912531">
              <w:rPr>
                <w:rFonts w:cs="Arial"/>
                <w:szCs w:val="21"/>
              </w:rPr>
              <w:t>.</w:t>
            </w:r>
            <w:r w:rsidR="00871DB1">
              <w:rPr>
                <w:rFonts w:cs="Arial"/>
                <w:szCs w:val="21"/>
              </w:rPr>
              <w:t xml:space="preserve"> </w:t>
            </w:r>
          </w:p>
          <w:p w14:paraId="781F915F" w14:textId="501AF01A" w:rsidR="007F3542" w:rsidRPr="00912531" w:rsidRDefault="00871DB1" w:rsidP="00006AA1">
            <w:pPr>
              <w:spacing w:before="80"/>
              <w:rPr>
                <w:rFonts w:cs="Arial"/>
                <w:szCs w:val="21"/>
              </w:rPr>
            </w:pPr>
            <w:r>
              <w:rPr>
                <w:rFonts w:cs="Arial"/>
                <w:szCs w:val="21"/>
              </w:rPr>
              <w:t>A</w:t>
            </w:r>
            <w:r w:rsidR="007F3542" w:rsidRPr="00912531">
              <w:rPr>
                <w:rFonts w:cs="Arial"/>
                <w:szCs w:val="21"/>
              </w:rPr>
              <w:t>ble to describe the clinical risk profile of the organisation and the clinical care delivered.</w:t>
            </w:r>
            <w:r>
              <w:rPr>
                <w:rFonts w:cs="Arial"/>
                <w:szCs w:val="21"/>
              </w:rPr>
              <w:t xml:space="preserve"> </w:t>
            </w:r>
          </w:p>
          <w:p w14:paraId="65167F9A" w14:textId="21B35AF7" w:rsidR="007F3542" w:rsidRPr="00556670" w:rsidRDefault="007F3542" w:rsidP="00006AA1">
            <w:pPr>
              <w:spacing w:before="80"/>
              <w:rPr>
                <w:szCs w:val="21"/>
              </w:rPr>
            </w:pPr>
            <w:r w:rsidRPr="00912531">
              <w:rPr>
                <w:rFonts w:cs="Arial"/>
                <w:szCs w:val="21"/>
              </w:rPr>
              <w:t xml:space="preserve">Understands the </w:t>
            </w:r>
            <w:r w:rsidR="00871DB1">
              <w:rPr>
                <w:rFonts w:cs="Arial"/>
                <w:szCs w:val="21"/>
              </w:rPr>
              <w:t>organisation’s</w:t>
            </w:r>
            <w:r w:rsidRPr="00912531">
              <w:rPr>
                <w:rFonts w:cs="Arial"/>
                <w:szCs w:val="21"/>
              </w:rPr>
              <w:t xml:space="preserve"> policies</w:t>
            </w:r>
            <w:r w:rsidR="00871DB1">
              <w:rPr>
                <w:rFonts w:cs="Arial"/>
                <w:szCs w:val="21"/>
              </w:rPr>
              <w:t>,</w:t>
            </w:r>
            <w:r w:rsidRPr="00912531">
              <w:rPr>
                <w:rFonts w:cs="Arial"/>
                <w:szCs w:val="21"/>
              </w:rPr>
              <w:t xml:space="preserve"> </w:t>
            </w:r>
            <w:r w:rsidR="00DB62C1" w:rsidRPr="00912531">
              <w:rPr>
                <w:rFonts w:cs="Arial"/>
                <w:szCs w:val="21"/>
              </w:rPr>
              <w:t>practices,</w:t>
            </w:r>
            <w:r w:rsidR="00871DB1">
              <w:rPr>
                <w:rFonts w:cs="Arial"/>
                <w:szCs w:val="21"/>
              </w:rPr>
              <w:t xml:space="preserve"> and systems</w:t>
            </w:r>
            <w:r w:rsidRPr="00912531">
              <w:rPr>
                <w:rFonts w:cs="Arial"/>
                <w:szCs w:val="21"/>
              </w:rPr>
              <w:t xml:space="preserve"> </w:t>
            </w:r>
            <w:r w:rsidR="00871DB1">
              <w:rPr>
                <w:rFonts w:cs="Arial"/>
                <w:szCs w:val="21"/>
              </w:rPr>
              <w:t xml:space="preserve">regarding </w:t>
            </w:r>
            <w:r w:rsidRPr="00912531">
              <w:rPr>
                <w:rFonts w:cs="Arial"/>
                <w:szCs w:val="21"/>
              </w:rPr>
              <w:t>clinical governance.</w:t>
            </w:r>
          </w:p>
        </w:tc>
        <w:tc>
          <w:tcPr>
            <w:tcW w:w="1117" w:type="pct"/>
          </w:tcPr>
          <w:p w14:paraId="2B2A1C06" w14:textId="78B56874" w:rsidR="007F3542" w:rsidRPr="00912531" w:rsidRDefault="00871DB1" w:rsidP="00006AA1">
            <w:pPr>
              <w:spacing w:before="80"/>
              <w:rPr>
                <w:rFonts w:cs="Arial"/>
                <w:szCs w:val="21"/>
              </w:rPr>
            </w:pPr>
            <w:r>
              <w:rPr>
                <w:rFonts w:cs="Arial"/>
                <w:szCs w:val="21"/>
              </w:rPr>
              <w:t>E</w:t>
            </w:r>
            <w:r w:rsidR="007F3542" w:rsidRPr="00912531">
              <w:rPr>
                <w:rFonts w:cs="Arial"/>
                <w:szCs w:val="21"/>
              </w:rPr>
              <w:t>xperience in appl</w:t>
            </w:r>
            <w:r>
              <w:rPr>
                <w:rFonts w:cs="Arial"/>
                <w:szCs w:val="21"/>
              </w:rPr>
              <w:t>ying</w:t>
            </w:r>
            <w:r w:rsidR="007F3542" w:rsidRPr="00912531">
              <w:rPr>
                <w:rFonts w:cs="Arial"/>
                <w:szCs w:val="21"/>
              </w:rPr>
              <w:t xml:space="preserve"> clinical governance in a health</w:t>
            </w:r>
            <w:r w:rsidR="00DB62C1">
              <w:rPr>
                <w:rFonts w:cs="Arial"/>
                <w:szCs w:val="21"/>
              </w:rPr>
              <w:t>-</w:t>
            </w:r>
            <w:r w:rsidR="007F3542" w:rsidRPr="00912531">
              <w:rPr>
                <w:rFonts w:cs="Arial"/>
                <w:szCs w:val="21"/>
              </w:rPr>
              <w:t xml:space="preserve">related sector. </w:t>
            </w:r>
          </w:p>
          <w:p w14:paraId="58792B4A" w14:textId="0E4059D0" w:rsidR="007F3542" w:rsidRDefault="007F3542" w:rsidP="00006AA1">
            <w:pPr>
              <w:spacing w:before="80"/>
              <w:rPr>
                <w:rFonts w:cs="Arial"/>
                <w:szCs w:val="21"/>
              </w:rPr>
            </w:pPr>
            <w:r w:rsidRPr="00912531">
              <w:rPr>
                <w:rFonts w:cs="Arial"/>
                <w:szCs w:val="21"/>
              </w:rPr>
              <w:t xml:space="preserve">Experience </w:t>
            </w:r>
            <w:r w:rsidR="00871DB1">
              <w:rPr>
                <w:rFonts w:cs="Arial"/>
                <w:szCs w:val="21"/>
              </w:rPr>
              <w:t xml:space="preserve">as a member of, or working with, </w:t>
            </w:r>
            <w:r w:rsidRPr="00912531">
              <w:rPr>
                <w:rFonts w:cs="Arial"/>
                <w:szCs w:val="21"/>
              </w:rPr>
              <w:t>a health-related quality and safety committee or</w:t>
            </w:r>
            <w:r w:rsidR="00871DB1">
              <w:rPr>
                <w:rFonts w:cs="Arial"/>
                <w:szCs w:val="21"/>
              </w:rPr>
              <w:t xml:space="preserve"> equivalent</w:t>
            </w:r>
            <w:r w:rsidRPr="00912531">
              <w:rPr>
                <w:rFonts w:cs="Arial"/>
                <w:szCs w:val="21"/>
              </w:rPr>
              <w:t>.</w:t>
            </w:r>
            <w:r w:rsidR="00532435">
              <w:rPr>
                <w:rFonts w:cs="Arial"/>
                <w:szCs w:val="21"/>
              </w:rPr>
              <w:t xml:space="preserve"> </w:t>
            </w:r>
          </w:p>
          <w:p w14:paraId="024B1326" w14:textId="4D4811A0" w:rsidR="007F3542" w:rsidRPr="00912531" w:rsidRDefault="00BB3AF1" w:rsidP="00532435">
            <w:pPr>
              <w:spacing w:before="80"/>
              <w:rPr>
                <w:rFonts w:cs="Arial"/>
                <w:szCs w:val="21"/>
              </w:rPr>
            </w:pPr>
            <w:r>
              <w:rPr>
                <w:rFonts w:cs="Arial"/>
                <w:szCs w:val="21"/>
              </w:rPr>
              <w:t>Working k</w:t>
            </w:r>
            <w:r w:rsidR="00532435">
              <w:rPr>
                <w:rFonts w:cs="Arial"/>
                <w:szCs w:val="21"/>
              </w:rPr>
              <w:t xml:space="preserve">nowledge of </w:t>
            </w:r>
            <w:r w:rsidR="007F3542" w:rsidRPr="00912531">
              <w:rPr>
                <w:rFonts w:cs="Arial"/>
                <w:szCs w:val="21"/>
              </w:rPr>
              <w:t xml:space="preserve">preventative </w:t>
            </w:r>
            <w:r w:rsidR="00532435">
              <w:rPr>
                <w:rFonts w:cs="Arial"/>
                <w:szCs w:val="21"/>
              </w:rPr>
              <w:t>strategies,</w:t>
            </w:r>
            <w:r w:rsidR="007F3542" w:rsidRPr="00912531">
              <w:rPr>
                <w:rFonts w:cs="Arial"/>
                <w:szCs w:val="21"/>
              </w:rPr>
              <w:t xml:space="preserve"> clinical governance framework</w:t>
            </w:r>
            <w:r w:rsidR="00532435">
              <w:rPr>
                <w:rFonts w:cs="Arial"/>
                <w:szCs w:val="21"/>
              </w:rPr>
              <w:t xml:space="preserve"> and regulatory requirements</w:t>
            </w:r>
            <w:r w:rsidR="007F3542" w:rsidRPr="00912531">
              <w:rPr>
                <w:rFonts w:cs="Arial"/>
                <w:szCs w:val="21"/>
              </w:rPr>
              <w:t>.</w:t>
            </w:r>
            <w:r w:rsidR="00532435">
              <w:rPr>
                <w:rFonts w:cs="Arial"/>
                <w:szCs w:val="21"/>
              </w:rPr>
              <w:t xml:space="preserve"> </w:t>
            </w:r>
          </w:p>
          <w:p w14:paraId="11C54D74" w14:textId="1A7DC652" w:rsidR="007F3542" w:rsidRPr="00556670" w:rsidRDefault="00532435" w:rsidP="00987BFC">
            <w:pPr>
              <w:rPr>
                <w:szCs w:val="21"/>
              </w:rPr>
            </w:pPr>
            <w:r>
              <w:rPr>
                <w:rFonts w:cs="Arial"/>
                <w:szCs w:val="21"/>
              </w:rPr>
              <w:t>Experience in using</w:t>
            </w:r>
            <w:r w:rsidR="007F3542" w:rsidRPr="00912531">
              <w:rPr>
                <w:rFonts w:cs="Arial"/>
                <w:szCs w:val="21"/>
              </w:rPr>
              <w:t xml:space="preserve"> incident reporting and management process</w:t>
            </w:r>
            <w:r>
              <w:rPr>
                <w:rFonts w:cs="Arial"/>
                <w:szCs w:val="21"/>
              </w:rPr>
              <w:t xml:space="preserve"> and systems, including</w:t>
            </w:r>
            <w:r w:rsidR="007F3542" w:rsidRPr="00912531">
              <w:rPr>
                <w:rFonts w:cs="Arial"/>
                <w:szCs w:val="21"/>
              </w:rPr>
              <w:t xml:space="preserve"> </w:t>
            </w:r>
            <w:r>
              <w:rPr>
                <w:rFonts w:cs="Arial"/>
                <w:szCs w:val="21"/>
              </w:rPr>
              <w:t xml:space="preserve">doing </w:t>
            </w:r>
            <w:r w:rsidR="007F3542" w:rsidRPr="00912531">
              <w:rPr>
                <w:rFonts w:cs="Arial"/>
                <w:szCs w:val="21"/>
              </w:rPr>
              <w:t>review</w:t>
            </w:r>
            <w:r>
              <w:rPr>
                <w:rFonts w:cs="Arial"/>
                <w:szCs w:val="21"/>
              </w:rPr>
              <w:t>s</w:t>
            </w:r>
            <w:r w:rsidR="007F3542" w:rsidRPr="00912531">
              <w:rPr>
                <w:rFonts w:cs="Arial"/>
                <w:szCs w:val="21"/>
              </w:rPr>
              <w:t xml:space="preserve"> of </w:t>
            </w:r>
            <w:r>
              <w:rPr>
                <w:rFonts w:cs="Arial"/>
                <w:szCs w:val="21"/>
              </w:rPr>
              <w:t>adverse</w:t>
            </w:r>
            <w:r w:rsidRPr="00912531">
              <w:rPr>
                <w:rFonts w:cs="Arial"/>
                <w:szCs w:val="21"/>
              </w:rPr>
              <w:t xml:space="preserve"> </w:t>
            </w:r>
            <w:r w:rsidR="007F3542" w:rsidRPr="00912531">
              <w:rPr>
                <w:rFonts w:cs="Arial"/>
                <w:szCs w:val="21"/>
              </w:rPr>
              <w:t>events.</w:t>
            </w:r>
            <w:r w:rsidR="00B40974">
              <w:rPr>
                <w:rFonts w:cs="Arial"/>
                <w:szCs w:val="21"/>
              </w:rPr>
              <w:t xml:space="preserve"> </w:t>
            </w:r>
          </w:p>
        </w:tc>
        <w:tc>
          <w:tcPr>
            <w:tcW w:w="1117" w:type="pct"/>
          </w:tcPr>
          <w:p w14:paraId="59390746" w14:textId="06E0AA10" w:rsidR="007F3542" w:rsidRPr="00912531" w:rsidRDefault="007F3542" w:rsidP="00006AA1">
            <w:pPr>
              <w:spacing w:before="80"/>
              <w:rPr>
                <w:rFonts w:cs="Arial"/>
                <w:szCs w:val="21"/>
              </w:rPr>
            </w:pPr>
            <w:r w:rsidRPr="00912531">
              <w:rPr>
                <w:rFonts w:cs="Arial"/>
                <w:szCs w:val="21"/>
              </w:rPr>
              <w:t xml:space="preserve">Has a relevant qualification in a health-related </w:t>
            </w:r>
            <w:r w:rsidR="00975D55">
              <w:rPr>
                <w:rFonts w:cs="Arial"/>
                <w:szCs w:val="21"/>
              </w:rPr>
              <w:t>area</w:t>
            </w:r>
            <w:r w:rsidRPr="00912531">
              <w:rPr>
                <w:rFonts w:cs="Arial"/>
                <w:szCs w:val="21"/>
              </w:rPr>
              <w:t xml:space="preserve"> (</w:t>
            </w:r>
            <w:r w:rsidR="00BB3AF1">
              <w:rPr>
                <w:rFonts w:cs="Arial"/>
                <w:szCs w:val="21"/>
              </w:rPr>
              <w:t>such as</w:t>
            </w:r>
            <w:r w:rsidRPr="00912531">
              <w:rPr>
                <w:rFonts w:cs="Arial"/>
                <w:szCs w:val="21"/>
              </w:rPr>
              <w:t xml:space="preserve"> clinical governance</w:t>
            </w:r>
            <w:r w:rsidR="00BB3AF1">
              <w:rPr>
                <w:rFonts w:cs="Arial"/>
                <w:szCs w:val="21"/>
              </w:rPr>
              <w:t xml:space="preserve"> and </w:t>
            </w:r>
            <w:r w:rsidR="00975D55">
              <w:rPr>
                <w:rFonts w:cs="Arial"/>
                <w:szCs w:val="21"/>
              </w:rPr>
              <w:t>medical administration</w:t>
            </w:r>
            <w:r w:rsidRPr="00912531">
              <w:rPr>
                <w:rFonts w:cs="Arial"/>
                <w:szCs w:val="21"/>
              </w:rPr>
              <w:t>).</w:t>
            </w:r>
          </w:p>
          <w:p w14:paraId="4A5923A5" w14:textId="454C611D" w:rsidR="007F3542" w:rsidRPr="00912531" w:rsidRDefault="007F3542" w:rsidP="00006AA1">
            <w:pPr>
              <w:spacing w:before="80"/>
              <w:rPr>
                <w:rFonts w:cs="Arial"/>
                <w:szCs w:val="21"/>
              </w:rPr>
            </w:pPr>
            <w:r w:rsidRPr="00912531">
              <w:rPr>
                <w:rFonts w:cs="Arial"/>
                <w:szCs w:val="21"/>
              </w:rPr>
              <w:t xml:space="preserve">Experience </w:t>
            </w:r>
            <w:r w:rsidR="00532435">
              <w:rPr>
                <w:rFonts w:cs="Arial"/>
                <w:szCs w:val="21"/>
              </w:rPr>
              <w:t>as a</w:t>
            </w:r>
            <w:r w:rsidR="00532435" w:rsidRPr="00912531">
              <w:rPr>
                <w:rFonts w:cs="Arial"/>
                <w:szCs w:val="21"/>
              </w:rPr>
              <w:t xml:space="preserve"> </w:t>
            </w:r>
            <w:r w:rsidRPr="00912531">
              <w:rPr>
                <w:rFonts w:cs="Arial"/>
                <w:szCs w:val="21"/>
              </w:rPr>
              <w:t>chair of a health-related quality and safety board committee.</w:t>
            </w:r>
          </w:p>
          <w:p w14:paraId="55FB3D66" w14:textId="62752938" w:rsidR="007F3542" w:rsidRPr="00912531" w:rsidRDefault="00532435" w:rsidP="00006AA1">
            <w:pPr>
              <w:spacing w:before="80"/>
              <w:rPr>
                <w:rFonts w:cs="Arial"/>
                <w:szCs w:val="21"/>
              </w:rPr>
            </w:pPr>
            <w:r>
              <w:rPr>
                <w:rFonts w:cs="Arial"/>
                <w:szCs w:val="21"/>
              </w:rPr>
              <w:t xml:space="preserve">Implemented or experience in overseeing </w:t>
            </w:r>
            <w:r w:rsidR="007F3542" w:rsidRPr="00912531">
              <w:rPr>
                <w:rFonts w:cs="Arial"/>
                <w:szCs w:val="21"/>
              </w:rPr>
              <w:t xml:space="preserve">clinical governance </w:t>
            </w:r>
            <w:r w:rsidR="00975D55">
              <w:rPr>
                <w:rFonts w:cs="Arial"/>
                <w:szCs w:val="21"/>
              </w:rPr>
              <w:t xml:space="preserve">framework </w:t>
            </w:r>
            <w:r w:rsidR="007F3542" w:rsidRPr="00912531">
              <w:rPr>
                <w:rFonts w:cs="Arial"/>
                <w:szCs w:val="21"/>
              </w:rPr>
              <w:t>in a health</w:t>
            </w:r>
            <w:r w:rsidR="00DB62C1">
              <w:rPr>
                <w:rFonts w:cs="Arial"/>
                <w:szCs w:val="21"/>
              </w:rPr>
              <w:t>-</w:t>
            </w:r>
            <w:r w:rsidR="007F3542" w:rsidRPr="00912531">
              <w:rPr>
                <w:rFonts w:cs="Arial"/>
                <w:szCs w:val="21"/>
              </w:rPr>
              <w:t xml:space="preserve">related sector. </w:t>
            </w:r>
          </w:p>
          <w:p w14:paraId="2EC1C746" w14:textId="28F8A7FC" w:rsidR="007F3542" w:rsidRPr="00556670" w:rsidRDefault="00975D55" w:rsidP="00006AA1">
            <w:pPr>
              <w:spacing w:before="80"/>
              <w:rPr>
                <w:szCs w:val="21"/>
              </w:rPr>
            </w:pPr>
            <w:r>
              <w:rPr>
                <w:rFonts w:cs="Arial"/>
                <w:szCs w:val="21"/>
              </w:rPr>
              <w:t xml:space="preserve">Experience in </w:t>
            </w:r>
            <w:r w:rsidR="007F3542" w:rsidRPr="00912531">
              <w:rPr>
                <w:rFonts w:cs="Arial"/>
                <w:szCs w:val="21"/>
              </w:rPr>
              <w:t>overs</w:t>
            </w:r>
            <w:r>
              <w:rPr>
                <w:rFonts w:cs="Arial"/>
                <w:szCs w:val="21"/>
              </w:rPr>
              <w:t>eeing</w:t>
            </w:r>
            <w:r w:rsidR="007F3542" w:rsidRPr="00912531">
              <w:rPr>
                <w:rFonts w:cs="Arial"/>
                <w:szCs w:val="21"/>
              </w:rPr>
              <w:t xml:space="preserve"> and manag</w:t>
            </w:r>
            <w:r>
              <w:rPr>
                <w:rFonts w:cs="Arial"/>
                <w:szCs w:val="21"/>
              </w:rPr>
              <w:t>ing</w:t>
            </w:r>
            <w:r w:rsidR="007F3542" w:rsidRPr="00912531">
              <w:rPr>
                <w:rFonts w:cs="Arial"/>
                <w:szCs w:val="21"/>
              </w:rPr>
              <w:t xml:space="preserve"> clinical governance (safety) matters. </w:t>
            </w:r>
          </w:p>
        </w:tc>
      </w:tr>
    </w:tbl>
    <w:p w14:paraId="5C412994" w14:textId="77777777" w:rsidR="007F3542" w:rsidRDefault="007F3542" w:rsidP="007F3542">
      <w:pPr>
        <w:spacing w:after="0" w:line="240" w:lineRule="auto"/>
        <w:rPr>
          <w:rFonts w:eastAsia="Times"/>
        </w:rPr>
      </w:pPr>
      <w:r>
        <w:br w:type="page"/>
      </w:r>
    </w:p>
    <w:p w14:paraId="4AE4EA0F" w14:textId="24121E34" w:rsidR="007F3542" w:rsidRDefault="007F3542" w:rsidP="007F3542">
      <w:pPr>
        <w:pStyle w:val="Heading2"/>
      </w:pPr>
      <w:bookmarkStart w:id="63" w:name="_Toc149149812"/>
      <w:r>
        <w:lastRenderedPageBreak/>
        <w:t>Corporate Governance</w:t>
      </w:r>
      <w:bookmarkEnd w:id="63"/>
      <w:r>
        <w:t xml:space="preserve"> </w:t>
      </w:r>
    </w:p>
    <w:p w14:paraId="2614A026" w14:textId="77777777" w:rsidR="00975D55" w:rsidRPr="00975D55" w:rsidRDefault="00975D55" w:rsidP="00987BFC">
      <w:pPr>
        <w:pStyle w:val="Body"/>
      </w:pPr>
    </w:p>
    <w:tbl>
      <w:tblPr>
        <w:tblStyle w:val="TableGrid"/>
        <w:tblW w:w="5000" w:type="pct"/>
        <w:tblLook w:val="06A0" w:firstRow="1" w:lastRow="0" w:firstColumn="1" w:lastColumn="0" w:noHBand="1" w:noVBand="1"/>
      </w:tblPr>
      <w:tblGrid>
        <w:gridCol w:w="4673"/>
        <w:gridCol w:w="3201"/>
        <w:gridCol w:w="3201"/>
        <w:gridCol w:w="3201"/>
      </w:tblGrid>
      <w:tr w:rsidR="007F3542" w14:paraId="14346E01" w14:textId="77777777" w:rsidTr="00006AA1">
        <w:trPr>
          <w:tblHeader/>
        </w:trPr>
        <w:tc>
          <w:tcPr>
            <w:tcW w:w="1637" w:type="pct"/>
          </w:tcPr>
          <w:p w14:paraId="0F8BB14B" w14:textId="77777777" w:rsidR="007F3542" w:rsidRPr="005C252D" w:rsidRDefault="007F3542" w:rsidP="00987BFC">
            <w:pPr>
              <w:pStyle w:val="Tablecolhead"/>
              <w:rPr>
                <w:sz w:val="24"/>
                <w:szCs w:val="24"/>
              </w:rPr>
            </w:pPr>
            <w:r w:rsidRPr="005C252D">
              <w:rPr>
                <w:sz w:val="24"/>
                <w:szCs w:val="24"/>
              </w:rPr>
              <w:t>Capability description</w:t>
            </w:r>
          </w:p>
        </w:tc>
        <w:tc>
          <w:tcPr>
            <w:tcW w:w="1121" w:type="pct"/>
          </w:tcPr>
          <w:p w14:paraId="7D1D4BBB" w14:textId="77777777" w:rsidR="007F3542" w:rsidRPr="005C252D" w:rsidRDefault="007F3542" w:rsidP="00006AA1">
            <w:pPr>
              <w:pStyle w:val="Tablecolhead"/>
              <w:rPr>
                <w:sz w:val="24"/>
                <w:szCs w:val="24"/>
              </w:rPr>
            </w:pPr>
            <w:r w:rsidRPr="005C252D">
              <w:rPr>
                <w:sz w:val="24"/>
                <w:szCs w:val="24"/>
              </w:rPr>
              <w:t>Foundational</w:t>
            </w:r>
          </w:p>
        </w:tc>
        <w:tc>
          <w:tcPr>
            <w:tcW w:w="1121" w:type="pct"/>
          </w:tcPr>
          <w:p w14:paraId="67EF3BB1" w14:textId="77777777" w:rsidR="007F3542" w:rsidRPr="005C252D" w:rsidRDefault="007F3542" w:rsidP="00006AA1">
            <w:pPr>
              <w:pStyle w:val="Tablecolhead"/>
              <w:rPr>
                <w:sz w:val="24"/>
                <w:szCs w:val="24"/>
              </w:rPr>
            </w:pPr>
            <w:r w:rsidRPr="005C252D">
              <w:rPr>
                <w:sz w:val="24"/>
                <w:szCs w:val="24"/>
              </w:rPr>
              <w:t>Proficient</w:t>
            </w:r>
          </w:p>
        </w:tc>
        <w:tc>
          <w:tcPr>
            <w:tcW w:w="1121" w:type="pct"/>
          </w:tcPr>
          <w:p w14:paraId="5FD1F1C1" w14:textId="77777777" w:rsidR="007F3542" w:rsidRPr="005C252D" w:rsidRDefault="007F3542" w:rsidP="00006AA1">
            <w:pPr>
              <w:pStyle w:val="Tablecolhead"/>
              <w:rPr>
                <w:sz w:val="24"/>
                <w:szCs w:val="24"/>
              </w:rPr>
            </w:pPr>
            <w:r w:rsidRPr="005C252D">
              <w:rPr>
                <w:sz w:val="24"/>
                <w:szCs w:val="24"/>
              </w:rPr>
              <w:t>Advanced</w:t>
            </w:r>
          </w:p>
        </w:tc>
      </w:tr>
      <w:tr w:rsidR="007F3542" w:rsidRPr="00556670" w14:paraId="14F884EF" w14:textId="77777777" w:rsidTr="00987BFC">
        <w:trPr>
          <w:trHeight w:val="6322"/>
        </w:trPr>
        <w:tc>
          <w:tcPr>
            <w:tcW w:w="1637" w:type="pct"/>
          </w:tcPr>
          <w:p w14:paraId="3A6CDDA0" w14:textId="3C8F5AFE" w:rsidR="007F3542" w:rsidRPr="00AA7CFC" w:rsidRDefault="00975D55" w:rsidP="007F3542">
            <w:pPr>
              <w:pStyle w:val="DHHSmainsubheading"/>
              <w:numPr>
                <w:ilvl w:val="0"/>
                <w:numId w:val="15"/>
              </w:numPr>
              <w:spacing w:before="80" w:after="120"/>
              <w:ind w:left="426" w:hanging="426"/>
              <w:rPr>
                <w:color w:val="auto"/>
                <w:sz w:val="21"/>
                <w:szCs w:val="21"/>
                <w:lang w:val="en-US"/>
              </w:rPr>
            </w:pPr>
            <w:r>
              <w:rPr>
                <w:color w:val="auto"/>
                <w:sz w:val="21"/>
                <w:szCs w:val="21"/>
                <w:lang w:val="en-US"/>
              </w:rPr>
              <w:t>E</w:t>
            </w:r>
            <w:r w:rsidR="007F3542" w:rsidRPr="00AA7CFC">
              <w:rPr>
                <w:color w:val="auto"/>
                <w:sz w:val="21"/>
                <w:szCs w:val="21"/>
                <w:lang w:val="en-US"/>
              </w:rPr>
              <w:t xml:space="preserve">xperience </w:t>
            </w:r>
            <w:r w:rsidR="00BB3AF1">
              <w:rPr>
                <w:color w:val="auto"/>
                <w:sz w:val="21"/>
                <w:szCs w:val="21"/>
                <w:lang w:val="en-US"/>
              </w:rPr>
              <w:t>in</w:t>
            </w:r>
            <w:r w:rsidR="007F3542" w:rsidRPr="00AA7CFC">
              <w:rPr>
                <w:color w:val="auto"/>
                <w:sz w:val="21"/>
                <w:szCs w:val="21"/>
                <w:lang w:val="en-US"/>
              </w:rPr>
              <w:t xml:space="preserve"> corporate governance, including the separation of </w:t>
            </w:r>
            <w:r w:rsidR="00BB3AF1">
              <w:rPr>
                <w:color w:val="auto"/>
                <w:sz w:val="21"/>
                <w:szCs w:val="21"/>
                <w:lang w:val="en-US"/>
              </w:rPr>
              <w:t>board</w:t>
            </w:r>
            <w:r w:rsidR="00BB3AF1" w:rsidRPr="00AA7CFC">
              <w:rPr>
                <w:color w:val="auto"/>
                <w:sz w:val="21"/>
                <w:szCs w:val="21"/>
                <w:lang w:val="en-US"/>
              </w:rPr>
              <w:t xml:space="preserve"> </w:t>
            </w:r>
            <w:r w:rsidR="007F3542" w:rsidRPr="00AA7CFC">
              <w:rPr>
                <w:color w:val="auto"/>
                <w:sz w:val="21"/>
                <w:szCs w:val="21"/>
                <w:lang w:val="en-US"/>
              </w:rPr>
              <w:t xml:space="preserve">and management, and the roles, </w:t>
            </w:r>
            <w:r w:rsidR="00BB3AF1">
              <w:rPr>
                <w:color w:val="auto"/>
                <w:sz w:val="21"/>
                <w:szCs w:val="21"/>
                <w:lang w:val="en-US"/>
              </w:rPr>
              <w:t>responsibilities</w:t>
            </w:r>
            <w:r w:rsidR="0075171D">
              <w:rPr>
                <w:color w:val="auto"/>
                <w:sz w:val="21"/>
                <w:szCs w:val="21"/>
                <w:lang w:val="en-US"/>
              </w:rPr>
              <w:t>,</w:t>
            </w:r>
            <w:r w:rsidR="00BB3AF1" w:rsidRPr="00AA7CFC">
              <w:rPr>
                <w:color w:val="auto"/>
                <w:sz w:val="21"/>
                <w:szCs w:val="21"/>
                <w:lang w:val="en-US"/>
              </w:rPr>
              <w:t xml:space="preserve"> </w:t>
            </w:r>
            <w:r w:rsidR="007F3542" w:rsidRPr="00AA7CFC">
              <w:rPr>
                <w:color w:val="auto"/>
                <w:sz w:val="21"/>
                <w:szCs w:val="21"/>
                <w:lang w:val="en-US"/>
              </w:rPr>
              <w:t xml:space="preserve">and obligations of </w:t>
            </w:r>
            <w:r w:rsidR="007F3542">
              <w:rPr>
                <w:color w:val="auto"/>
                <w:sz w:val="21"/>
                <w:szCs w:val="21"/>
                <w:lang w:val="en-US"/>
              </w:rPr>
              <w:t>board</w:t>
            </w:r>
            <w:r w:rsidR="007F3542" w:rsidRPr="00AA7CFC">
              <w:rPr>
                <w:color w:val="auto"/>
                <w:sz w:val="21"/>
                <w:szCs w:val="21"/>
                <w:lang w:val="en-US"/>
              </w:rPr>
              <w:t xml:space="preserve"> directors</w:t>
            </w:r>
            <w:r w:rsidR="0075171D">
              <w:rPr>
                <w:color w:val="auto"/>
                <w:sz w:val="21"/>
                <w:szCs w:val="21"/>
                <w:lang w:val="en-US"/>
              </w:rPr>
              <w:t>.</w:t>
            </w:r>
            <w:r w:rsidR="007F3542" w:rsidRPr="00AA7CFC">
              <w:rPr>
                <w:color w:val="auto"/>
                <w:sz w:val="21"/>
                <w:szCs w:val="21"/>
                <w:lang w:val="en-US"/>
              </w:rPr>
              <w:t xml:space="preserve"> </w:t>
            </w:r>
          </w:p>
          <w:p w14:paraId="7D7F24FA" w14:textId="7D9D8F9B" w:rsidR="007F3542" w:rsidRPr="00AA7CFC" w:rsidRDefault="00BB3AF1" w:rsidP="007F3542">
            <w:pPr>
              <w:pStyle w:val="DHHSmainsubheading"/>
              <w:numPr>
                <w:ilvl w:val="0"/>
                <w:numId w:val="15"/>
              </w:numPr>
              <w:spacing w:before="80" w:after="120"/>
              <w:ind w:left="426" w:hanging="426"/>
              <w:rPr>
                <w:color w:val="auto"/>
                <w:sz w:val="21"/>
                <w:szCs w:val="21"/>
                <w:lang w:val="en-US"/>
              </w:rPr>
            </w:pPr>
            <w:r>
              <w:rPr>
                <w:color w:val="auto"/>
                <w:sz w:val="21"/>
                <w:szCs w:val="21"/>
                <w:lang w:val="en-US"/>
              </w:rPr>
              <w:t>U</w:t>
            </w:r>
            <w:r w:rsidR="007F3542" w:rsidRPr="00AA7CFC">
              <w:rPr>
                <w:color w:val="auto"/>
                <w:sz w:val="21"/>
                <w:szCs w:val="21"/>
                <w:lang w:val="en-US"/>
              </w:rPr>
              <w:t>nderstanding of the rules, relationships, systems</w:t>
            </w:r>
            <w:r>
              <w:rPr>
                <w:color w:val="auto"/>
                <w:sz w:val="21"/>
                <w:szCs w:val="21"/>
                <w:lang w:val="en-US"/>
              </w:rPr>
              <w:t>,</w:t>
            </w:r>
            <w:r w:rsidR="007F3542" w:rsidRPr="00AA7CFC">
              <w:rPr>
                <w:color w:val="auto"/>
                <w:sz w:val="21"/>
                <w:szCs w:val="21"/>
                <w:lang w:val="en-US"/>
              </w:rPr>
              <w:t xml:space="preserve"> and processes within</w:t>
            </w:r>
            <w:r w:rsidR="00271227">
              <w:rPr>
                <w:color w:val="auto"/>
                <w:sz w:val="21"/>
                <w:szCs w:val="21"/>
                <w:lang w:val="en-US"/>
              </w:rPr>
              <w:t>,</w:t>
            </w:r>
            <w:r w:rsidR="008A6FAA">
              <w:rPr>
                <w:color w:val="auto"/>
                <w:sz w:val="21"/>
                <w:szCs w:val="21"/>
                <w:lang w:val="en-US"/>
              </w:rPr>
              <w:t xml:space="preserve"> </w:t>
            </w:r>
            <w:r w:rsidR="007F3542" w:rsidRPr="00AA7CFC">
              <w:rPr>
                <w:color w:val="auto"/>
                <w:sz w:val="21"/>
                <w:szCs w:val="21"/>
                <w:lang w:val="en-US"/>
              </w:rPr>
              <w:t>and by which</w:t>
            </w:r>
            <w:r w:rsidR="0042460C">
              <w:rPr>
                <w:color w:val="auto"/>
                <w:sz w:val="21"/>
                <w:szCs w:val="21"/>
                <w:lang w:val="en-US"/>
              </w:rPr>
              <w:t>,</w:t>
            </w:r>
            <w:r w:rsidR="007F3542" w:rsidRPr="00AA7CFC">
              <w:rPr>
                <w:color w:val="auto"/>
                <w:sz w:val="21"/>
                <w:szCs w:val="21"/>
                <w:lang w:val="en-US"/>
              </w:rPr>
              <w:t xml:space="preserve"> authority is exercised and controlled in organisations</w:t>
            </w:r>
            <w:r w:rsidR="0075171D">
              <w:rPr>
                <w:color w:val="auto"/>
                <w:sz w:val="21"/>
                <w:szCs w:val="21"/>
                <w:lang w:val="en-US"/>
              </w:rPr>
              <w:t>.</w:t>
            </w:r>
          </w:p>
          <w:p w14:paraId="11BA9391" w14:textId="6A8C58E5" w:rsidR="007F3542" w:rsidRDefault="0042460C" w:rsidP="007F3542">
            <w:pPr>
              <w:pStyle w:val="DHHSmainsubheading"/>
              <w:numPr>
                <w:ilvl w:val="0"/>
                <w:numId w:val="15"/>
              </w:numPr>
              <w:spacing w:before="80" w:after="120"/>
              <w:ind w:left="426" w:hanging="426"/>
              <w:rPr>
                <w:color w:val="auto"/>
                <w:sz w:val="21"/>
                <w:szCs w:val="21"/>
                <w:lang w:val="en-US"/>
              </w:rPr>
            </w:pPr>
            <w:r>
              <w:rPr>
                <w:color w:val="auto"/>
                <w:sz w:val="21"/>
                <w:szCs w:val="21"/>
                <w:lang w:val="en-US"/>
              </w:rPr>
              <w:t>U</w:t>
            </w:r>
            <w:r w:rsidR="007F3542" w:rsidRPr="00AA7CFC">
              <w:rPr>
                <w:color w:val="auto"/>
                <w:sz w:val="21"/>
                <w:szCs w:val="21"/>
                <w:lang w:val="en-US"/>
              </w:rPr>
              <w:t xml:space="preserve">nderstanding of relevant fiduciary and legal duties of a director </w:t>
            </w:r>
            <w:r>
              <w:rPr>
                <w:color w:val="auto"/>
                <w:sz w:val="21"/>
                <w:szCs w:val="21"/>
                <w:lang w:val="en-US"/>
              </w:rPr>
              <w:t>i</w:t>
            </w:r>
            <w:r w:rsidR="007F3542" w:rsidRPr="00AA7CFC">
              <w:rPr>
                <w:color w:val="auto"/>
                <w:sz w:val="21"/>
                <w:szCs w:val="21"/>
                <w:lang w:val="en-US"/>
              </w:rPr>
              <w:t xml:space="preserve">n a public health context, including the </w:t>
            </w:r>
            <w:r w:rsidR="005940B4" w:rsidRPr="00C064A6">
              <w:rPr>
                <w:i/>
                <w:iCs/>
                <w:color w:val="auto"/>
                <w:sz w:val="21"/>
                <w:szCs w:val="21"/>
                <w:lang w:val="en-US"/>
              </w:rPr>
              <w:t>Public Administration Act</w:t>
            </w:r>
            <w:r w:rsidR="009B2903" w:rsidRPr="00C064A6">
              <w:rPr>
                <w:i/>
                <w:iCs/>
                <w:color w:val="auto"/>
                <w:sz w:val="21"/>
                <w:szCs w:val="21"/>
                <w:lang w:val="en-US"/>
              </w:rPr>
              <w:t xml:space="preserve"> </w:t>
            </w:r>
            <w:r w:rsidR="00561389" w:rsidRPr="00C064A6">
              <w:rPr>
                <w:i/>
                <w:iCs/>
                <w:color w:val="auto"/>
                <w:sz w:val="21"/>
                <w:szCs w:val="21"/>
                <w:lang w:val="en-US"/>
              </w:rPr>
              <w:t>2004 (Vic)</w:t>
            </w:r>
            <w:r w:rsidR="009B2903">
              <w:rPr>
                <w:color w:val="auto"/>
                <w:sz w:val="21"/>
                <w:szCs w:val="21"/>
                <w:lang w:val="en-US"/>
              </w:rPr>
              <w:t>, director’s</w:t>
            </w:r>
            <w:r w:rsidR="007F3542" w:rsidRPr="00AA7CFC">
              <w:rPr>
                <w:color w:val="auto"/>
                <w:sz w:val="21"/>
                <w:szCs w:val="21"/>
                <w:lang w:val="en-US"/>
              </w:rPr>
              <w:t xml:space="preserve"> </w:t>
            </w:r>
            <w:r w:rsidR="00271227" w:rsidRPr="00C064A6">
              <w:rPr>
                <w:color w:val="auto"/>
                <w:sz w:val="21"/>
                <w:szCs w:val="21"/>
                <w:lang w:val="en-US"/>
              </w:rPr>
              <w:t>C</w:t>
            </w:r>
            <w:r w:rsidR="007F3542" w:rsidRPr="00C064A6">
              <w:rPr>
                <w:color w:val="auto"/>
                <w:sz w:val="21"/>
                <w:szCs w:val="21"/>
                <w:lang w:val="en-US"/>
              </w:rPr>
              <w:t xml:space="preserve">ode of </w:t>
            </w:r>
            <w:r w:rsidR="00271227" w:rsidRPr="00C064A6">
              <w:rPr>
                <w:color w:val="auto"/>
                <w:sz w:val="21"/>
                <w:szCs w:val="21"/>
                <w:lang w:val="en-US"/>
              </w:rPr>
              <w:t>C</w:t>
            </w:r>
            <w:r w:rsidR="007F3542" w:rsidRPr="00C064A6">
              <w:rPr>
                <w:color w:val="auto"/>
                <w:sz w:val="21"/>
                <w:szCs w:val="21"/>
                <w:lang w:val="en-US"/>
              </w:rPr>
              <w:t>onduct</w:t>
            </w:r>
            <w:r w:rsidR="007F3542" w:rsidRPr="00AA7CFC">
              <w:rPr>
                <w:color w:val="auto"/>
                <w:sz w:val="21"/>
                <w:szCs w:val="21"/>
                <w:lang w:val="en-US"/>
              </w:rPr>
              <w:t xml:space="preserve"> and </w:t>
            </w:r>
            <w:r w:rsidR="007F3542">
              <w:rPr>
                <w:color w:val="auto"/>
                <w:sz w:val="21"/>
                <w:szCs w:val="21"/>
                <w:lang w:val="en-US"/>
              </w:rPr>
              <w:t xml:space="preserve">a </w:t>
            </w:r>
            <w:r w:rsidR="007F3542" w:rsidRPr="00AA7CFC">
              <w:rPr>
                <w:color w:val="auto"/>
                <w:sz w:val="21"/>
                <w:szCs w:val="21"/>
                <w:lang w:val="en-US"/>
              </w:rPr>
              <w:t>director’s accountability to the Minister.</w:t>
            </w:r>
            <w:r>
              <w:rPr>
                <w:color w:val="auto"/>
                <w:sz w:val="21"/>
                <w:szCs w:val="21"/>
                <w:lang w:val="en-US"/>
              </w:rPr>
              <w:t xml:space="preserve"> </w:t>
            </w:r>
          </w:p>
          <w:p w14:paraId="3DBBE82F" w14:textId="77777777" w:rsidR="007F3542" w:rsidRPr="00C16F77" w:rsidRDefault="007F3542" w:rsidP="00006AA1">
            <w:pPr>
              <w:pStyle w:val="DHHSmainsubheading"/>
              <w:spacing w:before="80" w:after="120"/>
              <w:jc w:val="both"/>
              <w:rPr>
                <w:rFonts w:eastAsia="Times"/>
                <w:color w:val="auto"/>
                <w:sz w:val="21"/>
                <w:szCs w:val="21"/>
              </w:rPr>
            </w:pPr>
          </w:p>
        </w:tc>
        <w:tc>
          <w:tcPr>
            <w:tcW w:w="1121" w:type="pct"/>
          </w:tcPr>
          <w:p w14:paraId="6CC729FD" w14:textId="10E335F1" w:rsidR="007F3542" w:rsidRPr="00AA7CFC" w:rsidRDefault="007F3542" w:rsidP="00006AA1">
            <w:pPr>
              <w:spacing w:before="80"/>
              <w:rPr>
                <w:rFonts w:cs="Arial"/>
                <w:szCs w:val="21"/>
              </w:rPr>
            </w:pPr>
            <w:r w:rsidRPr="00AA7CFC">
              <w:rPr>
                <w:rFonts w:cs="Arial"/>
                <w:szCs w:val="21"/>
              </w:rPr>
              <w:t>Understand</w:t>
            </w:r>
            <w:r w:rsidR="00BB3AF1">
              <w:rPr>
                <w:rFonts w:cs="Arial"/>
                <w:szCs w:val="21"/>
              </w:rPr>
              <w:t>s</w:t>
            </w:r>
            <w:r w:rsidRPr="00AA7CFC">
              <w:rPr>
                <w:rFonts w:cs="Arial"/>
                <w:szCs w:val="21"/>
              </w:rPr>
              <w:t xml:space="preserve"> the duties and responsibilities of a board director.</w:t>
            </w:r>
            <w:r w:rsidR="00BB3AF1">
              <w:rPr>
                <w:rFonts w:cs="Arial"/>
                <w:szCs w:val="21"/>
              </w:rPr>
              <w:t xml:space="preserve"> </w:t>
            </w:r>
          </w:p>
          <w:p w14:paraId="123B70F1" w14:textId="45D75663" w:rsidR="007F3542" w:rsidRPr="00AA7CFC" w:rsidRDefault="007F3542" w:rsidP="00006AA1">
            <w:pPr>
              <w:spacing w:before="80"/>
              <w:rPr>
                <w:rFonts w:cs="Arial"/>
                <w:szCs w:val="21"/>
              </w:rPr>
            </w:pPr>
            <w:r w:rsidRPr="00AA7CFC">
              <w:rPr>
                <w:rFonts w:cs="Arial"/>
                <w:szCs w:val="21"/>
              </w:rPr>
              <w:t>Understand</w:t>
            </w:r>
            <w:r w:rsidR="00BB3AF1">
              <w:rPr>
                <w:rFonts w:cs="Arial"/>
                <w:szCs w:val="21"/>
              </w:rPr>
              <w:t>s</w:t>
            </w:r>
            <w:r w:rsidRPr="00AA7CFC">
              <w:rPr>
                <w:rFonts w:cs="Arial"/>
                <w:szCs w:val="21"/>
              </w:rPr>
              <w:t xml:space="preserve"> the regulatory bodies and enabling legislation as </w:t>
            </w:r>
            <w:r w:rsidR="00BB3AF1">
              <w:rPr>
                <w:rFonts w:cs="Arial"/>
                <w:szCs w:val="21"/>
              </w:rPr>
              <w:t>they</w:t>
            </w:r>
            <w:r w:rsidRPr="00AA7CFC">
              <w:rPr>
                <w:rFonts w:cs="Arial"/>
                <w:szCs w:val="21"/>
              </w:rPr>
              <w:t xml:space="preserve"> relate to </w:t>
            </w:r>
            <w:r w:rsidR="0042460C">
              <w:rPr>
                <w:rFonts w:cs="Arial"/>
                <w:szCs w:val="21"/>
              </w:rPr>
              <w:t xml:space="preserve">Victorian </w:t>
            </w:r>
            <w:r w:rsidRPr="00AA7CFC">
              <w:rPr>
                <w:rFonts w:cs="Arial"/>
                <w:szCs w:val="21"/>
              </w:rPr>
              <w:t>public health boards.</w:t>
            </w:r>
          </w:p>
          <w:p w14:paraId="0D689423" w14:textId="4E712B42" w:rsidR="007F3542" w:rsidRPr="00AA7CFC" w:rsidRDefault="007F3542" w:rsidP="00006AA1">
            <w:pPr>
              <w:spacing w:before="80"/>
              <w:rPr>
                <w:rFonts w:cs="Arial"/>
                <w:szCs w:val="21"/>
              </w:rPr>
            </w:pPr>
            <w:r w:rsidRPr="00AA7CFC">
              <w:rPr>
                <w:rFonts w:cs="Arial"/>
                <w:szCs w:val="21"/>
              </w:rPr>
              <w:t>Understand</w:t>
            </w:r>
            <w:r w:rsidR="00BB3AF1">
              <w:rPr>
                <w:rFonts w:cs="Arial"/>
                <w:szCs w:val="21"/>
              </w:rPr>
              <w:t>s</w:t>
            </w:r>
            <w:r w:rsidRPr="00AA7CFC">
              <w:rPr>
                <w:rFonts w:cs="Arial"/>
                <w:szCs w:val="21"/>
              </w:rPr>
              <w:t xml:space="preserve"> the role </w:t>
            </w:r>
            <w:r>
              <w:rPr>
                <w:rFonts w:cs="Arial"/>
                <w:szCs w:val="21"/>
              </w:rPr>
              <w:t xml:space="preserve">and function </w:t>
            </w:r>
            <w:r w:rsidRPr="00AA7CFC">
              <w:rPr>
                <w:rFonts w:cs="Arial"/>
                <w:szCs w:val="21"/>
              </w:rPr>
              <w:t>of the board.</w:t>
            </w:r>
          </w:p>
          <w:p w14:paraId="4380807D" w14:textId="4AB703A3" w:rsidR="007F3542" w:rsidRPr="00AA7CFC" w:rsidRDefault="007F3542" w:rsidP="00006AA1">
            <w:pPr>
              <w:spacing w:before="80"/>
              <w:rPr>
                <w:rFonts w:cs="Arial"/>
                <w:szCs w:val="21"/>
              </w:rPr>
            </w:pPr>
            <w:r w:rsidRPr="00AA7CFC">
              <w:rPr>
                <w:rFonts w:cs="Arial"/>
                <w:szCs w:val="21"/>
              </w:rPr>
              <w:t>Understand</w:t>
            </w:r>
            <w:r w:rsidR="00BB3AF1">
              <w:rPr>
                <w:rFonts w:cs="Arial"/>
                <w:szCs w:val="21"/>
              </w:rPr>
              <w:t>s</w:t>
            </w:r>
            <w:r w:rsidRPr="00AA7CFC">
              <w:rPr>
                <w:rFonts w:cs="Arial"/>
                <w:szCs w:val="21"/>
              </w:rPr>
              <w:t xml:space="preserve"> the role</w:t>
            </w:r>
            <w:r>
              <w:rPr>
                <w:rFonts w:cs="Arial"/>
                <w:szCs w:val="21"/>
              </w:rPr>
              <w:t xml:space="preserve"> </w:t>
            </w:r>
            <w:r w:rsidR="00BB3AF1">
              <w:rPr>
                <w:rFonts w:cs="Arial"/>
                <w:szCs w:val="21"/>
              </w:rPr>
              <w:t>of</w:t>
            </w:r>
            <w:r>
              <w:rPr>
                <w:rFonts w:cs="Arial"/>
                <w:szCs w:val="21"/>
              </w:rPr>
              <w:t xml:space="preserve"> </w:t>
            </w:r>
            <w:r w:rsidRPr="00AA7CFC">
              <w:rPr>
                <w:rFonts w:cs="Arial"/>
                <w:szCs w:val="21"/>
              </w:rPr>
              <w:t>management.</w:t>
            </w:r>
          </w:p>
          <w:p w14:paraId="003B016C" w14:textId="5372D26A" w:rsidR="007F3542" w:rsidRPr="00556670" w:rsidRDefault="007F3542" w:rsidP="00006AA1">
            <w:pPr>
              <w:spacing w:before="80"/>
              <w:rPr>
                <w:szCs w:val="21"/>
              </w:rPr>
            </w:pPr>
            <w:r w:rsidRPr="00AA7CFC">
              <w:rPr>
                <w:rFonts w:cs="Arial"/>
                <w:szCs w:val="21"/>
              </w:rPr>
              <w:t>Completion of a foundation-level course at the Australian Institute of Company Directors</w:t>
            </w:r>
            <w:r>
              <w:rPr>
                <w:rFonts w:cs="Arial"/>
                <w:szCs w:val="21"/>
              </w:rPr>
              <w:t xml:space="preserve"> </w:t>
            </w:r>
            <w:r w:rsidR="00A36293">
              <w:rPr>
                <w:rFonts w:cs="Arial"/>
                <w:szCs w:val="21"/>
              </w:rPr>
              <w:t xml:space="preserve">is </w:t>
            </w:r>
            <w:r>
              <w:rPr>
                <w:rFonts w:cs="Arial"/>
                <w:szCs w:val="21"/>
              </w:rPr>
              <w:t>desirable</w:t>
            </w:r>
            <w:r w:rsidRPr="00AA7CFC">
              <w:rPr>
                <w:rFonts w:cs="Arial"/>
                <w:szCs w:val="21"/>
              </w:rPr>
              <w:t>.</w:t>
            </w:r>
            <w:r>
              <w:rPr>
                <w:rFonts w:cs="Arial"/>
                <w:szCs w:val="21"/>
              </w:rPr>
              <w:t xml:space="preserve"> </w:t>
            </w:r>
          </w:p>
        </w:tc>
        <w:tc>
          <w:tcPr>
            <w:tcW w:w="1121" w:type="pct"/>
          </w:tcPr>
          <w:p w14:paraId="72B23046" w14:textId="6648F13D" w:rsidR="007F3542" w:rsidRPr="00AA7CFC" w:rsidRDefault="007F3542" w:rsidP="00006AA1">
            <w:pPr>
              <w:spacing w:before="80"/>
              <w:rPr>
                <w:rFonts w:cs="Arial"/>
                <w:szCs w:val="21"/>
              </w:rPr>
            </w:pPr>
            <w:r>
              <w:rPr>
                <w:rFonts w:cs="Arial"/>
                <w:szCs w:val="21"/>
              </w:rPr>
              <w:t>E</w:t>
            </w:r>
            <w:r w:rsidRPr="00AA7CFC">
              <w:rPr>
                <w:rFonts w:cs="Arial"/>
                <w:szCs w:val="21"/>
              </w:rPr>
              <w:t>xperience in corporate governance in a medium</w:t>
            </w:r>
            <w:r>
              <w:rPr>
                <w:rFonts w:cs="Arial"/>
                <w:szCs w:val="21"/>
              </w:rPr>
              <w:t xml:space="preserve"> to </w:t>
            </w:r>
            <w:r w:rsidRPr="00AA7CFC">
              <w:rPr>
                <w:rFonts w:cs="Arial"/>
                <w:szCs w:val="21"/>
              </w:rPr>
              <w:t>large organisation</w:t>
            </w:r>
            <w:r>
              <w:rPr>
                <w:rFonts w:cs="Arial"/>
                <w:szCs w:val="21"/>
              </w:rPr>
              <w:t>. Examples include</w:t>
            </w:r>
            <w:r w:rsidR="00A36293">
              <w:rPr>
                <w:rFonts w:cs="Arial"/>
                <w:szCs w:val="21"/>
              </w:rPr>
              <w:t>,</w:t>
            </w:r>
            <w:r>
              <w:rPr>
                <w:rFonts w:cs="Arial"/>
                <w:szCs w:val="21"/>
              </w:rPr>
              <w:t xml:space="preserve"> but not limited to</w:t>
            </w:r>
            <w:r w:rsidR="00243FA5">
              <w:rPr>
                <w:rFonts w:cs="Arial"/>
                <w:szCs w:val="21"/>
              </w:rPr>
              <w:t>,</w:t>
            </w:r>
            <w:r>
              <w:rPr>
                <w:rFonts w:cs="Arial"/>
                <w:szCs w:val="21"/>
              </w:rPr>
              <w:t xml:space="preserve"> c</w:t>
            </w:r>
            <w:r w:rsidRPr="00AA7CFC">
              <w:rPr>
                <w:rFonts w:cs="Arial"/>
                <w:szCs w:val="21"/>
              </w:rPr>
              <w:t xml:space="preserve">ompany </w:t>
            </w:r>
            <w:r>
              <w:rPr>
                <w:rFonts w:cs="Arial"/>
                <w:szCs w:val="21"/>
              </w:rPr>
              <w:t>s</w:t>
            </w:r>
            <w:r w:rsidRPr="00AA7CFC">
              <w:rPr>
                <w:rFonts w:cs="Arial"/>
                <w:szCs w:val="21"/>
              </w:rPr>
              <w:t>ecretary</w:t>
            </w:r>
            <w:r>
              <w:rPr>
                <w:rFonts w:cs="Arial"/>
                <w:szCs w:val="21"/>
              </w:rPr>
              <w:t xml:space="preserve">, </w:t>
            </w:r>
            <w:r w:rsidRPr="00AA7CFC">
              <w:rPr>
                <w:rFonts w:cs="Arial"/>
                <w:szCs w:val="21"/>
              </w:rPr>
              <w:t xml:space="preserve">board director or </w:t>
            </w:r>
            <w:r>
              <w:rPr>
                <w:rFonts w:cs="Arial"/>
                <w:szCs w:val="21"/>
              </w:rPr>
              <w:t xml:space="preserve">management </w:t>
            </w:r>
            <w:r w:rsidRPr="00AA7CFC">
              <w:rPr>
                <w:rFonts w:cs="Arial"/>
                <w:szCs w:val="21"/>
              </w:rPr>
              <w:t>reporting to a board.</w:t>
            </w:r>
            <w:r w:rsidR="0042460C">
              <w:rPr>
                <w:rFonts w:cs="Arial"/>
                <w:szCs w:val="21"/>
              </w:rPr>
              <w:t xml:space="preserve"> </w:t>
            </w:r>
          </w:p>
          <w:p w14:paraId="56F2C9AE" w14:textId="128F73B9" w:rsidR="007F3542" w:rsidRPr="00AA7CFC" w:rsidRDefault="007F3542" w:rsidP="00006AA1">
            <w:pPr>
              <w:spacing w:before="80"/>
              <w:rPr>
                <w:rFonts w:cs="Arial"/>
                <w:szCs w:val="21"/>
              </w:rPr>
            </w:pPr>
            <w:r>
              <w:rPr>
                <w:rFonts w:cs="Arial"/>
                <w:szCs w:val="21"/>
              </w:rPr>
              <w:t xml:space="preserve">Experience in </w:t>
            </w:r>
            <w:r w:rsidRPr="00AA7CFC">
              <w:rPr>
                <w:rFonts w:cs="Arial"/>
                <w:szCs w:val="21"/>
              </w:rPr>
              <w:t>lead</w:t>
            </w:r>
            <w:r>
              <w:rPr>
                <w:rFonts w:cs="Arial"/>
                <w:szCs w:val="21"/>
              </w:rPr>
              <w:t>ing</w:t>
            </w:r>
            <w:r w:rsidRPr="00AA7CFC">
              <w:rPr>
                <w:rFonts w:cs="Arial"/>
                <w:szCs w:val="21"/>
              </w:rPr>
              <w:t xml:space="preserve"> and mak</w:t>
            </w:r>
            <w:r>
              <w:rPr>
                <w:rFonts w:cs="Arial"/>
                <w:szCs w:val="21"/>
              </w:rPr>
              <w:t>ing</w:t>
            </w:r>
            <w:r w:rsidRPr="00AA7CFC">
              <w:rPr>
                <w:rFonts w:cs="Arial"/>
                <w:szCs w:val="21"/>
              </w:rPr>
              <w:t xml:space="preserve"> decisions in large</w:t>
            </w:r>
            <w:r w:rsidR="0042460C">
              <w:rPr>
                <w:rFonts w:cs="Arial"/>
                <w:szCs w:val="21"/>
              </w:rPr>
              <w:t xml:space="preserve"> </w:t>
            </w:r>
            <w:r w:rsidRPr="00AA7CFC">
              <w:rPr>
                <w:rFonts w:cs="Arial"/>
                <w:szCs w:val="21"/>
              </w:rPr>
              <w:t xml:space="preserve">or </w:t>
            </w:r>
            <w:r w:rsidR="0042460C">
              <w:rPr>
                <w:rFonts w:cs="Arial"/>
                <w:szCs w:val="21"/>
              </w:rPr>
              <w:t>complex organisations</w:t>
            </w:r>
            <w:r w:rsidRPr="00AA7CFC">
              <w:rPr>
                <w:rFonts w:cs="Arial"/>
                <w:szCs w:val="21"/>
              </w:rPr>
              <w:t>.</w:t>
            </w:r>
          </w:p>
          <w:p w14:paraId="3C9EA947" w14:textId="76FEFD0D" w:rsidR="007F3542" w:rsidRPr="00556670" w:rsidRDefault="007F3542" w:rsidP="00006AA1">
            <w:pPr>
              <w:spacing w:before="80"/>
              <w:rPr>
                <w:szCs w:val="21"/>
              </w:rPr>
            </w:pPr>
            <w:r w:rsidRPr="00AA7CFC">
              <w:rPr>
                <w:rFonts w:cs="Arial"/>
                <w:szCs w:val="21"/>
              </w:rPr>
              <w:t>Completion of the Australian Institute of Company Directors</w:t>
            </w:r>
            <w:r w:rsidR="0042460C">
              <w:rPr>
                <w:rFonts w:cs="Arial"/>
                <w:szCs w:val="21"/>
              </w:rPr>
              <w:t xml:space="preserve"> course</w:t>
            </w:r>
            <w:r w:rsidRPr="00AA7CFC">
              <w:rPr>
                <w:rFonts w:cs="Arial"/>
                <w:szCs w:val="21"/>
              </w:rPr>
              <w:t xml:space="preserve">, including assessments or completion of </w:t>
            </w:r>
            <w:r w:rsidRPr="00400FC6">
              <w:rPr>
                <w:rFonts w:cs="Arial"/>
                <w:i/>
                <w:iCs/>
                <w:szCs w:val="21"/>
              </w:rPr>
              <w:t>Governance Institute of Australia’s Effective Directors</w:t>
            </w:r>
            <w:r w:rsidRPr="00AA7CFC">
              <w:rPr>
                <w:rFonts w:cs="Arial"/>
                <w:szCs w:val="21"/>
              </w:rPr>
              <w:t xml:space="preserve"> </w:t>
            </w:r>
            <w:r w:rsidR="00243FA5">
              <w:rPr>
                <w:rFonts w:cs="Arial"/>
                <w:szCs w:val="21"/>
              </w:rPr>
              <w:t>c</w:t>
            </w:r>
            <w:r w:rsidRPr="00AA7CFC">
              <w:rPr>
                <w:rFonts w:cs="Arial"/>
                <w:szCs w:val="21"/>
              </w:rPr>
              <w:t>ourse</w:t>
            </w:r>
            <w:r w:rsidR="0042460C">
              <w:rPr>
                <w:rFonts w:cs="Arial"/>
                <w:szCs w:val="21"/>
              </w:rPr>
              <w:t xml:space="preserve">. </w:t>
            </w:r>
          </w:p>
        </w:tc>
        <w:tc>
          <w:tcPr>
            <w:tcW w:w="1121" w:type="pct"/>
          </w:tcPr>
          <w:p w14:paraId="2B4D9937" w14:textId="3751C76A" w:rsidR="007F3542" w:rsidRPr="00AA7CFC" w:rsidRDefault="00DD42DD" w:rsidP="00006AA1">
            <w:pPr>
              <w:spacing w:before="80"/>
              <w:rPr>
                <w:rFonts w:cs="Arial"/>
                <w:szCs w:val="21"/>
              </w:rPr>
            </w:pPr>
            <w:r>
              <w:rPr>
                <w:rFonts w:cs="Arial"/>
                <w:szCs w:val="21"/>
              </w:rPr>
              <w:t>E</w:t>
            </w:r>
            <w:r w:rsidR="007F3542" w:rsidRPr="00AA7CFC">
              <w:rPr>
                <w:rFonts w:cs="Arial"/>
                <w:szCs w:val="21"/>
              </w:rPr>
              <w:t xml:space="preserve">xperience as a board </w:t>
            </w:r>
            <w:r>
              <w:rPr>
                <w:rFonts w:cs="Arial"/>
                <w:szCs w:val="21"/>
              </w:rPr>
              <w:t>chair</w:t>
            </w:r>
            <w:r w:rsidRPr="00AA7CFC">
              <w:rPr>
                <w:rFonts w:cs="Arial"/>
                <w:szCs w:val="21"/>
              </w:rPr>
              <w:t xml:space="preserve"> </w:t>
            </w:r>
            <w:r w:rsidR="007F3542" w:rsidRPr="00AA7CFC">
              <w:rPr>
                <w:rFonts w:cs="Arial"/>
                <w:szCs w:val="21"/>
              </w:rPr>
              <w:t xml:space="preserve">of a large </w:t>
            </w:r>
            <w:r>
              <w:rPr>
                <w:rFonts w:cs="Arial"/>
                <w:szCs w:val="21"/>
              </w:rPr>
              <w:t xml:space="preserve">or complex </w:t>
            </w:r>
            <w:r w:rsidR="007F3542" w:rsidRPr="00AA7CFC">
              <w:rPr>
                <w:rFonts w:cs="Arial"/>
                <w:szCs w:val="21"/>
              </w:rPr>
              <w:t>organisation.</w:t>
            </w:r>
            <w:r>
              <w:rPr>
                <w:rFonts w:cs="Arial"/>
                <w:szCs w:val="21"/>
              </w:rPr>
              <w:t xml:space="preserve"> </w:t>
            </w:r>
          </w:p>
          <w:p w14:paraId="392A9577" w14:textId="77777777" w:rsidR="0042460C" w:rsidRPr="00AA7CFC" w:rsidRDefault="0042460C" w:rsidP="0042460C">
            <w:pPr>
              <w:spacing w:before="80"/>
              <w:rPr>
                <w:rFonts w:cs="Arial"/>
                <w:szCs w:val="21"/>
              </w:rPr>
            </w:pPr>
            <w:r w:rsidRPr="00AA7CFC">
              <w:rPr>
                <w:rFonts w:cs="Arial"/>
                <w:szCs w:val="21"/>
              </w:rPr>
              <w:t xml:space="preserve">Completion of Governance Institute of Australia’s </w:t>
            </w:r>
            <w:r w:rsidRPr="00400FC6">
              <w:rPr>
                <w:rFonts w:cs="Arial"/>
                <w:i/>
                <w:iCs/>
                <w:szCs w:val="21"/>
              </w:rPr>
              <w:t>Graduate Diploma of Applied Corporate Governance and Risk Management</w:t>
            </w:r>
            <w:r w:rsidRPr="00AA7CFC">
              <w:rPr>
                <w:rFonts w:cs="Arial"/>
                <w:szCs w:val="21"/>
              </w:rPr>
              <w:t>.</w:t>
            </w:r>
            <w:r>
              <w:rPr>
                <w:rFonts w:cs="Arial"/>
                <w:szCs w:val="21"/>
              </w:rPr>
              <w:t xml:space="preserve"> </w:t>
            </w:r>
          </w:p>
          <w:p w14:paraId="25179694" w14:textId="65E63E53" w:rsidR="007F3542" w:rsidRPr="00556670" w:rsidRDefault="007F3542" w:rsidP="00006AA1">
            <w:pPr>
              <w:rPr>
                <w:szCs w:val="21"/>
              </w:rPr>
            </w:pPr>
            <w:r w:rsidRPr="00AA7CFC">
              <w:rPr>
                <w:rFonts w:cs="Arial"/>
                <w:szCs w:val="21"/>
              </w:rPr>
              <w:t>Postgraduate qualification in business.</w:t>
            </w:r>
            <w:r>
              <w:rPr>
                <w:rFonts w:cs="Arial"/>
                <w:szCs w:val="21"/>
              </w:rPr>
              <w:t xml:space="preserve"> </w:t>
            </w:r>
          </w:p>
        </w:tc>
      </w:tr>
    </w:tbl>
    <w:p w14:paraId="7827A669" w14:textId="77777777" w:rsidR="000A1280" w:rsidRDefault="000A1280">
      <w:pPr>
        <w:spacing w:after="0" w:line="240" w:lineRule="auto"/>
        <w:rPr>
          <w:b/>
          <w:color w:val="53565A"/>
          <w:sz w:val="32"/>
          <w:szCs w:val="28"/>
        </w:rPr>
      </w:pPr>
      <w:r>
        <w:br w:type="page"/>
      </w:r>
    </w:p>
    <w:p w14:paraId="1D107E26" w14:textId="74F5C73C" w:rsidR="007F3542" w:rsidRDefault="007F3542" w:rsidP="007F3542">
      <w:pPr>
        <w:pStyle w:val="Heading2"/>
      </w:pPr>
      <w:bookmarkStart w:id="64" w:name="_Toc149149813"/>
      <w:r w:rsidRPr="00003CF6">
        <w:lastRenderedPageBreak/>
        <w:t>Financial Management and Accounting</w:t>
      </w:r>
      <w:bookmarkEnd w:id="64"/>
      <w:r>
        <w:t xml:space="preserve"> </w:t>
      </w:r>
    </w:p>
    <w:p w14:paraId="1CC4298F" w14:textId="77777777" w:rsidR="007F3542" w:rsidRDefault="007F3542" w:rsidP="007F3542">
      <w:pPr>
        <w:pStyle w:val="Body"/>
      </w:pPr>
    </w:p>
    <w:tbl>
      <w:tblPr>
        <w:tblStyle w:val="TableGrid"/>
        <w:tblW w:w="5000" w:type="pct"/>
        <w:tblLook w:val="06A0" w:firstRow="1" w:lastRow="0" w:firstColumn="1" w:lastColumn="0" w:noHBand="1" w:noVBand="1"/>
      </w:tblPr>
      <w:tblGrid>
        <w:gridCol w:w="4958"/>
        <w:gridCol w:w="3106"/>
        <w:gridCol w:w="3106"/>
        <w:gridCol w:w="3106"/>
      </w:tblGrid>
      <w:tr w:rsidR="007F3542" w14:paraId="4080E3D0" w14:textId="77777777" w:rsidTr="00006AA1">
        <w:trPr>
          <w:tblHeader/>
        </w:trPr>
        <w:tc>
          <w:tcPr>
            <w:tcW w:w="1736" w:type="pct"/>
          </w:tcPr>
          <w:p w14:paraId="2C7B1DCE" w14:textId="77777777" w:rsidR="007F3542" w:rsidRPr="005C252D" w:rsidRDefault="007F3542" w:rsidP="00987BFC">
            <w:pPr>
              <w:pStyle w:val="Tablecolhead"/>
              <w:rPr>
                <w:sz w:val="24"/>
                <w:szCs w:val="24"/>
              </w:rPr>
            </w:pPr>
            <w:r w:rsidRPr="005C252D">
              <w:rPr>
                <w:sz w:val="24"/>
                <w:szCs w:val="24"/>
              </w:rPr>
              <w:t>Capability description</w:t>
            </w:r>
          </w:p>
        </w:tc>
        <w:tc>
          <w:tcPr>
            <w:tcW w:w="1088" w:type="pct"/>
          </w:tcPr>
          <w:p w14:paraId="0A332CEC" w14:textId="77777777" w:rsidR="007F3542" w:rsidRPr="005C252D" w:rsidRDefault="007F3542" w:rsidP="00006AA1">
            <w:pPr>
              <w:pStyle w:val="Tablecolhead"/>
              <w:rPr>
                <w:sz w:val="24"/>
                <w:szCs w:val="24"/>
              </w:rPr>
            </w:pPr>
            <w:r w:rsidRPr="005C252D">
              <w:rPr>
                <w:sz w:val="24"/>
                <w:szCs w:val="24"/>
              </w:rPr>
              <w:t>Foundational</w:t>
            </w:r>
          </w:p>
        </w:tc>
        <w:tc>
          <w:tcPr>
            <w:tcW w:w="1088" w:type="pct"/>
          </w:tcPr>
          <w:p w14:paraId="684F1F57" w14:textId="77777777" w:rsidR="007F3542" w:rsidRPr="005C252D" w:rsidRDefault="007F3542" w:rsidP="00006AA1">
            <w:pPr>
              <w:pStyle w:val="Tablecolhead"/>
              <w:rPr>
                <w:sz w:val="24"/>
                <w:szCs w:val="24"/>
              </w:rPr>
            </w:pPr>
            <w:r w:rsidRPr="005C252D">
              <w:rPr>
                <w:sz w:val="24"/>
                <w:szCs w:val="24"/>
              </w:rPr>
              <w:t>Proficient</w:t>
            </w:r>
          </w:p>
        </w:tc>
        <w:tc>
          <w:tcPr>
            <w:tcW w:w="1088" w:type="pct"/>
          </w:tcPr>
          <w:p w14:paraId="3E7242FE" w14:textId="77777777" w:rsidR="007F3542" w:rsidRPr="005C252D" w:rsidRDefault="007F3542" w:rsidP="00006AA1">
            <w:pPr>
              <w:pStyle w:val="Tablecolhead"/>
              <w:rPr>
                <w:sz w:val="24"/>
                <w:szCs w:val="24"/>
              </w:rPr>
            </w:pPr>
            <w:r w:rsidRPr="005C252D">
              <w:rPr>
                <w:sz w:val="24"/>
                <w:szCs w:val="24"/>
              </w:rPr>
              <w:t>Advanced</w:t>
            </w:r>
          </w:p>
        </w:tc>
      </w:tr>
      <w:tr w:rsidR="007F3542" w:rsidRPr="00556670" w14:paraId="26B1B0D9" w14:textId="77777777" w:rsidTr="00006AA1">
        <w:tc>
          <w:tcPr>
            <w:tcW w:w="1736" w:type="pct"/>
          </w:tcPr>
          <w:p w14:paraId="2BB07EBA" w14:textId="3487C9F0" w:rsidR="007F3542" w:rsidRPr="00003CF6" w:rsidRDefault="007F3542" w:rsidP="007F3542">
            <w:pPr>
              <w:pStyle w:val="DHHSbody"/>
              <w:numPr>
                <w:ilvl w:val="0"/>
                <w:numId w:val="16"/>
              </w:numPr>
              <w:spacing w:before="80" w:line="240" w:lineRule="auto"/>
              <w:ind w:left="426" w:hanging="426"/>
              <w:rPr>
                <w:rFonts w:eastAsia="Times New Roman"/>
                <w:sz w:val="21"/>
                <w:szCs w:val="21"/>
                <w:lang w:val="en-US"/>
              </w:rPr>
            </w:pPr>
            <w:r>
              <w:rPr>
                <w:sz w:val="21"/>
                <w:szCs w:val="21"/>
              </w:rPr>
              <w:t>F</w:t>
            </w:r>
            <w:r w:rsidRPr="00003CF6">
              <w:rPr>
                <w:sz w:val="21"/>
                <w:szCs w:val="21"/>
              </w:rPr>
              <w:t xml:space="preserve">inancial literacy including </w:t>
            </w:r>
            <w:r w:rsidR="000A1280">
              <w:rPr>
                <w:sz w:val="21"/>
                <w:szCs w:val="21"/>
              </w:rPr>
              <w:t xml:space="preserve">interpretation of </w:t>
            </w:r>
            <w:r w:rsidRPr="00003CF6">
              <w:rPr>
                <w:sz w:val="21"/>
                <w:szCs w:val="21"/>
              </w:rPr>
              <w:t>income statement</w:t>
            </w:r>
            <w:r w:rsidR="001A50BC">
              <w:rPr>
                <w:sz w:val="21"/>
                <w:szCs w:val="21"/>
              </w:rPr>
              <w:t xml:space="preserve">, </w:t>
            </w:r>
            <w:r w:rsidRPr="00003CF6">
              <w:rPr>
                <w:sz w:val="21"/>
                <w:szCs w:val="21"/>
              </w:rPr>
              <w:t>balance sheet</w:t>
            </w:r>
            <w:r w:rsidR="001A50BC">
              <w:rPr>
                <w:sz w:val="21"/>
                <w:szCs w:val="21"/>
              </w:rPr>
              <w:t>,</w:t>
            </w:r>
            <w:r w:rsidRPr="00003CF6">
              <w:rPr>
                <w:sz w:val="21"/>
                <w:szCs w:val="21"/>
              </w:rPr>
              <w:t xml:space="preserve"> statement of recognised income and expense</w:t>
            </w:r>
            <w:r w:rsidR="001A50BC">
              <w:rPr>
                <w:sz w:val="21"/>
                <w:szCs w:val="21"/>
              </w:rPr>
              <w:t>,</w:t>
            </w:r>
            <w:r w:rsidRPr="00003CF6">
              <w:rPr>
                <w:sz w:val="21"/>
                <w:szCs w:val="21"/>
              </w:rPr>
              <w:t xml:space="preserve"> cash flow statement</w:t>
            </w:r>
            <w:r>
              <w:rPr>
                <w:sz w:val="21"/>
                <w:szCs w:val="21"/>
              </w:rPr>
              <w:t xml:space="preserve"> and notes to the accounts</w:t>
            </w:r>
            <w:r w:rsidR="001A50BC">
              <w:rPr>
                <w:sz w:val="21"/>
                <w:szCs w:val="21"/>
              </w:rPr>
              <w:t>,</w:t>
            </w:r>
            <w:r w:rsidRPr="00003CF6">
              <w:rPr>
                <w:sz w:val="21"/>
                <w:szCs w:val="21"/>
              </w:rPr>
              <w:t xml:space="preserve"> and understand generally accepted accounting principles</w:t>
            </w:r>
            <w:r w:rsidR="00BB3AF1">
              <w:rPr>
                <w:sz w:val="21"/>
                <w:szCs w:val="21"/>
              </w:rPr>
              <w:t xml:space="preserve">. </w:t>
            </w:r>
            <w:r w:rsidRPr="00003CF6">
              <w:rPr>
                <w:sz w:val="21"/>
                <w:szCs w:val="21"/>
              </w:rPr>
              <w:t xml:space="preserve"> </w:t>
            </w:r>
          </w:p>
          <w:p w14:paraId="2CFA6915" w14:textId="0A9C219E" w:rsidR="007F3542" w:rsidRPr="00003CF6" w:rsidRDefault="007F3542" w:rsidP="007F3542">
            <w:pPr>
              <w:pStyle w:val="DHHSbody"/>
              <w:numPr>
                <w:ilvl w:val="0"/>
                <w:numId w:val="16"/>
              </w:numPr>
              <w:spacing w:before="80" w:line="240" w:lineRule="auto"/>
              <w:ind w:left="426" w:hanging="426"/>
              <w:rPr>
                <w:rFonts w:eastAsia="Times New Roman"/>
                <w:sz w:val="21"/>
                <w:szCs w:val="21"/>
                <w:lang w:val="en-US"/>
              </w:rPr>
            </w:pPr>
            <w:r w:rsidRPr="00003CF6">
              <w:rPr>
                <w:rFonts w:eastAsia="Times New Roman"/>
                <w:sz w:val="21"/>
                <w:szCs w:val="21"/>
                <w:lang w:val="en-US"/>
              </w:rPr>
              <w:t xml:space="preserve">Experience in financial </w:t>
            </w:r>
            <w:r w:rsidR="00BB3AF1">
              <w:rPr>
                <w:rFonts w:eastAsia="Times New Roman"/>
                <w:sz w:val="21"/>
                <w:szCs w:val="21"/>
                <w:lang w:val="en-US"/>
              </w:rPr>
              <w:t xml:space="preserve">management, </w:t>
            </w:r>
            <w:r w:rsidRPr="00003CF6">
              <w:rPr>
                <w:rFonts w:eastAsia="Times New Roman"/>
                <w:sz w:val="21"/>
                <w:szCs w:val="21"/>
                <w:lang w:val="en-US"/>
              </w:rPr>
              <w:t>preparation</w:t>
            </w:r>
            <w:r w:rsidR="004E7569">
              <w:rPr>
                <w:rFonts w:eastAsia="Times New Roman"/>
                <w:sz w:val="21"/>
                <w:szCs w:val="21"/>
                <w:lang w:val="en-US"/>
              </w:rPr>
              <w:t>,</w:t>
            </w:r>
            <w:r w:rsidRPr="00003CF6">
              <w:rPr>
                <w:rFonts w:eastAsia="Times New Roman"/>
                <w:sz w:val="21"/>
                <w:szCs w:val="21"/>
                <w:lang w:val="en-US"/>
              </w:rPr>
              <w:t xml:space="preserve"> and delivery of </w:t>
            </w:r>
            <w:r w:rsidR="00BB3AF1">
              <w:rPr>
                <w:rFonts w:eastAsia="Times New Roman"/>
                <w:sz w:val="21"/>
                <w:szCs w:val="21"/>
                <w:lang w:val="en-US"/>
              </w:rPr>
              <w:t xml:space="preserve">complex </w:t>
            </w:r>
            <w:r w:rsidRPr="00003CF6">
              <w:rPr>
                <w:rFonts w:eastAsia="Times New Roman"/>
                <w:sz w:val="21"/>
                <w:szCs w:val="21"/>
                <w:lang w:val="en-US"/>
              </w:rPr>
              <w:t>budgets</w:t>
            </w:r>
            <w:r w:rsidR="00BB3AF1">
              <w:rPr>
                <w:rFonts w:eastAsia="Times New Roman"/>
                <w:sz w:val="21"/>
                <w:szCs w:val="21"/>
                <w:lang w:val="en-US"/>
              </w:rPr>
              <w:t>.</w:t>
            </w:r>
          </w:p>
          <w:p w14:paraId="1D9E175C" w14:textId="585ACE62" w:rsidR="007F3542" w:rsidRPr="00003CF6" w:rsidRDefault="007F3542" w:rsidP="007F3542">
            <w:pPr>
              <w:pStyle w:val="DHHSbody"/>
              <w:numPr>
                <w:ilvl w:val="0"/>
                <w:numId w:val="16"/>
              </w:numPr>
              <w:spacing w:before="80" w:line="240" w:lineRule="auto"/>
              <w:ind w:left="426" w:hanging="426"/>
              <w:rPr>
                <w:rFonts w:eastAsia="Times New Roman"/>
                <w:sz w:val="21"/>
                <w:szCs w:val="21"/>
                <w:lang w:val="en-US"/>
              </w:rPr>
            </w:pPr>
            <w:r w:rsidRPr="00003CF6">
              <w:rPr>
                <w:rFonts w:eastAsia="Times New Roman"/>
                <w:sz w:val="21"/>
                <w:szCs w:val="21"/>
                <w:lang w:val="en-US"/>
              </w:rPr>
              <w:t xml:space="preserve">Experience in assessing financial viability, overseeing financial </w:t>
            </w:r>
            <w:r w:rsidR="004E7569" w:rsidRPr="00003CF6">
              <w:rPr>
                <w:rFonts w:eastAsia="Times New Roman"/>
                <w:sz w:val="21"/>
                <w:szCs w:val="21"/>
                <w:lang w:val="en-US"/>
              </w:rPr>
              <w:t>planning,</w:t>
            </w:r>
            <w:r w:rsidRPr="00003CF6">
              <w:rPr>
                <w:rFonts w:eastAsia="Times New Roman"/>
                <w:sz w:val="21"/>
                <w:szCs w:val="21"/>
                <w:lang w:val="en-US"/>
              </w:rPr>
              <w:t xml:space="preserve"> and funding arrangements. </w:t>
            </w:r>
          </w:p>
          <w:p w14:paraId="54F2D7E6" w14:textId="0028BF60" w:rsidR="007F3542" w:rsidRPr="00C16F77" w:rsidRDefault="007F3542" w:rsidP="00006AA1">
            <w:pPr>
              <w:spacing w:before="80"/>
              <w:rPr>
                <w:rFonts w:eastAsia="Times"/>
                <w:szCs w:val="21"/>
              </w:rPr>
            </w:pPr>
          </w:p>
        </w:tc>
        <w:tc>
          <w:tcPr>
            <w:tcW w:w="1088" w:type="pct"/>
          </w:tcPr>
          <w:p w14:paraId="0351643B" w14:textId="253B3C82" w:rsidR="007F3542" w:rsidRPr="00003CF6" w:rsidRDefault="007F3542" w:rsidP="00006AA1">
            <w:pPr>
              <w:spacing w:before="80"/>
              <w:rPr>
                <w:rFonts w:cs="Arial"/>
                <w:szCs w:val="21"/>
              </w:rPr>
            </w:pPr>
            <w:r w:rsidRPr="00003CF6">
              <w:rPr>
                <w:rFonts w:cs="Arial"/>
                <w:szCs w:val="21"/>
              </w:rPr>
              <w:t xml:space="preserve">Awareness of financial management practices and the </w:t>
            </w:r>
            <w:r w:rsidRPr="00400FC6">
              <w:rPr>
                <w:rFonts w:cs="Arial"/>
                <w:i/>
                <w:iCs/>
                <w:szCs w:val="21"/>
              </w:rPr>
              <w:t>Financial Management Act</w:t>
            </w:r>
            <w:r w:rsidR="00DD42DD">
              <w:rPr>
                <w:rFonts w:cs="Arial"/>
                <w:szCs w:val="21"/>
              </w:rPr>
              <w:t xml:space="preserve"> (FMA)</w:t>
            </w:r>
            <w:r w:rsidRPr="00003CF6">
              <w:rPr>
                <w:rFonts w:cs="Arial"/>
                <w:szCs w:val="21"/>
              </w:rPr>
              <w:t xml:space="preserve"> requirements</w:t>
            </w:r>
            <w:r w:rsidR="002C15B5">
              <w:rPr>
                <w:rFonts w:cs="Arial"/>
                <w:szCs w:val="21"/>
              </w:rPr>
              <w:t>,</w:t>
            </w:r>
            <w:r w:rsidRPr="00003CF6">
              <w:rPr>
                <w:rFonts w:cs="Arial"/>
                <w:szCs w:val="21"/>
              </w:rPr>
              <w:t xml:space="preserve"> </w:t>
            </w:r>
            <w:r w:rsidR="00DD42DD">
              <w:rPr>
                <w:rFonts w:cs="Arial"/>
                <w:szCs w:val="21"/>
              </w:rPr>
              <w:t xml:space="preserve">associated </w:t>
            </w:r>
            <w:r w:rsidRPr="00400FC6">
              <w:rPr>
                <w:rFonts w:cs="Arial"/>
                <w:i/>
                <w:iCs/>
                <w:szCs w:val="21"/>
              </w:rPr>
              <w:t>Standing Directions</w:t>
            </w:r>
            <w:r w:rsidR="00DD42DD">
              <w:rPr>
                <w:rFonts w:cs="Arial"/>
                <w:szCs w:val="21"/>
              </w:rPr>
              <w:t>,</w:t>
            </w:r>
            <w:r w:rsidRPr="00003CF6">
              <w:rPr>
                <w:rFonts w:cs="Arial"/>
                <w:szCs w:val="21"/>
              </w:rPr>
              <w:t xml:space="preserve"> and accompanying frameworks. </w:t>
            </w:r>
          </w:p>
          <w:p w14:paraId="72292318" w14:textId="77777777" w:rsidR="007F3542" w:rsidRPr="00003CF6" w:rsidRDefault="007F3542" w:rsidP="00006AA1">
            <w:pPr>
              <w:spacing w:before="80"/>
              <w:rPr>
                <w:rFonts w:cs="Arial"/>
                <w:szCs w:val="21"/>
              </w:rPr>
            </w:pPr>
            <w:r w:rsidRPr="00003CF6">
              <w:rPr>
                <w:rFonts w:cs="Arial"/>
                <w:szCs w:val="21"/>
              </w:rPr>
              <w:t xml:space="preserve">Ability to understand board financial reports and ask appropriate questions. </w:t>
            </w:r>
          </w:p>
          <w:p w14:paraId="00813563" w14:textId="77777777" w:rsidR="007F3542" w:rsidRPr="00003CF6" w:rsidRDefault="007F3542" w:rsidP="00006AA1">
            <w:pPr>
              <w:spacing w:before="80"/>
              <w:rPr>
                <w:rFonts w:cs="Arial"/>
                <w:szCs w:val="21"/>
              </w:rPr>
            </w:pPr>
            <w:r w:rsidRPr="00003CF6">
              <w:rPr>
                <w:rFonts w:cs="Arial"/>
                <w:szCs w:val="21"/>
              </w:rPr>
              <w:t>Understands the financial environment of public health entities and government budget processes.</w:t>
            </w:r>
          </w:p>
          <w:p w14:paraId="5C8CDF4E" w14:textId="77777777" w:rsidR="007F3542" w:rsidRPr="00003CF6" w:rsidRDefault="007F3542" w:rsidP="00006AA1">
            <w:pPr>
              <w:spacing w:before="80"/>
              <w:rPr>
                <w:rFonts w:cs="Arial"/>
                <w:szCs w:val="21"/>
              </w:rPr>
            </w:pPr>
            <w:r w:rsidRPr="00003CF6">
              <w:rPr>
                <w:rFonts w:cs="Arial"/>
                <w:szCs w:val="21"/>
              </w:rPr>
              <w:t xml:space="preserve">Awareness of the </w:t>
            </w:r>
            <w:r w:rsidRPr="00400FC6">
              <w:rPr>
                <w:rFonts w:cs="Arial"/>
                <w:i/>
                <w:iCs/>
                <w:szCs w:val="21"/>
              </w:rPr>
              <w:t>Statement of Priorities</w:t>
            </w:r>
            <w:r w:rsidRPr="00003CF6">
              <w:rPr>
                <w:rFonts w:cs="Arial"/>
                <w:szCs w:val="21"/>
              </w:rPr>
              <w:t xml:space="preserve"> process.</w:t>
            </w:r>
          </w:p>
          <w:p w14:paraId="51512157" w14:textId="77777777" w:rsidR="007F3542" w:rsidRPr="00556670" w:rsidRDefault="007F3542" w:rsidP="000A1280">
            <w:pPr>
              <w:spacing w:before="80"/>
              <w:rPr>
                <w:szCs w:val="21"/>
              </w:rPr>
            </w:pPr>
          </w:p>
        </w:tc>
        <w:tc>
          <w:tcPr>
            <w:tcW w:w="1088" w:type="pct"/>
          </w:tcPr>
          <w:p w14:paraId="3078E22B" w14:textId="58FBB94A" w:rsidR="007F3542" w:rsidRPr="00003CF6" w:rsidRDefault="007F3542" w:rsidP="00006AA1">
            <w:pPr>
              <w:spacing w:before="80"/>
              <w:rPr>
                <w:rFonts w:cs="Arial"/>
                <w:szCs w:val="21"/>
              </w:rPr>
            </w:pPr>
            <w:r>
              <w:rPr>
                <w:rFonts w:cs="Arial"/>
                <w:szCs w:val="21"/>
              </w:rPr>
              <w:t>Sound k</w:t>
            </w:r>
            <w:r w:rsidRPr="00003CF6">
              <w:rPr>
                <w:rFonts w:cs="Arial"/>
                <w:szCs w:val="21"/>
              </w:rPr>
              <w:t xml:space="preserve">nowledge of financial management practices </w:t>
            </w:r>
            <w:r>
              <w:rPr>
                <w:rFonts w:cs="Arial"/>
                <w:szCs w:val="21"/>
              </w:rPr>
              <w:t>and</w:t>
            </w:r>
            <w:r w:rsidRPr="00003CF6">
              <w:rPr>
                <w:rFonts w:cs="Arial"/>
                <w:szCs w:val="21"/>
              </w:rPr>
              <w:t xml:space="preserve"> awareness of the complexity of the </w:t>
            </w:r>
            <w:r w:rsidR="00DD42DD" w:rsidRPr="00987BFC">
              <w:rPr>
                <w:rFonts w:cs="Arial"/>
                <w:szCs w:val="21"/>
              </w:rPr>
              <w:t>FMA</w:t>
            </w:r>
            <w:r w:rsidR="00DD42DD">
              <w:rPr>
                <w:rFonts w:cs="Arial"/>
                <w:szCs w:val="21"/>
              </w:rPr>
              <w:t>,</w:t>
            </w:r>
            <w:r w:rsidRPr="00DD42DD">
              <w:rPr>
                <w:rFonts w:cs="Arial"/>
                <w:szCs w:val="21"/>
              </w:rPr>
              <w:t xml:space="preserve"> </w:t>
            </w:r>
            <w:r w:rsidR="00DD42DD">
              <w:rPr>
                <w:rFonts w:cs="Arial"/>
                <w:szCs w:val="21"/>
              </w:rPr>
              <w:t xml:space="preserve">associated </w:t>
            </w:r>
            <w:r w:rsidRPr="00400FC6">
              <w:rPr>
                <w:rFonts w:cs="Arial"/>
                <w:i/>
                <w:iCs/>
                <w:szCs w:val="21"/>
              </w:rPr>
              <w:t>Standing Directions</w:t>
            </w:r>
            <w:r w:rsidR="008A6D7D">
              <w:rPr>
                <w:rFonts w:cs="Arial"/>
                <w:szCs w:val="21"/>
              </w:rPr>
              <w:t>,</w:t>
            </w:r>
            <w:r w:rsidRPr="00003CF6">
              <w:rPr>
                <w:rFonts w:cs="Arial"/>
                <w:szCs w:val="21"/>
              </w:rPr>
              <w:t xml:space="preserve"> and accompanying frameworks.</w:t>
            </w:r>
          </w:p>
          <w:p w14:paraId="6504C341" w14:textId="17022E5A" w:rsidR="007F3542" w:rsidRPr="005A37EE" w:rsidRDefault="007F3542" w:rsidP="00006AA1">
            <w:pPr>
              <w:rPr>
                <w:rFonts w:cs="Arial"/>
                <w:szCs w:val="21"/>
              </w:rPr>
            </w:pPr>
            <w:r>
              <w:rPr>
                <w:rFonts w:cs="Arial"/>
                <w:szCs w:val="21"/>
              </w:rPr>
              <w:t>E</w:t>
            </w:r>
            <w:r w:rsidRPr="005A37EE">
              <w:rPr>
                <w:rFonts w:cs="Arial"/>
                <w:szCs w:val="21"/>
              </w:rPr>
              <w:t>xperience in finance and accounting</w:t>
            </w:r>
            <w:r>
              <w:rPr>
                <w:rFonts w:cs="Arial"/>
                <w:szCs w:val="21"/>
              </w:rPr>
              <w:t>.</w:t>
            </w:r>
            <w:r w:rsidRPr="005A37EE">
              <w:rPr>
                <w:rFonts w:cs="Arial"/>
                <w:szCs w:val="21"/>
              </w:rPr>
              <w:t xml:space="preserve"> </w:t>
            </w:r>
          </w:p>
          <w:p w14:paraId="2014D6EF" w14:textId="1F2F2432" w:rsidR="007F3542" w:rsidRPr="00003CF6" w:rsidRDefault="007F3542" w:rsidP="00006AA1">
            <w:pPr>
              <w:spacing w:before="80"/>
              <w:rPr>
                <w:rFonts w:cs="Arial"/>
                <w:szCs w:val="21"/>
              </w:rPr>
            </w:pPr>
            <w:r w:rsidRPr="00003CF6">
              <w:rPr>
                <w:rFonts w:cs="Arial"/>
                <w:szCs w:val="21"/>
              </w:rPr>
              <w:t xml:space="preserve">Has been a member of an audit and risk committee or has comparable experience </w:t>
            </w:r>
            <w:r w:rsidR="000A1280">
              <w:rPr>
                <w:rFonts w:cs="Arial"/>
                <w:szCs w:val="21"/>
              </w:rPr>
              <w:t>working</w:t>
            </w:r>
            <w:r w:rsidR="000A1280" w:rsidRPr="00003CF6">
              <w:rPr>
                <w:rFonts w:cs="Arial"/>
                <w:szCs w:val="21"/>
              </w:rPr>
              <w:t xml:space="preserve"> </w:t>
            </w:r>
            <w:r w:rsidRPr="00003CF6">
              <w:rPr>
                <w:rFonts w:cs="Arial"/>
                <w:szCs w:val="21"/>
              </w:rPr>
              <w:t xml:space="preserve">with </w:t>
            </w:r>
            <w:r w:rsidR="000A1280">
              <w:rPr>
                <w:rFonts w:cs="Arial"/>
                <w:szCs w:val="21"/>
              </w:rPr>
              <w:t>such</w:t>
            </w:r>
            <w:r w:rsidR="000A1280" w:rsidRPr="00003CF6">
              <w:rPr>
                <w:rFonts w:cs="Arial"/>
                <w:szCs w:val="21"/>
              </w:rPr>
              <w:t xml:space="preserve"> </w:t>
            </w:r>
            <w:r w:rsidRPr="00003CF6">
              <w:rPr>
                <w:rFonts w:cs="Arial"/>
                <w:szCs w:val="21"/>
              </w:rPr>
              <w:t>committees.</w:t>
            </w:r>
          </w:p>
          <w:p w14:paraId="6D6AD878" w14:textId="06C3CF64" w:rsidR="007F3542" w:rsidRPr="00003CF6" w:rsidRDefault="007F3542" w:rsidP="00006AA1">
            <w:pPr>
              <w:spacing w:before="80"/>
              <w:rPr>
                <w:rFonts w:cs="Arial"/>
                <w:szCs w:val="21"/>
              </w:rPr>
            </w:pPr>
            <w:r w:rsidRPr="00003CF6">
              <w:rPr>
                <w:rFonts w:cs="Arial"/>
                <w:szCs w:val="21"/>
              </w:rPr>
              <w:t>Ab</w:t>
            </w:r>
            <w:r w:rsidR="008A6D7D">
              <w:rPr>
                <w:rFonts w:cs="Arial"/>
                <w:szCs w:val="21"/>
              </w:rPr>
              <w:t>le</w:t>
            </w:r>
            <w:r w:rsidRPr="00003CF6">
              <w:rPr>
                <w:rFonts w:cs="Arial"/>
                <w:szCs w:val="21"/>
              </w:rPr>
              <w:t xml:space="preserve"> to analyse financial </w:t>
            </w:r>
            <w:r w:rsidR="000A1280">
              <w:rPr>
                <w:rFonts w:cs="Arial"/>
                <w:szCs w:val="21"/>
              </w:rPr>
              <w:t>information</w:t>
            </w:r>
            <w:r w:rsidR="000A1280" w:rsidRPr="00003CF6">
              <w:rPr>
                <w:rFonts w:cs="Arial"/>
                <w:szCs w:val="21"/>
              </w:rPr>
              <w:t xml:space="preserve"> </w:t>
            </w:r>
            <w:r w:rsidR="000A1280">
              <w:rPr>
                <w:rFonts w:cs="Arial"/>
                <w:szCs w:val="21"/>
              </w:rPr>
              <w:t>to identify</w:t>
            </w:r>
            <w:r w:rsidR="008A6D7D">
              <w:rPr>
                <w:rFonts w:cs="Arial"/>
                <w:szCs w:val="21"/>
              </w:rPr>
              <w:t xml:space="preserve"> and assess</w:t>
            </w:r>
            <w:r w:rsidRPr="00003CF6">
              <w:rPr>
                <w:rFonts w:cs="Arial"/>
                <w:szCs w:val="21"/>
              </w:rPr>
              <w:t xml:space="preserve"> risks</w:t>
            </w:r>
            <w:r w:rsidR="000A1280">
              <w:rPr>
                <w:rFonts w:cs="Arial"/>
                <w:szCs w:val="21"/>
              </w:rPr>
              <w:t xml:space="preserve"> and opportunities</w:t>
            </w:r>
            <w:r w:rsidRPr="00003CF6">
              <w:rPr>
                <w:rFonts w:cs="Arial"/>
                <w:szCs w:val="21"/>
              </w:rPr>
              <w:t>.</w:t>
            </w:r>
            <w:r w:rsidR="000A1280">
              <w:rPr>
                <w:rFonts w:cs="Arial"/>
                <w:szCs w:val="21"/>
              </w:rPr>
              <w:t xml:space="preserve"> </w:t>
            </w:r>
          </w:p>
          <w:p w14:paraId="3344D660" w14:textId="34CCA816" w:rsidR="007F3542" w:rsidRPr="00556670" w:rsidRDefault="00DD42DD" w:rsidP="00987BFC">
            <w:pPr>
              <w:spacing w:before="80"/>
              <w:rPr>
                <w:szCs w:val="21"/>
              </w:rPr>
            </w:pPr>
            <w:r>
              <w:rPr>
                <w:rFonts w:cs="Arial"/>
                <w:szCs w:val="21"/>
              </w:rPr>
              <w:t>Understands</w:t>
            </w:r>
            <w:r w:rsidR="007F3542" w:rsidRPr="00003CF6">
              <w:rPr>
                <w:rFonts w:cs="Arial"/>
                <w:szCs w:val="21"/>
              </w:rPr>
              <w:t xml:space="preserve"> financial management </w:t>
            </w:r>
            <w:r w:rsidR="002E63C7">
              <w:rPr>
                <w:rFonts w:cs="Arial"/>
                <w:szCs w:val="21"/>
              </w:rPr>
              <w:t xml:space="preserve">and sustainability </w:t>
            </w:r>
            <w:r>
              <w:rPr>
                <w:rFonts w:cs="Arial"/>
                <w:szCs w:val="21"/>
              </w:rPr>
              <w:t xml:space="preserve">applied in hospitals or health related settings. </w:t>
            </w:r>
          </w:p>
        </w:tc>
        <w:tc>
          <w:tcPr>
            <w:tcW w:w="1088" w:type="pct"/>
          </w:tcPr>
          <w:p w14:paraId="72E0EDF9" w14:textId="7150F943" w:rsidR="007F3542" w:rsidRPr="00003CF6" w:rsidRDefault="00DD42DD" w:rsidP="00006AA1">
            <w:pPr>
              <w:spacing w:before="80"/>
              <w:rPr>
                <w:rFonts w:cs="Arial"/>
                <w:szCs w:val="21"/>
              </w:rPr>
            </w:pPr>
            <w:r>
              <w:rPr>
                <w:rFonts w:cs="Arial"/>
                <w:szCs w:val="21"/>
              </w:rPr>
              <w:t>Experience in overseeing</w:t>
            </w:r>
            <w:r w:rsidR="007F3542" w:rsidRPr="00003CF6">
              <w:rPr>
                <w:rFonts w:cs="Arial"/>
                <w:szCs w:val="21"/>
              </w:rPr>
              <w:t xml:space="preserve"> financial management </w:t>
            </w:r>
            <w:r>
              <w:rPr>
                <w:rFonts w:cs="Arial"/>
                <w:szCs w:val="21"/>
              </w:rPr>
              <w:t xml:space="preserve">in accordance with </w:t>
            </w:r>
            <w:r w:rsidR="007F3542" w:rsidRPr="00003CF6">
              <w:rPr>
                <w:rFonts w:cs="Arial"/>
                <w:szCs w:val="21"/>
              </w:rPr>
              <w:t xml:space="preserve">the </w:t>
            </w:r>
            <w:r>
              <w:rPr>
                <w:rFonts w:cs="Arial"/>
                <w:szCs w:val="21"/>
              </w:rPr>
              <w:t>FMA</w:t>
            </w:r>
            <w:r w:rsidR="007F3542">
              <w:rPr>
                <w:rFonts w:cs="Arial"/>
                <w:szCs w:val="21"/>
              </w:rPr>
              <w:t xml:space="preserve">, associated </w:t>
            </w:r>
            <w:r w:rsidR="007F3542" w:rsidRPr="00003CF6">
              <w:rPr>
                <w:rFonts w:cs="Arial"/>
                <w:szCs w:val="21"/>
              </w:rPr>
              <w:t>Standing Directions</w:t>
            </w:r>
            <w:r w:rsidR="008A6D7D">
              <w:rPr>
                <w:rFonts w:cs="Arial"/>
                <w:szCs w:val="21"/>
              </w:rPr>
              <w:t>,</w:t>
            </w:r>
            <w:r w:rsidR="007F3542" w:rsidRPr="00003CF6">
              <w:rPr>
                <w:rFonts w:cs="Arial"/>
                <w:szCs w:val="21"/>
              </w:rPr>
              <w:t xml:space="preserve"> and accompanying frameworks. </w:t>
            </w:r>
          </w:p>
          <w:p w14:paraId="0A126C56" w14:textId="0F55C1A0" w:rsidR="007F3542" w:rsidRPr="00003CF6" w:rsidRDefault="007F3542" w:rsidP="00006AA1">
            <w:pPr>
              <w:spacing w:before="80"/>
              <w:rPr>
                <w:rFonts w:cs="Arial"/>
                <w:szCs w:val="21"/>
              </w:rPr>
            </w:pPr>
            <w:r w:rsidRPr="00003CF6">
              <w:rPr>
                <w:rFonts w:cs="Arial"/>
                <w:szCs w:val="21"/>
              </w:rPr>
              <w:t>Diploma or undergraduate in finance</w:t>
            </w:r>
            <w:r w:rsidR="00DD42DD">
              <w:rPr>
                <w:rFonts w:cs="Arial"/>
                <w:szCs w:val="21"/>
              </w:rPr>
              <w:t>,</w:t>
            </w:r>
            <w:r w:rsidRPr="00003CF6">
              <w:rPr>
                <w:rFonts w:cs="Arial"/>
                <w:szCs w:val="21"/>
              </w:rPr>
              <w:t xml:space="preserve"> accounting</w:t>
            </w:r>
            <w:r w:rsidR="00DD42DD">
              <w:rPr>
                <w:rFonts w:cs="Arial"/>
                <w:szCs w:val="21"/>
              </w:rPr>
              <w:t>, or</w:t>
            </w:r>
            <w:r w:rsidRPr="00003CF6">
              <w:rPr>
                <w:rFonts w:cs="Arial"/>
                <w:szCs w:val="21"/>
              </w:rPr>
              <w:t xml:space="preserve"> commerce. </w:t>
            </w:r>
          </w:p>
          <w:p w14:paraId="53D6E671" w14:textId="6180CC48" w:rsidR="007F3542" w:rsidRPr="00003CF6" w:rsidRDefault="0067313B" w:rsidP="00006AA1">
            <w:pPr>
              <w:spacing w:before="80"/>
              <w:rPr>
                <w:szCs w:val="21"/>
                <w:lang w:val="en-US"/>
              </w:rPr>
            </w:pPr>
            <w:r>
              <w:rPr>
                <w:rFonts w:cs="Arial"/>
                <w:szCs w:val="21"/>
              </w:rPr>
              <w:t xml:space="preserve">A </w:t>
            </w:r>
            <w:r w:rsidR="000A1280" w:rsidRPr="00C16F77">
              <w:rPr>
                <w:rFonts w:cs="Arial"/>
                <w:szCs w:val="21"/>
              </w:rPr>
              <w:t>C</w:t>
            </w:r>
            <w:r w:rsidR="000A1280">
              <w:rPr>
                <w:rFonts w:cs="Arial"/>
                <w:szCs w:val="21"/>
              </w:rPr>
              <w:t xml:space="preserve">hartered </w:t>
            </w:r>
            <w:r w:rsidR="000A1280" w:rsidRPr="00C16F77">
              <w:rPr>
                <w:rFonts w:cs="Arial"/>
                <w:szCs w:val="21"/>
              </w:rPr>
              <w:t>A</w:t>
            </w:r>
            <w:r w:rsidR="000A1280">
              <w:rPr>
                <w:rFonts w:cs="Arial"/>
                <w:szCs w:val="21"/>
              </w:rPr>
              <w:t>ccounted (CA)</w:t>
            </w:r>
            <w:r w:rsidR="000A1280" w:rsidRPr="00C16F77">
              <w:rPr>
                <w:rFonts w:cs="Arial"/>
                <w:szCs w:val="21"/>
              </w:rPr>
              <w:t>, C</w:t>
            </w:r>
            <w:r w:rsidR="000A1280">
              <w:rPr>
                <w:rFonts w:cs="Arial"/>
                <w:szCs w:val="21"/>
              </w:rPr>
              <w:t xml:space="preserve">ertified </w:t>
            </w:r>
            <w:r w:rsidR="000A1280" w:rsidRPr="00C16F77">
              <w:rPr>
                <w:rFonts w:cs="Arial"/>
                <w:szCs w:val="21"/>
              </w:rPr>
              <w:t>P</w:t>
            </w:r>
            <w:r w:rsidR="000A1280">
              <w:rPr>
                <w:rFonts w:cs="Arial"/>
                <w:szCs w:val="21"/>
              </w:rPr>
              <w:t xml:space="preserve">ractising </w:t>
            </w:r>
            <w:r w:rsidR="000A1280" w:rsidRPr="00C16F77">
              <w:rPr>
                <w:rFonts w:cs="Arial"/>
                <w:szCs w:val="21"/>
              </w:rPr>
              <w:t>A</w:t>
            </w:r>
            <w:r w:rsidR="000A1280">
              <w:rPr>
                <w:rFonts w:cs="Arial"/>
                <w:szCs w:val="21"/>
              </w:rPr>
              <w:t>ccountant (CPA)</w:t>
            </w:r>
            <w:r w:rsidR="000A1280" w:rsidRPr="00C16F77">
              <w:rPr>
                <w:rFonts w:cs="Arial"/>
                <w:szCs w:val="21"/>
              </w:rPr>
              <w:t xml:space="preserve"> or equivalent</w:t>
            </w:r>
            <w:r w:rsidR="000A1280">
              <w:rPr>
                <w:rFonts w:cs="Arial"/>
                <w:szCs w:val="21"/>
              </w:rPr>
              <w:t>.</w:t>
            </w:r>
          </w:p>
          <w:p w14:paraId="319AF486" w14:textId="6C8D0F9B" w:rsidR="007F3542" w:rsidRPr="00003CF6" w:rsidRDefault="007F3542" w:rsidP="00006AA1">
            <w:pPr>
              <w:spacing w:before="80"/>
              <w:rPr>
                <w:rFonts w:cs="Arial"/>
                <w:szCs w:val="21"/>
              </w:rPr>
            </w:pPr>
            <w:r w:rsidRPr="00003CF6">
              <w:rPr>
                <w:rFonts w:cs="Arial"/>
                <w:szCs w:val="21"/>
              </w:rPr>
              <w:t xml:space="preserve">Has been a chair of </w:t>
            </w:r>
            <w:r w:rsidR="005E6F8D">
              <w:rPr>
                <w:rFonts w:cs="Arial"/>
                <w:szCs w:val="21"/>
              </w:rPr>
              <w:t xml:space="preserve">a </w:t>
            </w:r>
            <w:r w:rsidR="00C47C69">
              <w:rPr>
                <w:rFonts w:cs="Arial"/>
                <w:szCs w:val="21"/>
              </w:rPr>
              <w:t xml:space="preserve">finance </w:t>
            </w:r>
            <w:r w:rsidR="005E6F8D">
              <w:rPr>
                <w:rFonts w:cs="Arial"/>
                <w:szCs w:val="21"/>
              </w:rPr>
              <w:t xml:space="preserve">or </w:t>
            </w:r>
            <w:r w:rsidRPr="00003CF6">
              <w:rPr>
                <w:rFonts w:cs="Arial"/>
                <w:szCs w:val="21"/>
              </w:rPr>
              <w:t>audit and risk committee.</w:t>
            </w:r>
          </w:p>
          <w:p w14:paraId="3CEE38DC" w14:textId="4302DA99" w:rsidR="007F3542" w:rsidRPr="00003CF6" w:rsidRDefault="000A1280" w:rsidP="00006AA1">
            <w:pPr>
              <w:spacing w:before="80"/>
              <w:rPr>
                <w:rFonts w:cs="Arial"/>
                <w:szCs w:val="21"/>
              </w:rPr>
            </w:pPr>
            <w:r>
              <w:rPr>
                <w:rFonts w:cs="Arial"/>
                <w:szCs w:val="21"/>
              </w:rPr>
              <w:t>Has a</w:t>
            </w:r>
            <w:r w:rsidR="007F3542" w:rsidRPr="00003CF6">
              <w:rPr>
                <w:rFonts w:cs="Arial"/>
                <w:szCs w:val="21"/>
              </w:rPr>
              <w:t xml:space="preserve"> sophisticated understanding of funding models that apply to Victorian public h</w:t>
            </w:r>
            <w:r>
              <w:rPr>
                <w:rFonts w:cs="Arial"/>
                <w:szCs w:val="21"/>
              </w:rPr>
              <w:t>ospitals</w:t>
            </w:r>
            <w:r w:rsidR="007F3542" w:rsidRPr="00003CF6">
              <w:rPr>
                <w:rFonts w:cs="Arial"/>
                <w:szCs w:val="21"/>
              </w:rPr>
              <w:t xml:space="preserve">.  </w:t>
            </w:r>
          </w:p>
          <w:p w14:paraId="482DF8E1" w14:textId="7A9C98FA" w:rsidR="007F3542" w:rsidRPr="00556670" w:rsidRDefault="007F3542" w:rsidP="00006AA1">
            <w:pPr>
              <w:rPr>
                <w:szCs w:val="21"/>
              </w:rPr>
            </w:pPr>
            <w:r w:rsidRPr="00003CF6">
              <w:rPr>
                <w:rFonts w:cs="Arial"/>
                <w:szCs w:val="21"/>
              </w:rPr>
              <w:t xml:space="preserve">Demonstrates ability to influence strategic innovation </w:t>
            </w:r>
            <w:r w:rsidR="00751B78">
              <w:rPr>
                <w:rFonts w:cs="Arial"/>
                <w:szCs w:val="21"/>
              </w:rPr>
              <w:t>to drive sustainability</w:t>
            </w:r>
            <w:r w:rsidRPr="00003CF6">
              <w:rPr>
                <w:rFonts w:cs="Arial"/>
                <w:szCs w:val="21"/>
              </w:rPr>
              <w:t>.</w:t>
            </w:r>
            <w:r>
              <w:rPr>
                <w:rFonts w:cs="Arial"/>
                <w:szCs w:val="21"/>
              </w:rPr>
              <w:t xml:space="preserve"> </w:t>
            </w:r>
          </w:p>
        </w:tc>
      </w:tr>
    </w:tbl>
    <w:p w14:paraId="2DAF51A1" w14:textId="77777777" w:rsidR="000A1280" w:rsidRDefault="000A1280">
      <w:pPr>
        <w:spacing w:after="0" w:line="240" w:lineRule="auto"/>
        <w:rPr>
          <w:rFonts w:eastAsia="Times"/>
        </w:rPr>
      </w:pPr>
      <w:r>
        <w:br w:type="page"/>
      </w:r>
    </w:p>
    <w:p w14:paraId="59078F28" w14:textId="524A29EE" w:rsidR="007F3542" w:rsidRDefault="007F3542" w:rsidP="007F3542">
      <w:pPr>
        <w:pStyle w:val="Heading2"/>
      </w:pPr>
      <w:bookmarkStart w:id="65" w:name="_Toc149149814"/>
      <w:r w:rsidRPr="00724659">
        <w:lastRenderedPageBreak/>
        <w:t>Law</w:t>
      </w:r>
      <w:bookmarkEnd w:id="65"/>
    </w:p>
    <w:p w14:paraId="120BE752" w14:textId="1116A140" w:rsidR="007F3542" w:rsidRPr="00987BFC" w:rsidRDefault="0099590A" w:rsidP="007F3542">
      <w:pPr>
        <w:pStyle w:val="Body"/>
        <w:rPr>
          <w:szCs w:val="21"/>
          <w:lang w:val="en-US"/>
        </w:rPr>
      </w:pPr>
      <w:r>
        <w:rPr>
          <w:szCs w:val="21"/>
          <w:lang w:val="en-US"/>
        </w:rPr>
        <w:t>It is preferred that a board has one Victorian practicing lawyer. However</w:t>
      </w:r>
      <w:r w:rsidR="006D23F4">
        <w:rPr>
          <w:szCs w:val="21"/>
          <w:lang w:val="en-US"/>
        </w:rPr>
        <w:t>,</w:t>
      </w:r>
      <w:r>
        <w:rPr>
          <w:szCs w:val="21"/>
          <w:lang w:val="en-US"/>
        </w:rPr>
        <w:t xml:space="preserve"> there are other professions (such as </w:t>
      </w:r>
      <w:r w:rsidR="00BA0666">
        <w:rPr>
          <w:szCs w:val="21"/>
          <w:lang w:val="en-US"/>
        </w:rPr>
        <w:t>academics</w:t>
      </w:r>
      <w:r w:rsidR="006D23F4">
        <w:rPr>
          <w:szCs w:val="21"/>
          <w:lang w:val="en-US"/>
        </w:rPr>
        <w:t>, former members of parliament)</w:t>
      </w:r>
      <w:r>
        <w:rPr>
          <w:szCs w:val="21"/>
          <w:lang w:val="en-US"/>
        </w:rPr>
        <w:t xml:space="preserve"> an</w:t>
      </w:r>
      <w:r w:rsidR="006D23F4">
        <w:rPr>
          <w:szCs w:val="21"/>
          <w:lang w:val="en-US"/>
        </w:rPr>
        <w:t>d</w:t>
      </w:r>
      <w:r>
        <w:rPr>
          <w:szCs w:val="21"/>
          <w:lang w:val="en-US"/>
        </w:rPr>
        <w:t xml:space="preserve"> roles </w:t>
      </w:r>
      <w:r w:rsidR="006D23F4">
        <w:rPr>
          <w:szCs w:val="21"/>
          <w:lang w:val="en-US"/>
        </w:rPr>
        <w:t xml:space="preserve">(such as sessional member of </w:t>
      </w:r>
      <w:r w:rsidR="002409CA">
        <w:rPr>
          <w:szCs w:val="21"/>
          <w:lang w:val="en-US"/>
        </w:rPr>
        <w:t xml:space="preserve">a </w:t>
      </w:r>
      <w:r w:rsidR="006D23F4">
        <w:rPr>
          <w:szCs w:val="21"/>
          <w:lang w:val="en-US"/>
        </w:rPr>
        <w:t>tribunal</w:t>
      </w:r>
      <w:r w:rsidR="002409CA">
        <w:rPr>
          <w:szCs w:val="21"/>
          <w:lang w:val="en-US"/>
        </w:rPr>
        <w:t xml:space="preserve"> – Mental Health, Civil and Administrative, etc.</w:t>
      </w:r>
      <w:r w:rsidR="006D23F4">
        <w:rPr>
          <w:szCs w:val="21"/>
          <w:lang w:val="en-US"/>
        </w:rPr>
        <w:t xml:space="preserve">) that are experienced in interpreting and applying law which could fulfill the capability of law. </w:t>
      </w:r>
    </w:p>
    <w:tbl>
      <w:tblPr>
        <w:tblStyle w:val="TableGrid"/>
        <w:tblW w:w="5000" w:type="pct"/>
        <w:tblLook w:val="06A0" w:firstRow="1" w:lastRow="0" w:firstColumn="1" w:lastColumn="0" w:noHBand="1" w:noVBand="1"/>
      </w:tblPr>
      <w:tblGrid>
        <w:gridCol w:w="4814"/>
        <w:gridCol w:w="3152"/>
        <w:gridCol w:w="3155"/>
        <w:gridCol w:w="3155"/>
      </w:tblGrid>
      <w:tr w:rsidR="007F3542" w14:paraId="6EC22FB5" w14:textId="77777777" w:rsidTr="00006AA1">
        <w:trPr>
          <w:tblHeader/>
        </w:trPr>
        <w:tc>
          <w:tcPr>
            <w:tcW w:w="1686" w:type="pct"/>
          </w:tcPr>
          <w:p w14:paraId="6DB5FCF1" w14:textId="77777777" w:rsidR="007F3542" w:rsidRPr="005C252D" w:rsidRDefault="007F3542" w:rsidP="00987BFC">
            <w:pPr>
              <w:pStyle w:val="Tablecolhead"/>
              <w:rPr>
                <w:sz w:val="24"/>
                <w:szCs w:val="24"/>
              </w:rPr>
            </w:pPr>
            <w:r w:rsidRPr="005C252D">
              <w:rPr>
                <w:sz w:val="24"/>
                <w:szCs w:val="24"/>
              </w:rPr>
              <w:t>Capability description</w:t>
            </w:r>
          </w:p>
        </w:tc>
        <w:tc>
          <w:tcPr>
            <w:tcW w:w="1104" w:type="pct"/>
          </w:tcPr>
          <w:p w14:paraId="79B5A6AE" w14:textId="77777777" w:rsidR="007F3542" w:rsidRPr="005C252D" w:rsidRDefault="007F3542" w:rsidP="00006AA1">
            <w:pPr>
              <w:pStyle w:val="Tablecolhead"/>
              <w:rPr>
                <w:sz w:val="24"/>
                <w:szCs w:val="24"/>
              </w:rPr>
            </w:pPr>
            <w:r w:rsidRPr="005C252D">
              <w:rPr>
                <w:sz w:val="24"/>
                <w:szCs w:val="24"/>
              </w:rPr>
              <w:t>Foundational</w:t>
            </w:r>
          </w:p>
        </w:tc>
        <w:tc>
          <w:tcPr>
            <w:tcW w:w="1105" w:type="pct"/>
          </w:tcPr>
          <w:p w14:paraId="48C8483D" w14:textId="77777777" w:rsidR="007F3542" w:rsidRPr="005C252D" w:rsidRDefault="007F3542" w:rsidP="00006AA1">
            <w:pPr>
              <w:pStyle w:val="Tablecolhead"/>
              <w:rPr>
                <w:sz w:val="24"/>
                <w:szCs w:val="24"/>
              </w:rPr>
            </w:pPr>
            <w:r w:rsidRPr="005C252D">
              <w:rPr>
                <w:sz w:val="24"/>
                <w:szCs w:val="24"/>
              </w:rPr>
              <w:t>Proficient</w:t>
            </w:r>
          </w:p>
        </w:tc>
        <w:tc>
          <w:tcPr>
            <w:tcW w:w="1105" w:type="pct"/>
          </w:tcPr>
          <w:p w14:paraId="46881CB5" w14:textId="77777777" w:rsidR="007F3542" w:rsidRPr="005C252D" w:rsidRDefault="007F3542" w:rsidP="00006AA1">
            <w:pPr>
              <w:pStyle w:val="Tablecolhead"/>
              <w:rPr>
                <w:sz w:val="24"/>
                <w:szCs w:val="24"/>
              </w:rPr>
            </w:pPr>
            <w:r w:rsidRPr="005C252D">
              <w:rPr>
                <w:sz w:val="24"/>
                <w:szCs w:val="24"/>
              </w:rPr>
              <w:t>Advanced</w:t>
            </w:r>
          </w:p>
        </w:tc>
      </w:tr>
      <w:tr w:rsidR="007F3542" w:rsidRPr="00556670" w14:paraId="1E755542" w14:textId="77777777" w:rsidTr="00006AA1">
        <w:tc>
          <w:tcPr>
            <w:tcW w:w="1686" w:type="pct"/>
          </w:tcPr>
          <w:p w14:paraId="2AAD186F" w14:textId="305F695D" w:rsidR="007F3542" w:rsidRDefault="002409CA" w:rsidP="007F3542">
            <w:pPr>
              <w:numPr>
                <w:ilvl w:val="0"/>
                <w:numId w:val="15"/>
              </w:numPr>
              <w:spacing w:before="80" w:line="240" w:lineRule="auto"/>
              <w:ind w:left="426" w:hanging="426"/>
              <w:rPr>
                <w:rFonts w:eastAsia="Times"/>
                <w:szCs w:val="21"/>
              </w:rPr>
            </w:pPr>
            <w:r>
              <w:rPr>
                <w:rFonts w:eastAsia="Times"/>
                <w:szCs w:val="21"/>
              </w:rPr>
              <w:t>E</w:t>
            </w:r>
            <w:r w:rsidR="007F3542" w:rsidRPr="00607912">
              <w:rPr>
                <w:rFonts w:eastAsia="Times"/>
                <w:szCs w:val="21"/>
              </w:rPr>
              <w:t xml:space="preserve">xperience </w:t>
            </w:r>
            <w:r w:rsidR="007F3542">
              <w:rPr>
                <w:rFonts w:eastAsia="Times"/>
                <w:szCs w:val="21"/>
              </w:rPr>
              <w:t>in</w:t>
            </w:r>
            <w:r w:rsidR="007F3542" w:rsidRPr="00607912">
              <w:rPr>
                <w:rFonts w:eastAsia="Times"/>
                <w:szCs w:val="21"/>
              </w:rPr>
              <w:t xml:space="preserve"> interpreting and applying legislatio</w:t>
            </w:r>
            <w:r w:rsidR="00F835FA">
              <w:rPr>
                <w:rFonts w:eastAsia="Times"/>
                <w:szCs w:val="21"/>
              </w:rPr>
              <w:t>n and regulations</w:t>
            </w:r>
            <w:r w:rsidR="00B84801">
              <w:rPr>
                <w:rFonts w:eastAsia="Times"/>
                <w:szCs w:val="21"/>
              </w:rPr>
              <w:t>.</w:t>
            </w:r>
          </w:p>
          <w:p w14:paraId="27323D1D" w14:textId="2EAC6968" w:rsidR="002409CA" w:rsidRDefault="002409CA" w:rsidP="007F3542">
            <w:pPr>
              <w:numPr>
                <w:ilvl w:val="0"/>
                <w:numId w:val="15"/>
              </w:numPr>
              <w:spacing w:before="80" w:line="240" w:lineRule="auto"/>
              <w:ind w:left="426" w:hanging="426"/>
              <w:rPr>
                <w:rFonts w:eastAsia="Times"/>
                <w:szCs w:val="21"/>
              </w:rPr>
            </w:pPr>
            <w:r>
              <w:rPr>
                <w:rFonts w:eastAsia="Times"/>
                <w:szCs w:val="21"/>
              </w:rPr>
              <w:t xml:space="preserve">Experience in advising, </w:t>
            </w:r>
            <w:r w:rsidR="0067313B">
              <w:rPr>
                <w:rFonts w:eastAsia="Times"/>
                <w:szCs w:val="21"/>
              </w:rPr>
              <w:t>teaching,</w:t>
            </w:r>
            <w:r>
              <w:rPr>
                <w:rFonts w:eastAsia="Times"/>
                <w:szCs w:val="21"/>
              </w:rPr>
              <w:t xml:space="preserve"> or developing legal principles or policies. </w:t>
            </w:r>
          </w:p>
          <w:p w14:paraId="2ADB9739" w14:textId="40A0D52F" w:rsidR="002409CA" w:rsidRPr="00607912" w:rsidRDefault="002409CA" w:rsidP="007F3542">
            <w:pPr>
              <w:numPr>
                <w:ilvl w:val="0"/>
                <w:numId w:val="15"/>
              </w:numPr>
              <w:spacing w:before="80" w:line="240" w:lineRule="auto"/>
              <w:ind w:left="426" w:hanging="426"/>
              <w:rPr>
                <w:rFonts w:eastAsia="Times"/>
                <w:szCs w:val="21"/>
              </w:rPr>
            </w:pPr>
            <w:r>
              <w:rPr>
                <w:rFonts w:eastAsia="Times"/>
                <w:szCs w:val="21"/>
              </w:rPr>
              <w:t xml:space="preserve">Experience should be within the past 3 years. </w:t>
            </w:r>
          </w:p>
          <w:p w14:paraId="4D8F2088" w14:textId="7285ED0D" w:rsidR="007F3542" w:rsidRDefault="00E96BFD" w:rsidP="007F3542">
            <w:pPr>
              <w:numPr>
                <w:ilvl w:val="0"/>
                <w:numId w:val="15"/>
              </w:numPr>
              <w:spacing w:before="80" w:line="240" w:lineRule="auto"/>
              <w:ind w:left="426" w:hanging="426"/>
              <w:rPr>
                <w:rFonts w:eastAsia="Times"/>
                <w:szCs w:val="21"/>
              </w:rPr>
            </w:pPr>
            <w:r>
              <w:rPr>
                <w:rFonts w:eastAsia="Times"/>
                <w:szCs w:val="21"/>
              </w:rPr>
              <w:t>At the</w:t>
            </w:r>
            <w:r w:rsidR="006D23F4">
              <w:rPr>
                <w:rFonts w:eastAsia="Times"/>
                <w:szCs w:val="21"/>
              </w:rPr>
              <w:t xml:space="preserve"> </w:t>
            </w:r>
            <w:r w:rsidR="007F3542" w:rsidRPr="00607912">
              <w:rPr>
                <w:rFonts w:eastAsia="Times"/>
                <w:szCs w:val="21"/>
              </w:rPr>
              <w:t xml:space="preserve">advanced </w:t>
            </w:r>
            <w:r w:rsidR="0099590A">
              <w:rPr>
                <w:rFonts w:eastAsia="Times"/>
                <w:szCs w:val="21"/>
              </w:rPr>
              <w:t>level</w:t>
            </w:r>
            <w:r w:rsidR="006D23F4">
              <w:rPr>
                <w:rFonts w:eastAsia="Times"/>
                <w:szCs w:val="21"/>
              </w:rPr>
              <w:t>,</w:t>
            </w:r>
            <w:r w:rsidR="0099590A">
              <w:rPr>
                <w:rFonts w:eastAsia="Times"/>
                <w:szCs w:val="21"/>
              </w:rPr>
              <w:t xml:space="preserve"> persons</w:t>
            </w:r>
            <w:r w:rsidR="0099590A" w:rsidRPr="00607912">
              <w:rPr>
                <w:rFonts w:eastAsia="Times"/>
                <w:szCs w:val="21"/>
              </w:rPr>
              <w:t xml:space="preserve"> </w:t>
            </w:r>
            <w:r w:rsidR="00752F23" w:rsidRPr="00400FC6">
              <w:rPr>
                <w:rFonts w:eastAsia="Times"/>
                <w:szCs w:val="21"/>
              </w:rPr>
              <w:t>must</w:t>
            </w:r>
            <w:r w:rsidR="0099590A">
              <w:rPr>
                <w:rFonts w:eastAsia="Times"/>
                <w:szCs w:val="21"/>
              </w:rPr>
              <w:t xml:space="preserve"> </w:t>
            </w:r>
            <w:r w:rsidR="007F3542" w:rsidRPr="00607912">
              <w:rPr>
                <w:rFonts w:eastAsia="Times"/>
                <w:szCs w:val="21"/>
              </w:rPr>
              <w:t>hold a current Victorian practising certificate (or equivalent Australian practising certificate) or is eligible to apply for a Victorian practising certificate. </w:t>
            </w:r>
          </w:p>
          <w:p w14:paraId="42834010" w14:textId="1D9F47B9" w:rsidR="0043351C" w:rsidRPr="00607912" w:rsidRDefault="002409CA" w:rsidP="007F3542">
            <w:pPr>
              <w:numPr>
                <w:ilvl w:val="0"/>
                <w:numId w:val="15"/>
              </w:numPr>
              <w:spacing w:before="80" w:line="240" w:lineRule="auto"/>
              <w:ind w:left="426" w:hanging="426"/>
              <w:rPr>
                <w:rFonts w:eastAsia="Times"/>
                <w:szCs w:val="21"/>
              </w:rPr>
            </w:pPr>
            <w:r>
              <w:rPr>
                <w:rFonts w:eastAsia="Times"/>
                <w:szCs w:val="21"/>
              </w:rPr>
              <w:t>A</w:t>
            </w:r>
            <w:r w:rsidR="008D72EF">
              <w:rPr>
                <w:rFonts w:eastAsia="Times"/>
                <w:szCs w:val="21"/>
              </w:rPr>
              <w:t xml:space="preserve"> mediator </w:t>
            </w:r>
            <w:r>
              <w:rPr>
                <w:rFonts w:eastAsia="Times"/>
                <w:szCs w:val="21"/>
              </w:rPr>
              <w:t xml:space="preserve">should be </w:t>
            </w:r>
            <w:r w:rsidR="008D72EF">
              <w:rPr>
                <w:rFonts w:eastAsia="Times"/>
                <w:szCs w:val="21"/>
              </w:rPr>
              <w:t xml:space="preserve">certified by the Mediator Standards Board. Where the </w:t>
            </w:r>
            <w:r>
              <w:rPr>
                <w:rFonts w:eastAsia="Times"/>
                <w:szCs w:val="21"/>
              </w:rPr>
              <w:t>person</w:t>
            </w:r>
            <w:r w:rsidR="008D72EF">
              <w:rPr>
                <w:rFonts w:eastAsia="Times"/>
                <w:szCs w:val="21"/>
              </w:rPr>
              <w:t xml:space="preserve"> is an independent consultant</w:t>
            </w:r>
            <w:r>
              <w:rPr>
                <w:rFonts w:eastAsia="Times"/>
                <w:szCs w:val="21"/>
              </w:rPr>
              <w:t>,</w:t>
            </w:r>
            <w:r w:rsidR="008D72EF">
              <w:rPr>
                <w:rFonts w:eastAsia="Times"/>
                <w:szCs w:val="21"/>
              </w:rPr>
              <w:t xml:space="preserve"> they </w:t>
            </w:r>
            <w:r>
              <w:rPr>
                <w:rFonts w:eastAsia="Times"/>
                <w:szCs w:val="21"/>
              </w:rPr>
              <w:t>should</w:t>
            </w:r>
            <w:r w:rsidR="008D72EF">
              <w:rPr>
                <w:rFonts w:eastAsia="Times"/>
                <w:szCs w:val="21"/>
              </w:rPr>
              <w:t xml:space="preserve"> be undertaking a maintenance of professional standards program</w:t>
            </w:r>
            <w:r w:rsidR="009502F4">
              <w:rPr>
                <w:rFonts w:eastAsia="Times"/>
                <w:szCs w:val="21"/>
              </w:rPr>
              <w:t xml:space="preserve">. </w:t>
            </w:r>
          </w:p>
          <w:p w14:paraId="06DFE2D1" w14:textId="11D53DF4" w:rsidR="007F3542" w:rsidRPr="005C252D" w:rsidRDefault="007F3542" w:rsidP="007F3542">
            <w:pPr>
              <w:numPr>
                <w:ilvl w:val="0"/>
                <w:numId w:val="15"/>
              </w:numPr>
              <w:spacing w:before="80" w:line="240" w:lineRule="auto"/>
              <w:ind w:left="426" w:hanging="426"/>
              <w:rPr>
                <w:rFonts w:eastAsia="Times"/>
                <w:szCs w:val="21"/>
              </w:rPr>
            </w:pPr>
            <w:r w:rsidRPr="005C252D">
              <w:rPr>
                <w:rFonts w:eastAsia="Times"/>
                <w:szCs w:val="21"/>
              </w:rPr>
              <w:t xml:space="preserve">It would be advantageous if law </w:t>
            </w:r>
            <w:r w:rsidR="00C1619D">
              <w:rPr>
                <w:rFonts w:eastAsia="Times"/>
                <w:szCs w:val="21"/>
              </w:rPr>
              <w:t xml:space="preserve">interpreted or applied </w:t>
            </w:r>
            <w:r w:rsidRPr="005C252D">
              <w:rPr>
                <w:rFonts w:eastAsia="Times"/>
                <w:szCs w:val="21"/>
              </w:rPr>
              <w:t>was in the fields of health</w:t>
            </w:r>
            <w:r w:rsidR="0099590A">
              <w:rPr>
                <w:rFonts w:eastAsia="Times"/>
                <w:szCs w:val="21"/>
              </w:rPr>
              <w:t xml:space="preserve">, </w:t>
            </w:r>
            <w:r w:rsidRPr="005C252D">
              <w:rPr>
                <w:rFonts w:eastAsia="Times"/>
                <w:szCs w:val="21"/>
              </w:rPr>
              <w:t>mental health</w:t>
            </w:r>
            <w:r w:rsidR="0099590A">
              <w:rPr>
                <w:rFonts w:eastAsia="Times"/>
                <w:szCs w:val="21"/>
              </w:rPr>
              <w:t>, aged care,</w:t>
            </w:r>
            <w:r w:rsidRPr="005C252D">
              <w:rPr>
                <w:rFonts w:eastAsia="Times"/>
                <w:szCs w:val="21"/>
              </w:rPr>
              <w:t xml:space="preserve"> industrial relations</w:t>
            </w:r>
            <w:r w:rsidR="0099590A">
              <w:rPr>
                <w:rFonts w:eastAsia="Times"/>
                <w:szCs w:val="21"/>
              </w:rPr>
              <w:t>,</w:t>
            </w:r>
            <w:r w:rsidRPr="005C252D">
              <w:rPr>
                <w:rFonts w:eastAsia="Times"/>
                <w:szCs w:val="21"/>
              </w:rPr>
              <w:t xml:space="preserve"> corporat</w:t>
            </w:r>
            <w:r w:rsidR="0099590A">
              <w:rPr>
                <w:rFonts w:eastAsia="Times"/>
                <w:szCs w:val="21"/>
              </w:rPr>
              <w:t xml:space="preserve">e, commercial, </w:t>
            </w:r>
            <w:r w:rsidRPr="005C252D">
              <w:rPr>
                <w:rFonts w:eastAsia="Times"/>
                <w:szCs w:val="21"/>
              </w:rPr>
              <w:t>or administration.</w:t>
            </w:r>
            <w:r w:rsidR="002409CA">
              <w:rPr>
                <w:rFonts w:eastAsia="Times"/>
                <w:szCs w:val="21"/>
              </w:rPr>
              <w:t xml:space="preserve"> </w:t>
            </w:r>
          </w:p>
          <w:p w14:paraId="560D247F" w14:textId="77777777" w:rsidR="007F3542" w:rsidRPr="00C16F77" w:rsidRDefault="007F3542" w:rsidP="00006AA1">
            <w:pPr>
              <w:pStyle w:val="DHHSmainsubheading"/>
              <w:spacing w:before="80" w:after="120"/>
              <w:jc w:val="both"/>
              <w:rPr>
                <w:rFonts w:eastAsia="Times"/>
                <w:color w:val="auto"/>
                <w:sz w:val="21"/>
                <w:szCs w:val="21"/>
              </w:rPr>
            </w:pPr>
          </w:p>
        </w:tc>
        <w:tc>
          <w:tcPr>
            <w:tcW w:w="1104" w:type="pct"/>
          </w:tcPr>
          <w:p w14:paraId="513DFB4C" w14:textId="21B22F07" w:rsidR="007F3542" w:rsidRPr="00AA7CFC" w:rsidRDefault="007F3542" w:rsidP="00006AA1">
            <w:pPr>
              <w:spacing w:before="80"/>
              <w:rPr>
                <w:rFonts w:cs="Arial"/>
                <w:szCs w:val="21"/>
              </w:rPr>
            </w:pPr>
            <w:r w:rsidRPr="00AA7CFC">
              <w:rPr>
                <w:rFonts w:cs="Arial"/>
                <w:szCs w:val="21"/>
              </w:rPr>
              <w:t>Understand</w:t>
            </w:r>
            <w:r w:rsidR="005856C3">
              <w:rPr>
                <w:rFonts w:cs="Arial"/>
                <w:szCs w:val="21"/>
              </w:rPr>
              <w:t>s</w:t>
            </w:r>
            <w:r w:rsidRPr="00AA7CFC">
              <w:rPr>
                <w:rFonts w:cs="Arial"/>
                <w:szCs w:val="21"/>
              </w:rPr>
              <w:t xml:space="preserve"> the enabling </w:t>
            </w:r>
            <w:r w:rsidR="005856C3">
              <w:rPr>
                <w:rFonts w:cs="Arial"/>
                <w:szCs w:val="21"/>
              </w:rPr>
              <w:t xml:space="preserve">and other </w:t>
            </w:r>
            <w:r w:rsidRPr="00AA7CFC">
              <w:rPr>
                <w:rFonts w:cs="Arial"/>
                <w:szCs w:val="21"/>
              </w:rPr>
              <w:t>legislation that underpins Victoria</w:t>
            </w:r>
            <w:r w:rsidR="005856C3">
              <w:rPr>
                <w:rFonts w:cs="Arial"/>
                <w:szCs w:val="21"/>
              </w:rPr>
              <w:t>’s public health system</w:t>
            </w:r>
            <w:r w:rsidRPr="00AA7CFC">
              <w:rPr>
                <w:rFonts w:cs="Arial"/>
                <w:szCs w:val="21"/>
              </w:rPr>
              <w:t>.</w:t>
            </w:r>
          </w:p>
          <w:p w14:paraId="5B219E66" w14:textId="60188469" w:rsidR="007F3542" w:rsidRDefault="007F3542" w:rsidP="00006AA1">
            <w:pPr>
              <w:spacing w:before="80"/>
              <w:rPr>
                <w:rFonts w:cs="Arial"/>
                <w:szCs w:val="21"/>
              </w:rPr>
            </w:pPr>
            <w:r w:rsidRPr="00AA7CFC">
              <w:rPr>
                <w:rFonts w:cs="Arial"/>
                <w:szCs w:val="21"/>
              </w:rPr>
              <w:t>Understand</w:t>
            </w:r>
            <w:r w:rsidR="005856C3">
              <w:rPr>
                <w:rFonts w:cs="Arial"/>
                <w:szCs w:val="21"/>
              </w:rPr>
              <w:t xml:space="preserve">s the national and Victorian regulatory requirements of </w:t>
            </w:r>
            <w:r w:rsidR="005856C3" w:rsidRPr="00AA7CFC">
              <w:rPr>
                <w:rFonts w:cs="Arial"/>
                <w:szCs w:val="21"/>
              </w:rPr>
              <w:t>Victoria</w:t>
            </w:r>
            <w:r w:rsidR="005856C3">
              <w:rPr>
                <w:rFonts w:cs="Arial"/>
                <w:szCs w:val="21"/>
              </w:rPr>
              <w:t>’s public health system</w:t>
            </w:r>
            <w:r w:rsidRPr="00AA7CFC">
              <w:rPr>
                <w:rFonts w:cs="Arial"/>
                <w:szCs w:val="21"/>
              </w:rPr>
              <w:t>.</w:t>
            </w:r>
          </w:p>
          <w:p w14:paraId="786E4803" w14:textId="63EAC0A0" w:rsidR="005856C3" w:rsidRPr="00AA7CFC" w:rsidRDefault="005856C3" w:rsidP="005856C3">
            <w:pPr>
              <w:spacing w:before="80"/>
              <w:rPr>
                <w:rFonts w:cs="Arial"/>
                <w:szCs w:val="21"/>
              </w:rPr>
            </w:pPr>
            <w:r>
              <w:rPr>
                <w:rFonts w:cs="Arial"/>
                <w:szCs w:val="21"/>
              </w:rPr>
              <w:t>A</w:t>
            </w:r>
            <w:r w:rsidRPr="00AA7CFC">
              <w:rPr>
                <w:rFonts w:cs="Arial"/>
                <w:szCs w:val="21"/>
              </w:rPr>
              <w:t>b</w:t>
            </w:r>
            <w:r>
              <w:rPr>
                <w:rFonts w:cs="Arial"/>
                <w:szCs w:val="21"/>
              </w:rPr>
              <w:t>le</w:t>
            </w:r>
            <w:r w:rsidRPr="00AA7CFC">
              <w:rPr>
                <w:rFonts w:cs="Arial"/>
                <w:szCs w:val="21"/>
              </w:rPr>
              <w:t xml:space="preserve"> to identify basic legal issues.</w:t>
            </w:r>
            <w:r>
              <w:rPr>
                <w:rFonts w:cs="Arial"/>
                <w:szCs w:val="21"/>
              </w:rPr>
              <w:t xml:space="preserve"> </w:t>
            </w:r>
          </w:p>
          <w:p w14:paraId="64BD70FF" w14:textId="1F3C8A9A" w:rsidR="007F3542" w:rsidRPr="00AA7CFC" w:rsidRDefault="007F3542" w:rsidP="00006AA1">
            <w:pPr>
              <w:spacing w:before="80"/>
              <w:rPr>
                <w:rFonts w:cs="Arial"/>
                <w:szCs w:val="21"/>
              </w:rPr>
            </w:pPr>
            <w:r w:rsidRPr="00AA7CFC">
              <w:rPr>
                <w:rFonts w:cs="Arial"/>
                <w:szCs w:val="21"/>
              </w:rPr>
              <w:t>Has a willingness to attend seminars or short courses to obtain legal knowledge in the areas set out in the position description</w:t>
            </w:r>
            <w:r w:rsidR="009D639C">
              <w:rPr>
                <w:rFonts w:cs="Arial"/>
                <w:szCs w:val="21"/>
              </w:rPr>
              <w:t>.</w:t>
            </w:r>
            <w:r w:rsidRPr="00AA7CFC">
              <w:rPr>
                <w:rFonts w:cs="Arial"/>
                <w:szCs w:val="21"/>
              </w:rPr>
              <w:t xml:space="preserve"> </w:t>
            </w:r>
          </w:p>
          <w:p w14:paraId="52A4D3CE" w14:textId="77777777" w:rsidR="007F3542" w:rsidRPr="00556670" w:rsidRDefault="007F3542" w:rsidP="00006AA1">
            <w:pPr>
              <w:spacing w:before="80"/>
              <w:rPr>
                <w:szCs w:val="21"/>
              </w:rPr>
            </w:pPr>
          </w:p>
        </w:tc>
        <w:tc>
          <w:tcPr>
            <w:tcW w:w="1105" w:type="pct"/>
          </w:tcPr>
          <w:p w14:paraId="06D3F76F" w14:textId="16E40BC7" w:rsidR="00752F23" w:rsidRDefault="00752F23" w:rsidP="00006AA1">
            <w:pPr>
              <w:spacing w:before="80"/>
              <w:rPr>
                <w:rFonts w:cs="Arial"/>
                <w:szCs w:val="21"/>
              </w:rPr>
            </w:pPr>
            <w:r>
              <w:rPr>
                <w:rFonts w:cs="Arial"/>
                <w:szCs w:val="21"/>
              </w:rPr>
              <w:t>E</w:t>
            </w:r>
            <w:r w:rsidRPr="005A37EE">
              <w:rPr>
                <w:rFonts w:cs="Arial"/>
                <w:szCs w:val="21"/>
              </w:rPr>
              <w:t xml:space="preserve">xperience in </w:t>
            </w:r>
            <w:r>
              <w:rPr>
                <w:rFonts w:cs="Arial"/>
                <w:szCs w:val="21"/>
              </w:rPr>
              <w:t xml:space="preserve">legal </w:t>
            </w:r>
            <w:r w:rsidRPr="005A37EE">
              <w:rPr>
                <w:rFonts w:cs="Arial"/>
                <w:szCs w:val="21"/>
              </w:rPr>
              <w:t>practice or industry experience</w:t>
            </w:r>
            <w:r>
              <w:rPr>
                <w:rFonts w:cs="Arial"/>
                <w:szCs w:val="21"/>
              </w:rPr>
              <w:t xml:space="preserve"> requiring in</w:t>
            </w:r>
            <w:r w:rsidR="006028FC">
              <w:rPr>
                <w:rFonts w:cs="Arial"/>
                <w:szCs w:val="21"/>
              </w:rPr>
              <w:t>-</w:t>
            </w:r>
            <w:r>
              <w:rPr>
                <w:rFonts w:cs="Arial"/>
                <w:szCs w:val="21"/>
              </w:rPr>
              <w:t xml:space="preserve">depth understanding of the legal framework. </w:t>
            </w:r>
          </w:p>
          <w:p w14:paraId="593B224C" w14:textId="66C9DA73" w:rsidR="007F3542" w:rsidRDefault="005856C3" w:rsidP="00006AA1">
            <w:pPr>
              <w:spacing w:before="80"/>
              <w:rPr>
                <w:rFonts w:cs="Arial"/>
                <w:szCs w:val="21"/>
              </w:rPr>
            </w:pPr>
            <w:r>
              <w:rPr>
                <w:rFonts w:cs="Arial"/>
                <w:szCs w:val="21"/>
              </w:rPr>
              <w:t xml:space="preserve">Working knowledge of </w:t>
            </w:r>
            <w:r w:rsidR="007F3542" w:rsidRPr="00AA7CFC">
              <w:rPr>
                <w:rFonts w:cs="Arial"/>
                <w:szCs w:val="21"/>
              </w:rPr>
              <w:t>legal compliance registers and systems</w:t>
            </w:r>
            <w:r w:rsidR="007F3542">
              <w:rPr>
                <w:rFonts w:cs="Arial"/>
                <w:szCs w:val="21"/>
              </w:rPr>
              <w:t>.</w:t>
            </w:r>
            <w:r w:rsidR="007F3542" w:rsidRPr="00AA7CFC">
              <w:rPr>
                <w:rFonts w:cs="Arial"/>
                <w:szCs w:val="21"/>
              </w:rPr>
              <w:t xml:space="preserve"> </w:t>
            </w:r>
          </w:p>
          <w:p w14:paraId="779C4FAE" w14:textId="55DEB345" w:rsidR="005856C3" w:rsidRDefault="005856C3" w:rsidP="005856C3">
            <w:pPr>
              <w:spacing w:before="80"/>
              <w:rPr>
                <w:rFonts w:cs="Arial"/>
                <w:szCs w:val="21"/>
              </w:rPr>
            </w:pPr>
            <w:r w:rsidRPr="53AEBB52">
              <w:rPr>
                <w:rFonts w:cs="Arial"/>
              </w:rPr>
              <w:t xml:space="preserve">Able to identify </w:t>
            </w:r>
            <w:r w:rsidR="005E2F43" w:rsidRPr="53AEBB52">
              <w:rPr>
                <w:rFonts w:cs="Arial"/>
              </w:rPr>
              <w:t xml:space="preserve">legal </w:t>
            </w:r>
            <w:r w:rsidRPr="53AEBB52">
              <w:rPr>
                <w:rFonts w:cs="Arial"/>
              </w:rPr>
              <w:t>risks, raise red flags,</w:t>
            </w:r>
            <w:r w:rsidR="00752F23" w:rsidRPr="53AEBB52">
              <w:rPr>
                <w:rFonts w:cs="Arial"/>
              </w:rPr>
              <w:t xml:space="preserve"> and</w:t>
            </w:r>
            <w:r w:rsidRPr="53AEBB52">
              <w:rPr>
                <w:rFonts w:cs="Arial"/>
              </w:rPr>
              <w:t xml:space="preserve"> ask </w:t>
            </w:r>
            <w:r w:rsidR="00752F23" w:rsidRPr="53AEBB52">
              <w:rPr>
                <w:rFonts w:cs="Arial"/>
              </w:rPr>
              <w:t xml:space="preserve">appropriate </w:t>
            </w:r>
            <w:r w:rsidRPr="53AEBB52">
              <w:rPr>
                <w:rFonts w:cs="Arial"/>
              </w:rPr>
              <w:t>questions</w:t>
            </w:r>
            <w:r w:rsidR="00752F23" w:rsidRPr="53AEBB52">
              <w:rPr>
                <w:rFonts w:cs="Arial"/>
              </w:rPr>
              <w:t xml:space="preserve"> that supports the collective board to be fully informed</w:t>
            </w:r>
            <w:r w:rsidRPr="53AEBB52">
              <w:rPr>
                <w:rFonts w:cs="Arial"/>
              </w:rPr>
              <w:t xml:space="preserve">. </w:t>
            </w:r>
          </w:p>
          <w:p w14:paraId="6C3E83FA" w14:textId="784F62D0" w:rsidR="007F3542" w:rsidRPr="00AA7CFC" w:rsidRDefault="007F3542" w:rsidP="00006AA1">
            <w:pPr>
              <w:spacing w:before="80"/>
            </w:pPr>
            <w:r>
              <w:rPr>
                <w:rFonts w:cs="Arial"/>
                <w:szCs w:val="21"/>
              </w:rPr>
              <w:t>K</w:t>
            </w:r>
            <w:r w:rsidRPr="00AA7CFC">
              <w:rPr>
                <w:rFonts w:cs="Arial"/>
                <w:szCs w:val="21"/>
              </w:rPr>
              <w:t xml:space="preserve">nowledge and experience in the </w:t>
            </w:r>
            <w:r>
              <w:rPr>
                <w:rFonts w:cs="Arial"/>
                <w:szCs w:val="21"/>
              </w:rPr>
              <w:t xml:space="preserve">public </w:t>
            </w:r>
            <w:r w:rsidRPr="00AA7CFC">
              <w:rPr>
                <w:rFonts w:cs="Arial"/>
                <w:szCs w:val="21"/>
              </w:rPr>
              <w:t>health system regulatory framework</w:t>
            </w:r>
            <w:r w:rsidR="00752F23">
              <w:rPr>
                <w:rFonts w:cs="Arial"/>
                <w:szCs w:val="21"/>
              </w:rPr>
              <w:t>, including privacy and public accountability</w:t>
            </w:r>
            <w:r w:rsidRPr="00AA7CFC">
              <w:rPr>
                <w:rFonts w:cs="Arial"/>
                <w:szCs w:val="21"/>
              </w:rPr>
              <w:t>.</w:t>
            </w:r>
            <w:r w:rsidR="00752F23">
              <w:rPr>
                <w:rFonts w:cs="Arial"/>
                <w:szCs w:val="21"/>
              </w:rPr>
              <w:t xml:space="preserve"> </w:t>
            </w:r>
          </w:p>
          <w:p w14:paraId="59E758CA" w14:textId="041CFA17" w:rsidR="00BC236F" w:rsidRPr="00556670" w:rsidRDefault="00BC236F" w:rsidP="00006AA1">
            <w:pPr>
              <w:pStyle w:val="Tablebullet2"/>
              <w:numPr>
                <w:ilvl w:val="0"/>
                <w:numId w:val="0"/>
              </w:numPr>
              <w:spacing w:after="120"/>
              <w:rPr>
                <w:szCs w:val="21"/>
              </w:rPr>
            </w:pPr>
          </w:p>
        </w:tc>
        <w:tc>
          <w:tcPr>
            <w:tcW w:w="1105" w:type="pct"/>
          </w:tcPr>
          <w:p w14:paraId="792DF48B" w14:textId="45A4951A" w:rsidR="00752F23" w:rsidRDefault="00752F23" w:rsidP="00006AA1">
            <w:pPr>
              <w:spacing w:before="80"/>
              <w:rPr>
                <w:rFonts w:cs="Arial"/>
                <w:szCs w:val="21"/>
              </w:rPr>
            </w:pPr>
            <w:r>
              <w:rPr>
                <w:rFonts w:eastAsia="Times"/>
                <w:szCs w:val="21"/>
              </w:rPr>
              <w:t>A</w:t>
            </w:r>
            <w:r w:rsidRPr="00607912">
              <w:rPr>
                <w:rFonts w:eastAsia="Times"/>
                <w:szCs w:val="21"/>
              </w:rPr>
              <w:t xml:space="preserve">dmitted to the legal profession as an Australian </w:t>
            </w:r>
            <w:r w:rsidR="006028FC">
              <w:rPr>
                <w:rFonts w:eastAsia="Times"/>
                <w:szCs w:val="21"/>
              </w:rPr>
              <w:t>l</w:t>
            </w:r>
            <w:r w:rsidRPr="00607912">
              <w:rPr>
                <w:rFonts w:eastAsia="Times"/>
                <w:szCs w:val="21"/>
              </w:rPr>
              <w:t>awyer and hold</w:t>
            </w:r>
            <w:r>
              <w:rPr>
                <w:rFonts w:eastAsia="Times"/>
                <w:szCs w:val="21"/>
              </w:rPr>
              <w:t>s</w:t>
            </w:r>
            <w:r w:rsidRPr="00607912">
              <w:rPr>
                <w:rFonts w:eastAsia="Times"/>
                <w:szCs w:val="21"/>
              </w:rPr>
              <w:t xml:space="preserve"> a current Victorian practising certificate (or equivalent Australian practising certificate)</w:t>
            </w:r>
            <w:r w:rsidR="006028FC">
              <w:rPr>
                <w:rFonts w:eastAsia="Times"/>
                <w:szCs w:val="21"/>
              </w:rPr>
              <w:t>,</w:t>
            </w:r>
            <w:r w:rsidRPr="00607912">
              <w:rPr>
                <w:rFonts w:eastAsia="Times"/>
                <w:szCs w:val="21"/>
              </w:rPr>
              <w:t xml:space="preserve"> or have held one within the last three years</w:t>
            </w:r>
            <w:r w:rsidR="006028FC">
              <w:rPr>
                <w:rFonts w:eastAsia="Times"/>
                <w:szCs w:val="21"/>
              </w:rPr>
              <w:t>,</w:t>
            </w:r>
            <w:r w:rsidRPr="00607912">
              <w:rPr>
                <w:rFonts w:eastAsia="Times"/>
                <w:szCs w:val="21"/>
              </w:rPr>
              <w:t xml:space="preserve"> and is eligible to apply for a Victorian practising certificate</w:t>
            </w:r>
            <w:r>
              <w:rPr>
                <w:rFonts w:eastAsia="Times"/>
                <w:szCs w:val="21"/>
              </w:rPr>
              <w:t xml:space="preserve">. </w:t>
            </w:r>
          </w:p>
          <w:p w14:paraId="14C3D0CE" w14:textId="337907A7" w:rsidR="007F3542" w:rsidRPr="00AA7CFC" w:rsidRDefault="007F3542" w:rsidP="00006AA1">
            <w:pPr>
              <w:spacing w:before="80"/>
              <w:rPr>
                <w:rFonts w:cs="Arial"/>
                <w:szCs w:val="21"/>
              </w:rPr>
            </w:pPr>
            <w:r w:rsidRPr="00AA7CFC">
              <w:rPr>
                <w:rFonts w:cs="Arial"/>
                <w:szCs w:val="21"/>
              </w:rPr>
              <w:t>Practices law within the fields</w:t>
            </w:r>
            <w:r w:rsidR="00752F23">
              <w:rPr>
                <w:rFonts w:cs="Arial"/>
                <w:szCs w:val="21"/>
              </w:rPr>
              <w:t xml:space="preserve"> of</w:t>
            </w:r>
            <w:r w:rsidRPr="00AA7CFC">
              <w:rPr>
                <w:rFonts w:cs="Arial"/>
                <w:szCs w:val="21"/>
              </w:rPr>
              <w:t xml:space="preserve"> health</w:t>
            </w:r>
            <w:r w:rsidR="006028FC">
              <w:rPr>
                <w:rFonts w:cs="Arial"/>
                <w:szCs w:val="21"/>
              </w:rPr>
              <w:t>,</w:t>
            </w:r>
            <w:r w:rsidRPr="00AA7CFC">
              <w:rPr>
                <w:rFonts w:cs="Arial"/>
                <w:szCs w:val="21"/>
              </w:rPr>
              <w:t xml:space="preserve"> mental health</w:t>
            </w:r>
            <w:r w:rsidR="00752F23">
              <w:rPr>
                <w:rFonts w:cs="Arial"/>
                <w:szCs w:val="21"/>
              </w:rPr>
              <w:t>, aged care,</w:t>
            </w:r>
            <w:r w:rsidRPr="00AA7CFC">
              <w:rPr>
                <w:rFonts w:cs="Arial"/>
                <w:szCs w:val="21"/>
              </w:rPr>
              <w:t xml:space="preserve"> industrial relations</w:t>
            </w:r>
            <w:r w:rsidR="00752F23">
              <w:rPr>
                <w:rFonts w:cs="Arial"/>
                <w:szCs w:val="21"/>
              </w:rPr>
              <w:t>,</w:t>
            </w:r>
            <w:r w:rsidRPr="00AA7CFC">
              <w:rPr>
                <w:rFonts w:cs="Arial"/>
                <w:szCs w:val="21"/>
              </w:rPr>
              <w:t xml:space="preserve"> corporations</w:t>
            </w:r>
            <w:r w:rsidR="00735FDD">
              <w:rPr>
                <w:rFonts w:cs="Arial"/>
                <w:szCs w:val="21"/>
              </w:rPr>
              <w:t>,</w:t>
            </w:r>
            <w:r>
              <w:rPr>
                <w:rFonts w:cs="Arial"/>
                <w:szCs w:val="21"/>
              </w:rPr>
              <w:t xml:space="preserve"> </w:t>
            </w:r>
            <w:r w:rsidRPr="00AA7CFC">
              <w:rPr>
                <w:rFonts w:cs="Arial"/>
                <w:szCs w:val="21"/>
              </w:rPr>
              <w:t>governance</w:t>
            </w:r>
            <w:r w:rsidR="00752F23">
              <w:rPr>
                <w:rFonts w:cs="Arial"/>
                <w:szCs w:val="21"/>
              </w:rPr>
              <w:t xml:space="preserve">, </w:t>
            </w:r>
            <w:r w:rsidRPr="00AA7CFC">
              <w:rPr>
                <w:rFonts w:cs="Arial"/>
                <w:szCs w:val="21"/>
              </w:rPr>
              <w:t>or administrative law.</w:t>
            </w:r>
          </w:p>
          <w:p w14:paraId="7C6A8B77" w14:textId="77777777" w:rsidR="007F3542" w:rsidRPr="00556670" w:rsidRDefault="007F3542" w:rsidP="00987BFC">
            <w:pPr>
              <w:spacing w:before="80"/>
            </w:pPr>
          </w:p>
        </w:tc>
      </w:tr>
    </w:tbl>
    <w:p w14:paraId="13273387" w14:textId="1C81F105" w:rsidR="00AB7753" w:rsidRDefault="00AB7753" w:rsidP="00987BFC">
      <w:pPr>
        <w:pStyle w:val="CommentText"/>
        <w:ind w:left="180"/>
      </w:pPr>
    </w:p>
    <w:p w14:paraId="5F5DD20F" w14:textId="77777777" w:rsidR="00AB7753" w:rsidRDefault="00AB7753">
      <w:pPr>
        <w:spacing w:after="0" w:line="240" w:lineRule="auto"/>
        <w:rPr>
          <w:b/>
          <w:color w:val="53565A"/>
          <w:sz w:val="32"/>
          <w:szCs w:val="28"/>
        </w:rPr>
      </w:pPr>
      <w:r>
        <w:br w:type="page"/>
      </w:r>
    </w:p>
    <w:p w14:paraId="46271791" w14:textId="45275CF9" w:rsidR="007F3542" w:rsidRDefault="007F3542" w:rsidP="007F3542">
      <w:pPr>
        <w:pStyle w:val="Heading2"/>
      </w:pPr>
      <w:bookmarkStart w:id="66" w:name="_Toc149149815"/>
      <w:r w:rsidRPr="00217363">
        <w:lastRenderedPageBreak/>
        <w:t>Patient (</w:t>
      </w:r>
      <w:r w:rsidR="00735FDD">
        <w:t>U</w:t>
      </w:r>
      <w:r w:rsidRPr="00217363">
        <w:t xml:space="preserve">ser) </w:t>
      </w:r>
      <w:r w:rsidR="00A92C73">
        <w:t>E</w:t>
      </w:r>
      <w:r w:rsidRPr="00217363">
        <w:t xml:space="preserve">xperience and </w:t>
      </w:r>
      <w:r w:rsidR="00A92C73">
        <w:t>C</w:t>
      </w:r>
      <w:r w:rsidRPr="00217363">
        <w:t xml:space="preserve">onsumer </w:t>
      </w:r>
      <w:r w:rsidR="00A92C73">
        <w:t>E</w:t>
      </w:r>
      <w:r w:rsidRPr="00217363">
        <w:t>ngagement</w:t>
      </w:r>
      <w:bookmarkEnd w:id="66"/>
    </w:p>
    <w:p w14:paraId="64BFDFC7" w14:textId="4E911923" w:rsidR="007F3542" w:rsidRPr="00724659" w:rsidRDefault="003D1E0B" w:rsidP="007F3542">
      <w:pPr>
        <w:pStyle w:val="Body"/>
      </w:pPr>
      <w:r w:rsidRPr="00724659">
        <w:t>This Framework uses the term ‘lived experience’ to refer to persons who have personal experience of health</w:t>
      </w:r>
      <w:r w:rsidR="000F32F6" w:rsidRPr="00724659">
        <w:t xml:space="preserve"> </w:t>
      </w:r>
      <w:r w:rsidRPr="00724659">
        <w:t xml:space="preserve">care, such as </w:t>
      </w:r>
      <w:r w:rsidR="00B74340" w:rsidRPr="00724659">
        <w:t>chronic</w:t>
      </w:r>
      <w:r w:rsidR="00827257" w:rsidRPr="00724659">
        <w:t xml:space="preserve"> or </w:t>
      </w:r>
      <w:proofErr w:type="gramStart"/>
      <w:r w:rsidR="00827257" w:rsidRPr="00724659">
        <w:t>long term</w:t>
      </w:r>
      <w:proofErr w:type="gramEnd"/>
      <w:r w:rsidR="00827257" w:rsidRPr="00724659">
        <w:t xml:space="preserve"> ill health</w:t>
      </w:r>
      <w:r w:rsidR="00083AAD">
        <w:t>, living with a disability,</w:t>
      </w:r>
      <w:r w:rsidR="00827257" w:rsidRPr="00724659">
        <w:t xml:space="preserve"> </w:t>
      </w:r>
      <w:r w:rsidR="003B170D">
        <w:t>and/</w:t>
      </w:r>
      <w:r w:rsidR="00083AAD">
        <w:t>or</w:t>
      </w:r>
      <w:r w:rsidR="00083AAD" w:rsidRPr="00724659">
        <w:t xml:space="preserve"> </w:t>
      </w:r>
      <w:r w:rsidRPr="00724659">
        <w:t>mental ill hea</w:t>
      </w:r>
      <w:r w:rsidR="00827257" w:rsidRPr="00724659">
        <w:t>l</w:t>
      </w:r>
      <w:r w:rsidRPr="00724659">
        <w:t>th and recovery, and the experience of people who have been, or are, carers, families, or supporters of per</w:t>
      </w:r>
      <w:r w:rsidR="000509C9" w:rsidRPr="00724659">
        <w:t>s</w:t>
      </w:r>
      <w:r w:rsidRPr="00724659">
        <w:t xml:space="preserve">ons with lived </w:t>
      </w:r>
      <w:r w:rsidR="0023685B">
        <w:t xml:space="preserve">or living </w:t>
      </w:r>
      <w:r w:rsidRPr="00724659">
        <w:t xml:space="preserve">experience. </w:t>
      </w:r>
    </w:p>
    <w:tbl>
      <w:tblPr>
        <w:tblStyle w:val="TableGrid"/>
        <w:tblW w:w="5000" w:type="pct"/>
        <w:tblLook w:val="06A0" w:firstRow="1" w:lastRow="0" w:firstColumn="1" w:lastColumn="0" w:noHBand="1" w:noVBand="1"/>
      </w:tblPr>
      <w:tblGrid>
        <w:gridCol w:w="4664"/>
        <w:gridCol w:w="3204"/>
        <w:gridCol w:w="3204"/>
        <w:gridCol w:w="3204"/>
      </w:tblGrid>
      <w:tr w:rsidR="007F3542" w:rsidRPr="00724659" w14:paraId="02CC7F9A" w14:textId="77777777" w:rsidTr="00006AA1">
        <w:trPr>
          <w:tblHeader/>
        </w:trPr>
        <w:tc>
          <w:tcPr>
            <w:tcW w:w="1634" w:type="pct"/>
          </w:tcPr>
          <w:p w14:paraId="2FF8C7C9" w14:textId="77777777" w:rsidR="007F3542" w:rsidRPr="00724659" w:rsidRDefault="007F3542" w:rsidP="00987BFC">
            <w:pPr>
              <w:pStyle w:val="Tablecolhead"/>
              <w:rPr>
                <w:sz w:val="24"/>
                <w:szCs w:val="24"/>
              </w:rPr>
            </w:pPr>
            <w:r w:rsidRPr="00724659">
              <w:rPr>
                <w:sz w:val="24"/>
                <w:szCs w:val="24"/>
              </w:rPr>
              <w:t>Capability description</w:t>
            </w:r>
          </w:p>
        </w:tc>
        <w:tc>
          <w:tcPr>
            <w:tcW w:w="1122" w:type="pct"/>
          </w:tcPr>
          <w:p w14:paraId="76153279" w14:textId="77777777" w:rsidR="007F3542" w:rsidRPr="00724659" w:rsidRDefault="007F3542" w:rsidP="00006AA1">
            <w:pPr>
              <w:pStyle w:val="Tablecolhead"/>
              <w:rPr>
                <w:sz w:val="24"/>
                <w:szCs w:val="24"/>
              </w:rPr>
            </w:pPr>
            <w:r w:rsidRPr="00724659">
              <w:rPr>
                <w:sz w:val="24"/>
                <w:szCs w:val="24"/>
              </w:rPr>
              <w:t>Foundational</w:t>
            </w:r>
          </w:p>
        </w:tc>
        <w:tc>
          <w:tcPr>
            <w:tcW w:w="1122" w:type="pct"/>
          </w:tcPr>
          <w:p w14:paraId="263E3E99" w14:textId="77777777" w:rsidR="007F3542" w:rsidRPr="00724659" w:rsidRDefault="007F3542" w:rsidP="00006AA1">
            <w:pPr>
              <w:pStyle w:val="Tablecolhead"/>
              <w:rPr>
                <w:sz w:val="24"/>
                <w:szCs w:val="24"/>
              </w:rPr>
            </w:pPr>
            <w:r w:rsidRPr="00724659">
              <w:rPr>
                <w:sz w:val="24"/>
                <w:szCs w:val="24"/>
              </w:rPr>
              <w:t>Proficient</w:t>
            </w:r>
          </w:p>
        </w:tc>
        <w:tc>
          <w:tcPr>
            <w:tcW w:w="1122" w:type="pct"/>
          </w:tcPr>
          <w:p w14:paraId="3CF44A20" w14:textId="77777777" w:rsidR="007F3542" w:rsidRPr="00724659" w:rsidRDefault="007F3542" w:rsidP="00006AA1">
            <w:pPr>
              <w:pStyle w:val="Tablecolhead"/>
              <w:rPr>
                <w:sz w:val="24"/>
                <w:szCs w:val="24"/>
              </w:rPr>
            </w:pPr>
            <w:r w:rsidRPr="00724659">
              <w:rPr>
                <w:sz w:val="24"/>
                <w:szCs w:val="24"/>
              </w:rPr>
              <w:t>Advanced</w:t>
            </w:r>
          </w:p>
        </w:tc>
      </w:tr>
      <w:tr w:rsidR="007F3542" w:rsidRPr="00556670" w14:paraId="4AD46E31" w14:textId="77777777" w:rsidTr="00006AA1">
        <w:tc>
          <w:tcPr>
            <w:tcW w:w="1634" w:type="pct"/>
          </w:tcPr>
          <w:p w14:paraId="02BEE555" w14:textId="2E54F950" w:rsidR="003D1E0B" w:rsidRPr="00724659" w:rsidRDefault="003D1E0B" w:rsidP="007F3542">
            <w:pPr>
              <w:numPr>
                <w:ilvl w:val="0"/>
                <w:numId w:val="15"/>
              </w:numPr>
              <w:spacing w:before="80" w:line="240" w:lineRule="auto"/>
              <w:ind w:left="426" w:hanging="426"/>
              <w:rPr>
                <w:rFonts w:eastAsia="Times"/>
                <w:szCs w:val="21"/>
              </w:rPr>
            </w:pPr>
            <w:r w:rsidRPr="00724659">
              <w:rPr>
                <w:rFonts w:eastAsia="Times"/>
                <w:szCs w:val="21"/>
              </w:rPr>
              <w:t>Has lived experience</w:t>
            </w:r>
            <w:r w:rsidR="00AC35C3" w:rsidRPr="00724659">
              <w:rPr>
                <w:rFonts w:eastAsia="Times"/>
                <w:szCs w:val="21"/>
              </w:rPr>
              <w:t>.</w:t>
            </w:r>
            <w:r w:rsidRPr="00724659">
              <w:rPr>
                <w:rFonts w:eastAsia="Times"/>
                <w:szCs w:val="21"/>
              </w:rPr>
              <w:t xml:space="preserve"> </w:t>
            </w:r>
          </w:p>
          <w:p w14:paraId="5E24EA91" w14:textId="44948A81" w:rsidR="003D1E0B" w:rsidRPr="00724659" w:rsidRDefault="003D1E0B" w:rsidP="007F3542">
            <w:pPr>
              <w:numPr>
                <w:ilvl w:val="0"/>
                <w:numId w:val="15"/>
              </w:numPr>
              <w:spacing w:before="80" w:line="240" w:lineRule="auto"/>
              <w:ind w:left="426" w:hanging="426"/>
              <w:rPr>
                <w:rFonts w:eastAsia="Times"/>
                <w:szCs w:val="21"/>
              </w:rPr>
            </w:pPr>
            <w:r w:rsidRPr="00724659">
              <w:rPr>
                <w:rFonts w:eastAsia="Times"/>
                <w:szCs w:val="21"/>
              </w:rPr>
              <w:t>Experience</w:t>
            </w:r>
            <w:r w:rsidR="007F3542" w:rsidRPr="00724659">
              <w:rPr>
                <w:rFonts w:eastAsia="Times"/>
                <w:szCs w:val="21"/>
              </w:rPr>
              <w:t xml:space="preserve"> </w:t>
            </w:r>
            <w:r w:rsidRPr="00724659">
              <w:rPr>
                <w:rFonts w:eastAsia="Times"/>
                <w:szCs w:val="21"/>
              </w:rPr>
              <w:t xml:space="preserve">in </w:t>
            </w:r>
            <w:r w:rsidR="007F3542" w:rsidRPr="00724659">
              <w:rPr>
                <w:rFonts w:eastAsia="Times"/>
                <w:szCs w:val="21"/>
              </w:rPr>
              <w:t>facilitat</w:t>
            </w:r>
            <w:r w:rsidRPr="00724659">
              <w:rPr>
                <w:rFonts w:eastAsia="Times"/>
                <w:szCs w:val="21"/>
              </w:rPr>
              <w:t>ing</w:t>
            </w:r>
            <w:r w:rsidR="007F3542" w:rsidRPr="00724659">
              <w:rPr>
                <w:rFonts w:eastAsia="Times"/>
                <w:szCs w:val="21"/>
              </w:rPr>
              <w:t xml:space="preserve"> engagement with a diverse range of consumers</w:t>
            </w:r>
            <w:r w:rsidRPr="00724659">
              <w:rPr>
                <w:rFonts w:eastAsia="Times"/>
                <w:szCs w:val="21"/>
              </w:rPr>
              <w:t xml:space="preserve">. </w:t>
            </w:r>
          </w:p>
          <w:p w14:paraId="18F0DA87" w14:textId="63989B24" w:rsidR="003D1E0B" w:rsidRPr="00724659" w:rsidRDefault="003D1E0B" w:rsidP="007F3542">
            <w:pPr>
              <w:numPr>
                <w:ilvl w:val="0"/>
                <w:numId w:val="15"/>
              </w:numPr>
              <w:spacing w:before="80" w:line="240" w:lineRule="auto"/>
              <w:ind w:left="426" w:hanging="426"/>
              <w:rPr>
                <w:rFonts w:eastAsia="Times"/>
                <w:szCs w:val="21"/>
              </w:rPr>
            </w:pPr>
            <w:r w:rsidRPr="00724659">
              <w:rPr>
                <w:rFonts w:eastAsia="Times"/>
                <w:szCs w:val="21"/>
              </w:rPr>
              <w:t xml:space="preserve">Experience in roles that tap into the views of patients more generally to provide a broad and authentic perspective on behalf of patients, for example consumer advisory, </w:t>
            </w:r>
            <w:r w:rsidR="00107C95" w:rsidRPr="00724659">
              <w:rPr>
                <w:rFonts w:eastAsia="Times"/>
                <w:szCs w:val="21"/>
              </w:rPr>
              <w:t>advocacy,</w:t>
            </w:r>
            <w:r w:rsidRPr="00724659">
              <w:rPr>
                <w:rFonts w:eastAsia="Times"/>
                <w:szCs w:val="21"/>
              </w:rPr>
              <w:t xml:space="preserve"> or complaints management. </w:t>
            </w:r>
          </w:p>
          <w:p w14:paraId="7A47DF7A" w14:textId="708494BC" w:rsidR="007F3542" w:rsidRPr="00724659" w:rsidRDefault="003D1E0B" w:rsidP="007F3542">
            <w:pPr>
              <w:numPr>
                <w:ilvl w:val="0"/>
                <w:numId w:val="15"/>
              </w:numPr>
              <w:spacing w:before="80" w:line="240" w:lineRule="auto"/>
              <w:ind w:left="426" w:hanging="426"/>
              <w:rPr>
                <w:rFonts w:eastAsia="Times"/>
                <w:szCs w:val="21"/>
              </w:rPr>
            </w:pPr>
            <w:r w:rsidRPr="00724659">
              <w:rPr>
                <w:rFonts w:eastAsia="Times"/>
                <w:szCs w:val="21"/>
              </w:rPr>
              <w:t xml:space="preserve">Experience in </w:t>
            </w:r>
            <w:r w:rsidR="007F3542" w:rsidRPr="00724659">
              <w:rPr>
                <w:rFonts w:eastAsia="Times"/>
                <w:szCs w:val="21"/>
              </w:rPr>
              <w:t>us</w:t>
            </w:r>
            <w:r w:rsidRPr="00724659">
              <w:rPr>
                <w:rFonts w:eastAsia="Times"/>
                <w:szCs w:val="21"/>
              </w:rPr>
              <w:t>ing</w:t>
            </w:r>
            <w:r w:rsidR="007F3542" w:rsidRPr="00724659">
              <w:rPr>
                <w:rFonts w:eastAsia="Times"/>
                <w:szCs w:val="21"/>
              </w:rPr>
              <w:t xml:space="preserve"> consumer feedback to drive hospital-wide improvements in patient</w:t>
            </w:r>
            <w:r w:rsidR="00F91334">
              <w:rPr>
                <w:rFonts w:eastAsia="Times"/>
                <w:szCs w:val="21"/>
              </w:rPr>
              <w:t>-</w:t>
            </w:r>
            <w:r w:rsidR="007F3542" w:rsidRPr="00724659">
              <w:rPr>
                <w:rFonts w:eastAsia="Times"/>
                <w:szCs w:val="21"/>
              </w:rPr>
              <w:t xml:space="preserve">centred care. </w:t>
            </w:r>
          </w:p>
          <w:p w14:paraId="325555CB" w14:textId="50A1214D" w:rsidR="007F3542" w:rsidRPr="00724659" w:rsidRDefault="003D1E0B" w:rsidP="007F3542">
            <w:pPr>
              <w:numPr>
                <w:ilvl w:val="0"/>
                <w:numId w:val="15"/>
              </w:numPr>
              <w:spacing w:before="80" w:line="240" w:lineRule="auto"/>
              <w:ind w:left="426" w:hanging="426"/>
              <w:rPr>
                <w:rFonts w:eastAsia="Times"/>
                <w:szCs w:val="21"/>
              </w:rPr>
            </w:pPr>
            <w:r w:rsidRPr="00724659">
              <w:rPr>
                <w:rFonts w:eastAsia="Times"/>
                <w:szCs w:val="21"/>
              </w:rPr>
              <w:t>Experience in providing</w:t>
            </w:r>
            <w:r w:rsidR="007F3542" w:rsidRPr="00724659">
              <w:rPr>
                <w:rFonts w:eastAsia="Times"/>
                <w:szCs w:val="21"/>
              </w:rPr>
              <w:t xml:space="preserve"> insight</w:t>
            </w:r>
            <w:r w:rsidRPr="00724659">
              <w:rPr>
                <w:rFonts w:eastAsia="Times"/>
                <w:szCs w:val="21"/>
              </w:rPr>
              <w:t>s</w:t>
            </w:r>
            <w:r w:rsidR="007F3542" w:rsidRPr="00724659">
              <w:rPr>
                <w:rFonts w:eastAsia="Times"/>
                <w:szCs w:val="21"/>
              </w:rPr>
              <w:t xml:space="preserve"> into promoting shared decision making </w:t>
            </w:r>
            <w:r w:rsidRPr="00724659">
              <w:rPr>
                <w:rFonts w:eastAsia="Times"/>
                <w:szCs w:val="21"/>
              </w:rPr>
              <w:t>to support c</w:t>
            </w:r>
            <w:r w:rsidR="007F3542" w:rsidRPr="00724659">
              <w:rPr>
                <w:rFonts w:eastAsia="Times"/>
                <w:szCs w:val="21"/>
              </w:rPr>
              <w:t>o-design.</w:t>
            </w:r>
            <w:r w:rsidRPr="00724659">
              <w:rPr>
                <w:rFonts w:eastAsia="Times"/>
                <w:szCs w:val="21"/>
              </w:rPr>
              <w:t xml:space="preserve"> </w:t>
            </w:r>
          </w:p>
          <w:p w14:paraId="6CD8B751" w14:textId="77777777" w:rsidR="007F3542" w:rsidRPr="00724659" w:rsidRDefault="007F3542" w:rsidP="00987BFC">
            <w:pPr>
              <w:spacing w:before="80" w:line="240" w:lineRule="auto"/>
              <w:rPr>
                <w:rFonts w:eastAsia="Times"/>
                <w:szCs w:val="21"/>
              </w:rPr>
            </w:pPr>
          </w:p>
        </w:tc>
        <w:tc>
          <w:tcPr>
            <w:tcW w:w="1122" w:type="pct"/>
          </w:tcPr>
          <w:p w14:paraId="43B5FCB4" w14:textId="2C60054F" w:rsidR="003D1E0B" w:rsidRPr="00724659" w:rsidRDefault="003D1E0B" w:rsidP="00006AA1">
            <w:pPr>
              <w:spacing w:before="80"/>
              <w:rPr>
                <w:rFonts w:cs="Arial"/>
                <w:szCs w:val="21"/>
              </w:rPr>
            </w:pPr>
            <w:r w:rsidRPr="00724659">
              <w:rPr>
                <w:rFonts w:cs="Arial"/>
                <w:szCs w:val="21"/>
              </w:rPr>
              <w:t xml:space="preserve">Has lived experience. </w:t>
            </w:r>
          </w:p>
          <w:p w14:paraId="50FDA11A" w14:textId="40B3905C" w:rsidR="007F3542" w:rsidRPr="00724659" w:rsidRDefault="007F3542" w:rsidP="00006AA1">
            <w:pPr>
              <w:spacing w:before="80"/>
              <w:rPr>
                <w:rFonts w:cs="Arial"/>
                <w:szCs w:val="21"/>
              </w:rPr>
            </w:pPr>
            <w:r w:rsidRPr="00724659">
              <w:rPr>
                <w:rFonts w:cs="Arial"/>
                <w:szCs w:val="21"/>
              </w:rPr>
              <w:t>Some engagement capability or experience, such as training or participation in a health (or other public services) consumer group.</w:t>
            </w:r>
          </w:p>
          <w:p w14:paraId="61459CAD" w14:textId="6B89C448" w:rsidR="007F3542" w:rsidRPr="00724659" w:rsidRDefault="003D1E0B" w:rsidP="00006AA1">
            <w:pPr>
              <w:spacing w:before="80"/>
              <w:rPr>
                <w:rFonts w:cs="Arial"/>
                <w:szCs w:val="21"/>
              </w:rPr>
            </w:pPr>
            <w:r w:rsidRPr="00724659">
              <w:rPr>
                <w:rFonts w:cs="Arial"/>
                <w:szCs w:val="21"/>
              </w:rPr>
              <w:t>U</w:t>
            </w:r>
            <w:r w:rsidR="007F3542" w:rsidRPr="00724659">
              <w:rPr>
                <w:rFonts w:cs="Arial"/>
                <w:szCs w:val="21"/>
              </w:rPr>
              <w:t>nderstand</w:t>
            </w:r>
            <w:r w:rsidRPr="00724659">
              <w:rPr>
                <w:rFonts w:cs="Arial"/>
                <w:szCs w:val="21"/>
              </w:rPr>
              <w:t>s</w:t>
            </w:r>
            <w:r w:rsidR="007F3542" w:rsidRPr="00724659">
              <w:rPr>
                <w:rFonts w:cs="Arial"/>
                <w:szCs w:val="21"/>
              </w:rPr>
              <w:t xml:space="preserve"> processes that relate to consumer engagement and patient experience and safety</w:t>
            </w:r>
            <w:r w:rsidRPr="00724659">
              <w:rPr>
                <w:rFonts w:cs="Arial"/>
                <w:szCs w:val="21"/>
              </w:rPr>
              <w:t xml:space="preserve"> (</w:t>
            </w:r>
            <w:r w:rsidR="00C40BCD">
              <w:rPr>
                <w:rFonts w:cs="Arial"/>
                <w:szCs w:val="21"/>
              </w:rPr>
              <w:t>e.g.</w:t>
            </w:r>
            <w:r w:rsidR="00C40CB3">
              <w:rPr>
                <w:rFonts w:cs="Arial"/>
                <w:szCs w:val="21"/>
              </w:rPr>
              <w:t xml:space="preserve"> cultural safe</w:t>
            </w:r>
            <w:r w:rsidR="00E5122C">
              <w:rPr>
                <w:rFonts w:cs="Arial"/>
                <w:szCs w:val="21"/>
              </w:rPr>
              <w:t>ty</w:t>
            </w:r>
            <w:r w:rsidR="00F84DF2">
              <w:rPr>
                <w:rFonts w:cs="Arial"/>
                <w:szCs w:val="21"/>
              </w:rPr>
              <w:t>, competence and inclusiveness</w:t>
            </w:r>
            <w:r w:rsidR="009433A2">
              <w:rPr>
                <w:rFonts w:cs="Arial"/>
                <w:szCs w:val="21"/>
              </w:rPr>
              <w:t xml:space="preserve">, </w:t>
            </w:r>
            <w:r w:rsidRPr="00724659">
              <w:rPr>
                <w:rFonts w:cs="Arial"/>
                <w:szCs w:val="21"/>
              </w:rPr>
              <w:t>clinical safety</w:t>
            </w:r>
            <w:r w:rsidR="009433A2">
              <w:rPr>
                <w:rFonts w:cs="Arial"/>
                <w:szCs w:val="21"/>
              </w:rPr>
              <w:t xml:space="preserve">, </w:t>
            </w:r>
            <w:r w:rsidR="00834AD6">
              <w:rPr>
                <w:rFonts w:cs="Arial"/>
                <w:szCs w:val="21"/>
              </w:rPr>
              <w:t>personal safety</w:t>
            </w:r>
            <w:r w:rsidRPr="00724659">
              <w:rPr>
                <w:rFonts w:cs="Arial"/>
                <w:szCs w:val="21"/>
              </w:rPr>
              <w:t>)</w:t>
            </w:r>
            <w:r w:rsidR="007F3542" w:rsidRPr="00724659">
              <w:rPr>
                <w:rFonts w:cs="Arial"/>
                <w:szCs w:val="21"/>
              </w:rPr>
              <w:t>.</w:t>
            </w:r>
          </w:p>
          <w:p w14:paraId="61915A50" w14:textId="51BA5695" w:rsidR="007F3542" w:rsidRPr="00724659" w:rsidRDefault="007F3542" w:rsidP="00006AA1">
            <w:pPr>
              <w:spacing w:before="80"/>
              <w:rPr>
                <w:szCs w:val="21"/>
              </w:rPr>
            </w:pPr>
            <w:r w:rsidRPr="00724659">
              <w:rPr>
                <w:rFonts w:cs="Arial"/>
                <w:szCs w:val="21"/>
              </w:rPr>
              <w:t>Ability to understand and ask questions relating to patient experience</w:t>
            </w:r>
            <w:r w:rsidR="003D1E0B" w:rsidRPr="00724659">
              <w:rPr>
                <w:rFonts w:cs="Arial"/>
                <w:szCs w:val="21"/>
              </w:rPr>
              <w:t xml:space="preserve"> such as reports or surveys</w:t>
            </w:r>
            <w:r w:rsidRPr="00724659">
              <w:rPr>
                <w:rFonts w:cs="Arial"/>
                <w:szCs w:val="21"/>
              </w:rPr>
              <w:t>.</w:t>
            </w:r>
            <w:r w:rsidR="003D1E0B" w:rsidRPr="00724659">
              <w:rPr>
                <w:rFonts w:cs="Arial"/>
                <w:szCs w:val="21"/>
              </w:rPr>
              <w:t xml:space="preserve"> </w:t>
            </w:r>
          </w:p>
        </w:tc>
        <w:tc>
          <w:tcPr>
            <w:tcW w:w="1122" w:type="pct"/>
          </w:tcPr>
          <w:p w14:paraId="38CC1B11" w14:textId="6F724EAF" w:rsidR="007F3542" w:rsidRPr="00724659" w:rsidRDefault="003D1E0B" w:rsidP="00006AA1">
            <w:pPr>
              <w:spacing w:before="80"/>
              <w:rPr>
                <w:rFonts w:cs="Arial"/>
                <w:szCs w:val="21"/>
              </w:rPr>
            </w:pPr>
            <w:r w:rsidRPr="00724659">
              <w:rPr>
                <w:rFonts w:cs="Arial"/>
                <w:szCs w:val="21"/>
              </w:rPr>
              <w:t>Working</w:t>
            </w:r>
            <w:r w:rsidR="007F3542" w:rsidRPr="00724659">
              <w:rPr>
                <w:rFonts w:cs="Arial"/>
                <w:szCs w:val="21"/>
              </w:rPr>
              <w:t xml:space="preserve"> knowledge of systems and processes for consumer engagement.</w:t>
            </w:r>
            <w:r w:rsidRPr="00724659">
              <w:rPr>
                <w:rFonts w:cs="Arial"/>
                <w:szCs w:val="21"/>
              </w:rPr>
              <w:t xml:space="preserve"> </w:t>
            </w:r>
          </w:p>
          <w:p w14:paraId="2455FF02" w14:textId="094F5DE7" w:rsidR="007F3542" w:rsidRPr="00724659" w:rsidRDefault="003D1E0B" w:rsidP="00006AA1">
            <w:pPr>
              <w:spacing w:before="80"/>
              <w:rPr>
                <w:rFonts w:cs="Arial"/>
                <w:szCs w:val="21"/>
              </w:rPr>
            </w:pPr>
            <w:r w:rsidRPr="00724659">
              <w:rPr>
                <w:rFonts w:cs="Arial"/>
                <w:szCs w:val="21"/>
              </w:rPr>
              <w:t xml:space="preserve">Able to </w:t>
            </w:r>
            <w:r w:rsidR="007F3542" w:rsidRPr="00724659">
              <w:rPr>
                <w:rFonts w:cs="Arial"/>
                <w:szCs w:val="21"/>
              </w:rPr>
              <w:t>engage</w:t>
            </w:r>
            <w:r w:rsidRPr="00724659">
              <w:rPr>
                <w:rFonts w:cs="Arial"/>
                <w:szCs w:val="21"/>
              </w:rPr>
              <w:t xml:space="preserve"> with </w:t>
            </w:r>
            <w:r w:rsidR="00AC35C3" w:rsidRPr="00724659">
              <w:rPr>
                <w:rFonts w:cs="Arial"/>
                <w:szCs w:val="21"/>
              </w:rPr>
              <w:t>individuals</w:t>
            </w:r>
            <w:r w:rsidRPr="00724659">
              <w:rPr>
                <w:rFonts w:cs="Arial"/>
                <w:szCs w:val="21"/>
              </w:rPr>
              <w:t xml:space="preserve"> and groups to facilitate desired outcomes.</w:t>
            </w:r>
            <w:r w:rsidR="007F3542" w:rsidRPr="00724659">
              <w:rPr>
                <w:rFonts w:cs="Arial"/>
                <w:szCs w:val="21"/>
              </w:rPr>
              <w:t xml:space="preserve"> </w:t>
            </w:r>
          </w:p>
          <w:p w14:paraId="2672A714" w14:textId="11FEE8EE" w:rsidR="007F3542" w:rsidRPr="00724659" w:rsidRDefault="007F3542" w:rsidP="00006AA1">
            <w:pPr>
              <w:spacing w:before="80"/>
              <w:rPr>
                <w:rFonts w:cs="Arial"/>
                <w:szCs w:val="21"/>
              </w:rPr>
            </w:pPr>
            <w:r w:rsidRPr="00724659">
              <w:rPr>
                <w:rFonts w:cs="Arial"/>
                <w:szCs w:val="21"/>
              </w:rPr>
              <w:t>Experience working in roles relating to patient experience and/or consumer engagement</w:t>
            </w:r>
            <w:r w:rsidR="00AC35C3" w:rsidRPr="00724659">
              <w:rPr>
                <w:rFonts w:cs="Arial"/>
                <w:szCs w:val="21"/>
              </w:rPr>
              <w:t xml:space="preserve">. </w:t>
            </w:r>
          </w:p>
          <w:p w14:paraId="32CCD15E" w14:textId="294AD647" w:rsidR="007F3542" w:rsidRPr="00724659" w:rsidRDefault="007F3542" w:rsidP="00006AA1">
            <w:pPr>
              <w:spacing w:before="80"/>
              <w:rPr>
                <w:szCs w:val="21"/>
              </w:rPr>
            </w:pPr>
            <w:r w:rsidRPr="00724659">
              <w:rPr>
                <w:rFonts w:cs="Arial"/>
                <w:szCs w:val="21"/>
              </w:rPr>
              <w:t xml:space="preserve">Experience in </w:t>
            </w:r>
            <w:r w:rsidR="003D1E0B" w:rsidRPr="00724659">
              <w:rPr>
                <w:rFonts w:cs="Arial"/>
                <w:szCs w:val="21"/>
              </w:rPr>
              <w:t xml:space="preserve">developing </w:t>
            </w:r>
            <w:r w:rsidR="00AC35C3" w:rsidRPr="00724659">
              <w:rPr>
                <w:rFonts w:cs="Arial"/>
                <w:szCs w:val="21"/>
              </w:rPr>
              <w:t>and</w:t>
            </w:r>
            <w:r w:rsidR="003D1E0B" w:rsidRPr="00724659">
              <w:rPr>
                <w:rFonts w:cs="Arial"/>
                <w:szCs w:val="21"/>
              </w:rPr>
              <w:t xml:space="preserve"> implementing </w:t>
            </w:r>
            <w:r w:rsidRPr="00724659">
              <w:rPr>
                <w:rFonts w:cs="Arial"/>
                <w:szCs w:val="21"/>
              </w:rPr>
              <w:t>patient</w:t>
            </w:r>
            <w:r w:rsidR="00621223">
              <w:rPr>
                <w:rFonts w:cs="Arial"/>
                <w:szCs w:val="21"/>
              </w:rPr>
              <w:t>-</w:t>
            </w:r>
            <w:r w:rsidRPr="00724659">
              <w:rPr>
                <w:rFonts w:cs="Arial"/>
                <w:szCs w:val="21"/>
              </w:rPr>
              <w:t>centred policy</w:t>
            </w:r>
            <w:r w:rsidR="003D1E0B" w:rsidRPr="00724659">
              <w:rPr>
                <w:rFonts w:cs="Arial"/>
                <w:szCs w:val="21"/>
              </w:rPr>
              <w:t xml:space="preserve">, </w:t>
            </w:r>
            <w:r w:rsidRPr="00724659">
              <w:rPr>
                <w:rFonts w:cs="Arial"/>
                <w:szCs w:val="21"/>
              </w:rPr>
              <w:t>conflict resolution</w:t>
            </w:r>
            <w:r w:rsidR="003D1E0B" w:rsidRPr="00724659">
              <w:rPr>
                <w:rFonts w:cs="Arial"/>
                <w:szCs w:val="21"/>
              </w:rPr>
              <w:t xml:space="preserve"> or complaint management systems</w:t>
            </w:r>
            <w:r w:rsidRPr="00724659">
              <w:rPr>
                <w:rFonts w:cs="Arial"/>
                <w:szCs w:val="21"/>
              </w:rPr>
              <w:t>.</w:t>
            </w:r>
          </w:p>
        </w:tc>
        <w:tc>
          <w:tcPr>
            <w:tcW w:w="1122" w:type="pct"/>
          </w:tcPr>
          <w:p w14:paraId="6341C63B" w14:textId="681DD7D9" w:rsidR="007F3542" w:rsidRPr="00724659" w:rsidRDefault="007F3542" w:rsidP="00006AA1">
            <w:pPr>
              <w:spacing w:before="80"/>
              <w:rPr>
                <w:rFonts w:cs="Arial"/>
                <w:szCs w:val="21"/>
              </w:rPr>
            </w:pPr>
            <w:r w:rsidRPr="00724659">
              <w:rPr>
                <w:rFonts w:cs="Arial"/>
                <w:szCs w:val="21"/>
              </w:rPr>
              <w:t>Health advocacy experience, including leading consumer engagement in public services</w:t>
            </w:r>
            <w:r w:rsidR="004F503F" w:rsidRPr="00724659">
              <w:rPr>
                <w:rFonts w:cs="Arial"/>
                <w:szCs w:val="21"/>
              </w:rPr>
              <w:t>.</w:t>
            </w:r>
          </w:p>
          <w:p w14:paraId="6507EFF5" w14:textId="1B051DA4" w:rsidR="007F3542" w:rsidRPr="00724659" w:rsidRDefault="007F3542" w:rsidP="00006AA1">
            <w:pPr>
              <w:spacing w:before="80"/>
              <w:rPr>
                <w:rFonts w:cs="Arial"/>
                <w:szCs w:val="21"/>
              </w:rPr>
            </w:pPr>
            <w:r w:rsidRPr="00724659">
              <w:rPr>
                <w:rFonts w:cs="Arial"/>
                <w:szCs w:val="21"/>
              </w:rPr>
              <w:t xml:space="preserve">Experience leading </w:t>
            </w:r>
            <w:r w:rsidR="003D1E0B" w:rsidRPr="00724659">
              <w:rPr>
                <w:rFonts w:cs="Arial"/>
                <w:szCs w:val="21"/>
              </w:rPr>
              <w:t xml:space="preserve">and overseeing </w:t>
            </w:r>
            <w:r w:rsidRPr="00724659">
              <w:rPr>
                <w:rFonts w:cs="Arial"/>
                <w:szCs w:val="21"/>
              </w:rPr>
              <w:t xml:space="preserve">work relating to patient experience and consumer engagement. </w:t>
            </w:r>
          </w:p>
          <w:p w14:paraId="5ADF7D3D" w14:textId="0A3882A9" w:rsidR="007F3542" w:rsidRPr="00BE73B7" w:rsidRDefault="007F3542" w:rsidP="00006AA1">
            <w:pPr>
              <w:spacing w:before="80"/>
              <w:rPr>
                <w:szCs w:val="21"/>
              </w:rPr>
            </w:pPr>
            <w:r w:rsidRPr="00724659">
              <w:rPr>
                <w:rFonts w:cs="Arial"/>
                <w:szCs w:val="21"/>
              </w:rPr>
              <w:t xml:space="preserve">Experience in </w:t>
            </w:r>
            <w:r w:rsidR="003D1E0B" w:rsidRPr="00724659">
              <w:rPr>
                <w:rFonts w:cs="Arial"/>
                <w:szCs w:val="21"/>
              </w:rPr>
              <w:t xml:space="preserve">leading and overseeing work with persons with lived experience </w:t>
            </w:r>
            <w:r w:rsidRPr="00724659">
              <w:rPr>
                <w:rFonts w:cs="Arial"/>
                <w:szCs w:val="21"/>
              </w:rPr>
              <w:t>that led to systemic change.</w:t>
            </w:r>
            <w:r w:rsidR="003D1E0B">
              <w:rPr>
                <w:rFonts w:cs="Arial"/>
                <w:szCs w:val="21"/>
              </w:rPr>
              <w:t xml:space="preserve"> </w:t>
            </w:r>
          </w:p>
        </w:tc>
      </w:tr>
    </w:tbl>
    <w:p w14:paraId="7C0C0C5E" w14:textId="77777777" w:rsidR="003D1E0B" w:rsidRDefault="003D1E0B" w:rsidP="007F3542">
      <w:pPr>
        <w:pStyle w:val="Heading2"/>
      </w:pPr>
    </w:p>
    <w:p w14:paraId="34D7B747" w14:textId="77777777" w:rsidR="003D1E0B" w:rsidRDefault="003D1E0B">
      <w:pPr>
        <w:spacing w:after="0" w:line="240" w:lineRule="auto"/>
        <w:rPr>
          <w:b/>
          <w:color w:val="53565A"/>
          <w:sz w:val="32"/>
          <w:szCs w:val="28"/>
        </w:rPr>
      </w:pPr>
      <w:r>
        <w:br w:type="page"/>
      </w:r>
    </w:p>
    <w:p w14:paraId="1A0C2161" w14:textId="34F93BC7" w:rsidR="007F3542" w:rsidRDefault="007F3542" w:rsidP="007F3542">
      <w:pPr>
        <w:pStyle w:val="Heading2"/>
      </w:pPr>
      <w:bookmarkStart w:id="67" w:name="_Toc149149816"/>
      <w:r>
        <w:lastRenderedPageBreak/>
        <w:t>Registered Clinician</w:t>
      </w:r>
      <w:bookmarkEnd w:id="67"/>
    </w:p>
    <w:p w14:paraId="5E695210" w14:textId="77777777" w:rsidR="007F3542" w:rsidRDefault="007F3542" w:rsidP="007F3542">
      <w:pPr>
        <w:pStyle w:val="Body"/>
      </w:pPr>
    </w:p>
    <w:tbl>
      <w:tblPr>
        <w:tblStyle w:val="TableGrid"/>
        <w:tblW w:w="5000" w:type="pct"/>
        <w:tblLook w:val="06A0" w:firstRow="1" w:lastRow="0" w:firstColumn="1" w:lastColumn="0" w:noHBand="1" w:noVBand="1"/>
      </w:tblPr>
      <w:tblGrid>
        <w:gridCol w:w="4664"/>
        <w:gridCol w:w="3204"/>
        <w:gridCol w:w="3204"/>
        <w:gridCol w:w="3204"/>
      </w:tblGrid>
      <w:tr w:rsidR="007F3542" w14:paraId="265DB805" w14:textId="77777777" w:rsidTr="00006AA1">
        <w:trPr>
          <w:tblHeader/>
        </w:trPr>
        <w:tc>
          <w:tcPr>
            <w:tcW w:w="1634" w:type="pct"/>
          </w:tcPr>
          <w:p w14:paraId="097E2920" w14:textId="77777777" w:rsidR="007F3542" w:rsidRPr="005C252D" w:rsidRDefault="007F3542" w:rsidP="00987BFC">
            <w:pPr>
              <w:pStyle w:val="Tablecolhead"/>
              <w:rPr>
                <w:sz w:val="24"/>
                <w:szCs w:val="24"/>
              </w:rPr>
            </w:pPr>
            <w:r w:rsidRPr="005C252D">
              <w:rPr>
                <w:sz w:val="24"/>
                <w:szCs w:val="24"/>
              </w:rPr>
              <w:t>Capability description</w:t>
            </w:r>
          </w:p>
        </w:tc>
        <w:tc>
          <w:tcPr>
            <w:tcW w:w="1122" w:type="pct"/>
          </w:tcPr>
          <w:p w14:paraId="47FC6706" w14:textId="77777777" w:rsidR="007F3542" w:rsidRPr="005C252D" w:rsidRDefault="007F3542" w:rsidP="00006AA1">
            <w:pPr>
              <w:pStyle w:val="Tablecolhead"/>
              <w:rPr>
                <w:sz w:val="24"/>
                <w:szCs w:val="24"/>
              </w:rPr>
            </w:pPr>
            <w:r w:rsidRPr="005C252D">
              <w:rPr>
                <w:sz w:val="24"/>
                <w:szCs w:val="24"/>
              </w:rPr>
              <w:t>Foundational</w:t>
            </w:r>
          </w:p>
        </w:tc>
        <w:tc>
          <w:tcPr>
            <w:tcW w:w="1122" w:type="pct"/>
          </w:tcPr>
          <w:p w14:paraId="39092613" w14:textId="77777777" w:rsidR="007F3542" w:rsidRPr="005C252D" w:rsidRDefault="007F3542" w:rsidP="00006AA1">
            <w:pPr>
              <w:pStyle w:val="Tablecolhead"/>
              <w:rPr>
                <w:sz w:val="24"/>
                <w:szCs w:val="24"/>
              </w:rPr>
            </w:pPr>
            <w:r w:rsidRPr="005C252D">
              <w:rPr>
                <w:sz w:val="24"/>
                <w:szCs w:val="24"/>
              </w:rPr>
              <w:t>Proficient</w:t>
            </w:r>
          </w:p>
        </w:tc>
        <w:tc>
          <w:tcPr>
            <w:tcW w:w="1122" w:type="pct"/>
          </w:tcPr>
          <w:p w14:paraId="2F067906" w14:textId="77777777" w:rsidR="007F3542" w:rsidRPr="005C252D" w:rsidRDefault="007F3542" w:rsidP="00006AA1">
            <w:pPr>
              <w:pStyle w:val="Tablecolhead"/>
              <w:rPr>
                <w:sz w:val="24"/>
                <w:szCs w:val="24"/>
              </w:rPr>
            </w:pPr>
            <w:r w:rsidRPr="005C252D">
              <w:rPr>
                <w:sz w:val="24"/>
                <w:szCs w:val="24"/>
              </w:rPr>
              <w:t>Advanced</w:t>
            </w:r>
          </w:p>
        </w:tc>
      </w:tr>
      <w:tr w:rsidR="007F3542" w:rsidRPr="00CC4853" w14:paraId="48B038B7" w14:textId="77777777" w:rsidTr="00006AA1">
        <w:tc>
          <w:tcPr>
            <w:tcW w:w="1634" w:type="pct"/>
          </w:tcPr>
          <w:p w14:paraId="74694D50" w14:textId="77777777" w:rsidR="007F3542" w:rsidRDefault="007F3542" w:rsidP="007F3542">
            <w:pPr>
              <w:numPr>
                <w:ilvl w:val="0"/>
                <w:numId w:val="15"/>
              </w:numPr>
              <w:spacing w:before="80" w:line="240" w:lineRule="auto"/>
              <w:ind w:left="426" w:hanging="426"/>
              <w:rPr>
                <w:rFonts w:eastAsia="Times"/>
                <w:szCs w:val="21"/>
              </w:rPr>
            </w:pPr>
            <w:r w:rsidRPr="00400FC6">
              <w:rPr>
                <w:rFonts w:eastAsia="Times"/>
                <w:szCs w:val="21"/>
              </w:rPr>
              <w:t>Must</w:t>
            </w:r>
            <w:r w:rsidRPr="00607912">
              <w:rPr>
                <w:rFonts w:eastAsia="Times"/>
                <w:szCs w:val="21"/>
              </w:rPr>
              <w:t xml:space="preserve"> hold and, while a director of the board, maintain</w:t>
            </w:r>
            <w:r>
              <w:rPr>
                <w:rFonts w:eastAsia="Times"/>
                <w:szCs w:val="21"/>
              </w:rPr>
              <w:t xml:space="preserve"> </w:t>
            </w:r>
            <w:r w:rsidRPr="00607912">
              <w:rPr>
                <w:rFonts w:eastAsia="Times"/>
                <w:szCs w:val="21"/>
              </w:rPr>
              <w:t>current registration for active practice with the Australian Health Practitioner Regulation Agency (AHPRA).</w:t>
            </w:r>
          </w:p>
          <w:p w14:paraId="06C7EA6E" w14:textId="5877057A" w:rsidR="007F3542" w:rsidRPr="00607912" w:rsidRDefault="007F3542" w:rsidP="007F3542">
            <w:pPr>
              <w:numPr>
                <w:ilvl w:val="0"/>
                <w:numId w:val="15"/>
              </w:numPr>
              <w:spacing w:before="80" w:line="240" w:lineRule="auto"/>
              <w:ind w:left="426" w:hanging="426"/>
              <w:rPr>
                <w:rFonts w:eastAsia="Times"/>
                <w:szCs w:val="21"/>
              </w:rPr>
            </w:pPr>
            <w:r w:rsidRPr="00607912">
              <w:rPr>
                <w:rFonts w:eastAsia="Times"/>
                <w:szCs w:val="21"/>
              </w:rPr>
              <w:t xml:space="preserve">Active practice registration with AHPRA is defined as practitioners who do not have a non-practicing status, and who are not suspended, or otherwise have a condition, undertaking or notation that stops or restricts practice. </w:t>
            </w:r>
          </w:p>
          <w:p w14:paraId="3E7934E2" w14:textId="36833F16" w:rsidR="007F3542" w:rsidRDefault="007F3542" w:rsidP="007F3542">
            <w:pPr>
              <w:numPr>
                <w:ilvl w:val="0"/>
                <w:numId w:val="15"/>
              </w:numPr>
              <w:spacing w:before="80" w:line="240" w:lineRule="auto"/>
              <w:ind w:left="426" w:hanging="426"/>
              <w:rPr>
                <w:rFonts w:eastAsia="Times"/>
                <w:szCs w:val="21"/>
              </w:rPr>
            </w:pPr>
            <w:r>
              <w:rPr>
                <w:rFonts w:eastAsia="Times"/>
                <w:szCs w:val="21"/>
              </w:rPr>
              <w:t>Q</w:t>
            </w:r>
            <w:r w:rsidRPr="00607912">
              <w:rPr>
                <w:rFonts w:eastAsia="Times"/>
                <w:szCs w:val="21"/>
              </w:rPr>
              <w:t>ualifi</w:t>
            </w:r>
            <w:r>
              <w:rPr>
                <w:rFonts w:eastAsia="Times"/>
                <w:szCs w:val="21"/>
              </w:rPr>
              <w:t>ed</w:t>
            </w:r>
            <w:r w:rsidRPr="00607912">
              <w:rPr>
                <w:rFonts w:eastAsia="Times"/>
                <w:szCs w:val="21"/>
              </w:rPr>
              <w:t xml:space="preserve"> in a </w:t>
            </w:r>
            <w:r>
              <w:rPr>
                <w:rFonts w:eastAsia="Times"/>
                <w:szCs w:val="21"/>
              </w:rPr>
              <w:t xml:space="preserve">health </w:t>
            </w:r>
            <w:r w:rsidRPr="00607912">
              <w:rPr>
                <w:rFonts w:eastAsia="Times"/>
                <w:szCs w:val="21"/>
              </w:rPr>
              <w:t xml:space="preserve">clinical field, </w:t>
            </w:r>
            <w:r>
              <w:rPr>
                <w:rFonts w:eastAsia="Times"/>
                <w:szCs w:val="21"/>
              </w:rPr>
              <w:t xml:space="preserve">such as </w:t>
            </w:r>
            <w:r w:rsidRPr="00607912">
              <w:rPr>
                <w:rFonts w:eastAsia="Times"/>
                <w:szCs w:val="21"/>
              </w:rPr>
              <w:t>medicine, nursing, or allied health</w:t>
            </w:r>
            <w:r>
              <w:rPr>
                <w:rFonts w:eastAsia="Times"/>
                <w:szCs w:val="21"/>
              </w:rPr>
              <w:t>.</w:t>
            </w:r>
            <w:r w:rsidR="003D1E0B">
              <w:rPr>
                <w:rFonts w:eastAsia="Times"/>
                <w:szCs w:val="21"/>
              </w:rPr>
              <w:t xml:space="preserve"> </w:t>
            </w:r>
          </w:p>
          <w:p w14:paraId="4AEEA169" w14:textId="121C56EC" w:rsidR="007F3542" w:rsidRPr="00607912" w:rsidRDefault="003D1E0B" w:rsidP="007F3542">
            <w:pPr>
              <w:numPr>
                <w:ilvl w:val="0"/>
                <w:numId w:val="15"/>
              </w:numPr>
              <w:spacing w:before="80" w:line="240" w:lineRule="auto"/>
              <w:ind w:left="426" w:hanging="426"/>
              <w:rPr>
                <w:rFonts w:eastAsia="Times"/>
                <w:szCs w:val="21"/>
              </w:rPr>
            </w:pPr>
            <w:r>
              <w:rPr>
                <w:rFonts w:eastAsia="Times"/>
                <w:szCs w:val="21"/>
              </w:rPr>
              <w:t xml:space="preserve">Experience working </w:t>
            </w:r>
            <w:r w:rsidR="007F3542" w:rsidRPr="00607912">
              <w:rPr>
                <w:rFonts w:eastAsia="Times"/>
                <w:szCs w:val="21"/>
              </w:rPr>
              <w:t xml:space="preserve">in public </w:t>
            </w:r>
            <w:r>
              <w:rPr>
                <w:rFonts w:eastAsia="Times"/>
                <w:szCs w:val="21"/>
              </w:rPr>
              <w:t>hospitals</w:t>
            </w:r>
            <w:r w:rsidR="007F3542" w:rsidRPr="00607912">
              <w:rPr>
                <w:rFonts w:eastAsia="Times"/>
                <w:szCs w:val="21"/>
              </w:rPr>
              <w:t xml:space="preserve"> and/or </w:t>
            </w:r>
            <w:r w:rsidR="007F3542">
              <w:rPr>
                <w:rFonts w:eastAsia="Times"/>
                <w:szCs w:val="21"/>
              </w:rPr>
              <w:t xml:space="preserve">substantial </w:t>
            </w:r>
            <w:r>
              <w:rPr>
                <w:rFonts w:eastAsia="Times"/>
                <w:szCs w:val="21"/>
              </w:rPr>
              <w:t xml:space="preserve">knowledge and experience using </w:t>
            </w:r>
            <w:r w:rsidR="007F3542" w:rsidRPr="00607912">
              <w:rPr>
                <w:rFonts w:eastAsia="Times"/>
                <w:szCs w:val="21"/>
              </w:rPr>
              <w:t>quality and safety processes in the context</w:t>
            </w:r>
            <w:r w:rsidR="00757825">
              <w:rPr>
                <w:rFonts w:eastAsia="Times"/>
                <w:szCs w:val="21"/>
              </w:rPr>
              <w:t xml:space="preserve"> of deliver</w:t>
            </w:r>
            <w:r w:rsidR="00295E0B">
              <w:rPr>
                <w:rFonts w:eastAsia="Times"/>
                <w:szCs w:val="21"/>
              </w:rPr>
              <w:t>ing</w:t>
            </w:r>
            <w:r w:rsidR="00757825">
              <w:rPr>
                <w:rFonts w:eastAsia="Times"/>
                <w:szCs w:val="21"/>
              </w:rPr>
              <w:t xml:space="preserve"> hospital care</w:t>
            </w:r>
            <w:r w:rsidR="007F3542" w:rsidRPr="00607912">
              <w:rPr>
                <w:rFonts w:eastAsia="Times"/>
                <w:szCs w:val="21"/>
              </w:rPr>
              <w:t xml:space="preserve">. </w:t>
            </w:r>
          </w:p>
          <w:p w14:paraId="54311C1D" w14:textId="370B1D83" w:rsidR="007F3542" w:rsidRPr="00C16F77" w:rsidRDefault="003D1E0B" w:rsidP="00987BFC">
            <w:pPr>
              <w:numPr>
                <w:ilvl w:val="0"/>
                <w:numId w:val="15"/>
              </w:numPr>
              <w:spacing w:before="80" w:line="240" w:lineRule="auto"/>
              <w:ind w:left="426" w:hanging="426"/>
              <w:rPr>
                <w:rFonts w:eastAsia="Times"/>
                <w:szCs w:val="21"/>
              </w:rPr>
            </w:pPr>
            <w:r>
              <w:rPr>
                <w:rFonts w:eastAsia="Times"/>
                <w:szCs w:val="21"/>
              </w:rPr>
              <w:t>Knowledge and experience</w:t>
            </w:r>
            <w:r w:rsidR="007F3542" w:rsidRPr="00607912">
              <w:rPr>
                <w:rFonts w:eastAsia="Times"/>
                <w:szCs w:val="21"/>
              </w:rPr>
              <w:t xml:space="preserve"> of contemporary clinical practice</w:t>
            </w:r>
            <w:r>
              <w:rPr>
                <w:rFonts w:eastAsia="Times"/>
                <w:szCs w:val="21"/>
              </w:rPr>
              <w:t xml:space="preserve"> and </w:t>
            </w:r>
            <w:r w:rsidR="007F3542" w:rsidRPr="00607912">
              <w:rPr>
                <w:rFonts w:eastAsia="Times"/>
                <w:szCs w:val="21"/>
              </w:rPr>
              <w:t>the importance of and mechanisms for patient</w:t>
            </w:r>
            <w:r w:rsidR="00F91334">
              <w:rPr>
                <w:rFonts w:eastAsia="Times"/>
                <w:szCs w:val="21"/>
              </w:rPr>
              <w:t>-</w:t>
            </w:r>
            <w:r w:rsidR="007F3542" w:rsidRPr="00607912">
              <w:rPr>
                <w:rFonts w:eastAsia="Times"/>
                <w:szCs w:val="21"/>
              </w:rPr>
              <w:t>centred care.</w:t>
            </w:r>
            <w:r w:rsidR="007F3542">
              <w:rPr>
                <w:rFonts w:eastAsia="Times"/>
                <w:szCs w:val="21"/>
              </w:rPr>
              <w:t xml:space="preserve"> </w:t>
            </w:r>
          </w:p>
        </w:tc>
        <w:tc>
          <w:tcPr>
            <w:tcW w:w="1122" w:type="pct"/>
          </w:tcPr>
          <w:p w14:paraId="7B106E1B" w14:textId="3D982279" w:rsidR="007F3542" w:rsidRDefault="003D1E0B" w:rsidP="00006AA1">
            <w:pPr>
              <w:spacing w:before="80"/>
              <w:rPr>
                <w:rFonts w:cs="Arial"/>
                <w:szCs w:val="21"/>
              </w:rPr>
            </w:pPr>
            <w:r>
              <w:rPr>
                <w:rFonts w:cs="Arial"/>
                <w:szCs w:val="21"/>
              </w:rPr>
              <w:t>S</w:t>
            </w:r>
            <w:r w:rsidR="007F3542">
              <w:rPr>
                <w:rFonts w:cs="Arial"/>
                <w:szCs w:val="21"/>
              </w:rPr>
              <w:t>ome</w:t>
            </w:r>
            <w:r w:rsidR="007F3542" w:rsidRPr="00217363">
              <w:rPr>
                <w:rFonts w:cs="Arial"/>
                <w:szCs w:val="21"/>
              </w:rPr>
              <w:t xml:space="preserve"> experience in the</w:t>
            </w:r>
            <w:r w:rsidR="007F3542">
              <w:rPr>
                <w:rFonts w:cs="Arial"/>
                <w:szCs w:val="21"/>
              </w:rPr>
              <w:t>ir</w:t>
            </w:r>
            <w:r w:rsidR="007F3542" w:rsidRPr="00217363">
              <w:rPr>
                <w:rFonts w:cs="Arial"/>
                <w:szCs w:val="21"/>
              </w:rPr>
              <w:t xml:space="preserve"> field</w:t>
            </w:r>
            <w:r>
              <w:rPr>
                <w:rFonts w:cs="Arial"/>
                <w:szCs w:val="21"/>
              </w:rPr>
              <w:t xml:space="preserve"> of clinical practice</w:t>
            </w:r>
            <w:r w:rsidR="007F3542" w:rsidRPr="00217363">
              <w:rPr>
                <w:rFonts w:cs="Arial"/>
                <w:szCs w:val="21"/>
              </w:rPr>
              <w:t>.</w:t>
            </w:r>
          </w:p>
          <w:p w14:paraId="57434022" w14:textId="4077FB83" w:rsidR="003D1E0B" w:rsidRDefault="003D1E0B" w:rsidP="00006AA1">
            <w:pPr>
              <w:spacing w:before="80"/>
              <w:rPr>
                <w:rFonts w:cs="Arial"/>
                <w:szCs w:val="21"/>
              </w:rPr>
            </w:pPr>
            <w:r>
              <w:rPr>
                <w:rFonts w:cs="Arial"/>
                <w:szCs w:val="21"/>
              </w:rPr>
              <w:t xml:space="preserve">Understands </w:t>
            </w:r>
            <w:r w:rsidRPr="003D1E0B">
              <w:rPr>
                <w:rFonts w:cs="Arial"/>
                <w:szCs w:val="21"/>
              </w:rPr>
              <w:t>population health, the social determinants of health, cultural safety, and the importance of and mechanisms for patient</w:t>
            </w:r>
            <w:r w:rsidR="00F91334">
              <w:rPr>
                <w:rFonts w:cs="Arial"/>
                <w:szCs w:val="21"/>
              </w:rPr>
              <w:t>-</w:t>
            </w:r>
            <w:r w:rsidRPr="003D1E0B">
              <w:rPr>
                <w:rFonts w:cs="Arial"/>
                <w:szCs w:val="21"/>
              </w:rPr>
              <w:t>centred care</w:t>
            </w:r>
            <w:r>
              <w:rPr>
                <w:rFonts w:cs="Arial"/>
                <w:szCs w:val="21"/>
              </w:rPr>
              <w:t xml:space="preserve">. </w:t>
            </w:r>
          </w:p>
          <w:p w14:paraId="4ABE634A" w14:textId="16B1E908" w:rsidR="007F3542" w:rsidRPr="00217363" w:rsidRDefault="007F3542" w:rsidP="00006AA1">
            <w:pPr>
              <w:spacing w:before="80"/>
              <w:rPr>
                <w:rFonts w:cs="Arial"/>
                <w:szCs w:val="21"/>
              </w:rPr>
            </w:pPr>
            <w:r w:rsidRPr="00217363">
              <w:rPr>
                <w:rFonts w:cs="Arial"/>
                <w:szCs w:val="21"/>
              </w:rPr>
              <w:t xml:space="preserve">Understands the </w:t>
            </w:r>
            <w:r w:rsidR="003D1E0B">
              <w:rPr>
                <w:rFonts w:cs="Arial"/>
                <w:szCs w:val="21"/>
              </w:rPr>
              <w:t xml:space="preserve">regulatory and policy frameworks that underpin </w:t>
            </w:r>
            <w:r w:rsidRPr="00217363">
              <w:rPr>
                <w:rFonts w:cs="Arial"/>
                <w:szCs w:val="21"/>
              </w:rPr>
              <w:t xml:space="preserve">incident reporting and management process for the notification and review of </w:t>
            </w:r>
            <w:r w:rsidR="003D1E0B">
              <w:rPr>
                <w:rFonts w:cs="Arial"/>
                <w:szCs w:val="21"/>
              </w:rPr>
              <w:t xml:space="preserve">adverse events. </w:t>
            </w:r>
          </w:p>
          <w:p w14:paraId="1A9AA691" w14:textId="77777777" w:rsidR="007F3542" w:rsidRPr="00556670" w:rsidRDefault="007F3542" w:rsidP="00006AA1">
            <w:pPr>
              <w:spacing w:before="80"/>
              <w:rPr>
                <w:szCs w:val="21"/>
              </w:rPr>
            </w:pPr>
          </w:p>
        </w:tc>
        <w:tc>
          <w:tcPr>
            <w:tcW w:w="1122" w:type="pct"/>
          </w:tcPr>
          <w:p w14:paraId="45236FBB" w14:textId="403B787B" w:rsidR="003D1E0B" w:rsidRDefault="003D1E0B" w:rsidP="00006AA1">
            <w:pPr>
              <w:spacing w:before="80"/>
              <w:rPr>
                <w:rFonts w:cs="Arial"/>
                <w:szCs w:val="21"/>
              </w:rPr>
            </w:pPr>
            <w:r>
              <w:rPr>
                <w:rFonts w:cs="Arial"/>
                <w:szCs w:val="21"/>
              </w:rPr>
              <w:t>E</w:t>
            </w:r>
            <w:r w:rsidR="007F3542" w:rsidRPr="00217363">
              <w:rPr>
                <w:rFonts w:cs="Arial"/>
                <w:szCs w:val="21"/>
              </w:rPr>
              <w:t>xperience</w:t>
            </w:r>
            <w:r>
              <w:rPr>
                <w:rFonts w:cs="Arial"/>
                <w:szCs w:val="21"/>
              </w:rPr>
              <w:t>d</w:t>
            </w:r>
            <w:r w:rsidR="007F3542">
              <w:rPr>
                <w:rFonts w:cs="Arial"/>
                <w:szCs w:val="21"/>
              </w:rPr>
              <w:t xml:space="preserve"> </w:t>
            </w:r>
            <w:r w:rsidR="007F3542" w:rsidRPr="00217363">
              <w:rPr>
                <w:rFonts w:cs="Arial"/>
                <w:szCs w:val="21"/>
              </w:rPr>
              <w:t>in the</w:t>
            </w:r>
            <w:r w:rsidR="007F3542">
              <w:rPr>
                <w:rFonts w:cs="Arial"/>
                <w:szCs w:val="21"/>
              </w:rPr>
              <w:t>ir</w:t>
            </w:r>
            <w:r w:rsidR="007F3542" w:rsidRPr="00217363">
              <w:rPr>
                <w:rFonts w:cs="Arial"/>
                <w:szCs w:val="21"/>
              </w:rPr>
              <w:t xml:space="preserve"> field</w:t>
            </w:r>
            <w:r w:rsidR="007F3542">
              <w:rPr>
                <w:rFonts w:cs="Arial"/>
                <w:szCs w:val="21"/>
              </w:rPr>
              <w:t xml:space="preserve"> </w:t>
            </w:r>
            <w:r>
              <w:rPr>
                <w:rFonts w:cs="Arial"/>
                <w:szCs w:val="21"/>
              </w:rPr>
              <w:t>of clinical practice</w:t>
            </w:r>
            <w:r w:rsidR="00C95129">
              <w:rPr>
                <w:rFonts w:cs="Arial"/>
                <w:szCs w:val="21"/>
              </w:rPr>
              <w:t>.</w:t>
            </w:r>
          </w:p>
          <w:p w14:paraId="39F4B63C" w14:textId="4C267BF0" w:rsidR="007F3542" w:rsidRPr="00217363" w:rsidRDefault="003D1E0B" w:rsidP="00006AA1">
            <w:pPr>
              <w:spacing w:before="80"/>
              <w:rPr>
                <w:rFonts w:cs="Arial"/>
                <w:szCs w:val="21"/>
              </w:rPr>
            </w:pPr>
            <w:r>
              <w:rPr>
                <w:rFonts w:cs="Arial"/>
                <w:szCs w:val="21"/>
              </w:rPr>
              <w:t>U</w:t>
            </w:r>
            <w:r w:rsidR="007F3542">
              <w:rPr>
                <w:rFonts w:cs="Arial"/>
                <w:szCs w:val="21"/>
              </w:rPr>
              <w:t>nderstand</w:t>
            </w:r>
            <w:r>
              <w:rPr>
                <w:rFonts w:cs="Arial"/>
                <w:szCs w:val="21"/>
              </w:rPr>
              <w:t>s</w:t>
            </w:r>
            <w:r w:rsidR="007F3542">
              <w:rPr>
                <w:rFonts w:cs="Arial"/>
                <w:szCs w:val="21"/>
              </w:rPr>
              <w:t xml:space="preserve"> of the </w:t>
            </w:r>
            <w:r>
              <w:rPr>
                <w:rFonts w:cs="Arial"/>
                <w:szCs w:val="21"/>
              </w:rPr>
              <w:t xml:space="preserve">Victorian public </w:t>
            </w:r>
            <w:r w:rsidR="007F3542">
              <w:rPr>
                <w:rFonts w:cs="Arial"/>
                <w:szCs w:val="21"/>
              </w:rPr>
              <w:t xml:space="preserve">health system. </w:t>
            </w:r>
          </w:p>
          <w:p w14:paraId="22436522" w14:textId="304E9D58" w:rsidR="007F3542" w:rsidRDefault="007F3542" w:rsidP="00006AA1">
            <w:pPr>
              <w:spacing w:before="80"/>
              <w:rPr>
                <w:rFonts w:cs="Arial"/>
                <w:szCs w:val="21"/>
              </w:rPr>
            </w:pPr>
            <w:r w:rsidRPr="007F6E30">
              <w:rPr>
                <w:rFonts w:cs="Arial"/>
                <w:szCs w:val="21"/>
              </w:rPr>
              <w:t>Experience in patient safety or morbidity and mortality review systems</w:t>
            </w:r>
            <w:r w:rsidR="003D1E0B">
              <w:rPr>
                <w:rFonts w:cs="Arial"/>
                <w:szCs w:val="21"/>
              </w:rPr>
              <w:t xml:space="preserve"> and </w:t>
            </w:r>
            <w:r w:rsidRPr="007F6E30">
              <w:rPr>
                <w:rFonts w:cs="Arial"/>
                <w:szCs w:val="21"/>
              </w:rPr>
              <w:t>health management.</w:t>
            </w:r>
            <w:r>
              <w:rPr>
                <w:rFonts w:cs="Arial"/>
                <w:szCs w:val="21"/>
              </w:rPr>
              <w:t xml:space="preserve"> </w:t>
            </w:r>
          </w:p>
          <w:p w14:paraId="25C621D1" w14:textId="3A35EDCD" w:rsidR="003D1E0B" w:rsidRPr="00217363" w:rsidRDefault="003D1E0B" w:rsidP="00006AA1">
            <w:pPr>
              <w:spacing w:before="80"/>
              <w:rPr>
                <w:rFonts w:cs="Arial"/>
                <w:szCs w:val="21"/>
              </w:rPr>
            </w:pPr>
            <w:r>
              <w:rPr>
                <w:rFonts w:cs="Arial"/>
                <w:szCs w:val="21"/>
              </w:rPr>
              <w:t xml:space="preserve">Experience in quality and safety committees. </w:t>
            </w:r>
          </w:p>
          <w:p w14:paraId="1D98E521" w14:textId="77777777" w:rsidR="007F3542" w:rsidRPr="00556670" w:rsidRDefault="007F3542" w:rsidP="00006AA1">
            <w:pPr>
              <w:pStyle w:val="Tablebullet2"/>
              <w:numPr>
                <w:ilvl w:val="0"/>
                <w:numId w:val="0"/>
              </w:numPr>
              <w:spacing w:after="120"/>
              <w:rPr>
                <w:szCs w:val="21"/>
              </w:rPr>
            </w:pPr>
          </w:p>
        </w:tc>
        <w:tc>
          <w:tcPr>
            <w:tcW w:w="1122" w:type="pct"/>
          </w:tcPr>
          <w:p w14:paraId="0D9AF749" w14:textId="19B0B1E1" w:rsidR="007F3542" w:rsidRPr="00217363" w:rsidRDefault="003D1E0B" w:rsidP="00006AA1">
            <w:pPr>
              <w:spacing w:before="80"/>
              <w:rPr>
                <w:rFonts w:cs="Arial"/>
                <w:szCs w:val="21"/>
              </w:rPr>
            </w:pPr>
            <w:r>
              <w:rPr>
                <w:rFonts w:cs="Arial"/>
                <w:szCs w:val="21"/>
              </w:rPr>
              <w:t>Working knowledge</w:t>
            </w:r>
            <w:r w:rsidR="007F3542">
              <w:rPr>
                <w:rFonts w:cs="Arial"/>
                <w:szCs w:val="21"/>
              </w:rPr>
              <w:t xml:space="preserve"> of the </w:t>
            </w:r>
            <w:r>
              <w:rPr>
                <w:rFonts w:cs="Arial"/>
                <w:szCs w:val="21"/>
              </w:rPr>
              <w:t xml:space="preserve">Victorian public </w:t>
            </w:r>
            <w:r w:rsidR="007F3542">
              <w:rPr>
                <w:rFonts w:cs="Arial"/>
                <w:szCs w:val="21"/>
              </w:rPr>
              <w:t>health system</w:t>
            </w:r>
            <w:r w:rsidR="007F3542" w:rsidRPr="00217363">
              <w:rPr>
                <w:rFonts w:cs="Arial"/>
                <w:szCs w:val="21"/>
              </w:rPr>
              <w:t>.</w:t>
            </w:r>
            <w:r w:rsidR="007F3542">
              <w:rPr>
                <w:rFonts w:cs="Arial"/>
                <w:szCs w:val="21"/>
              </w:rPr>
              <w:t xml:space="preserve"> </w:t>
            </w:r>
          </w:p>
          <w:p w14:paraId="56FEF76B" w14:textId="06726868" w:rsidR="007F3542" w:rsidRPr="00217363" w:rsidRDefault="003D1E0B" w:rsidP="00006AA1">
            <w:pPr>
              <w:spacing w:before="80"/>
              <w:rPr>
                <w:rFonts w:cs="Arial"/>
                <w:szCs w:val="21"/>
              </w:rPr>
            </w:pPr>
            <w:r>
              <w:rPr>
                <w:rFonts w:cs="Arial"/>
                <w:szCs w:val="21"/>
              </w:rPr>
              <w:t>Experience in strategic and</w:t>
            </w:r>
            <w:r w:rsidR="007F3542" w:rsidRPr="00217363">
              <w:rPr>
                <w:rFonts w:cs="Arial"/>
                <w:szCs w:val="21"/>
              </w:rPr>
              <w:t xml:space="preserve"> risk thinking </w:t>
            </w:r>
            <w:r>
              <w:rPr>
                <w:rFonts w:cs="Arial"/>
                <w:szCs w:val="21"/>
              </w:rPr>
              <w:t>to</w:t>
            </w:r>
            <w:r w:rsidR="007F3542" w:rsidRPr="00217363">
              <w:rPr>
                <w:rFonts w:cs="Arial"/>
                <w:szCs w:val="21"/>
              </w:rPr>
              <w:t xml:space="preserve"> clinical decisions</w:t>
            </w:r>
            <w:r w:rsidR="007F3542">
              <w:rPr>
                <w:rFonts w:cs="Arial"/>
                <w:szCs w:val="21"/>
              </w:rPr>
              <w:t xml:space="preserve">. </w:t>
            </w:r>
          </w:p>
          <w:p w14:paraId="1197C279" w14:textId="058CA373" w:rsidR="007F3542" w:rsidRDefault="003D1E0B" w:rsidP="00006AA1">
            <w:pPr>
              <w:spacing w:before="80"/>
              <w:rPr>
                <w:rFonts w:cs="Arial"/>
                <w:szCs w:val="21"/>
              </w:rPr>
            </w:pPr>
            <w:r>
              <w:rPr>
                <w:rFonts w:cs="Arial"/>
                <w:szCs w:val="21"/>
              </w:rPr>
              <w:t xml:space="preserve">Experience in </w:t>
            </w:r>
            <w:r w:rsidR="007F3542">
              <w:rPr>
                <w:rFonts w:cs="Arial"/>
                <w:szCs w:val="21"/>
              </w:rPr>
              <w:t>lead</w:t>
            </w:r>
            <w:r>
              <w:rPr>
                <w:rFonts w:cs="Arial"/>
                <w:szCs w:val="21"/>
              </w:rPr>
              <w:t xml:space="preserve">ing </w:t>
            </w:r>
            <w:r w:rsidR="007F3542">
              <w:rPr>
                <w:rFonts w:cs="Arial"/>
                <w:szCs w:val="21"/>
              </w:rPr>
              <w:t>q</w:t>
            </w:r>
            <w:r w:rsidR="007F3542" w:rsidRPr="00217363">
              <w:rPr>
                <w:rFonts w:cs="Arial"/>
                <w:szCs w:val="21"/>
              </w:rPr>
              <w:t xml:space="preserve">uality and safety </w:t>
            </w:r>
            <w:r>
              <w:rPr>
                <w:rFonts w:cs="Arial"/>
                <w:szCs w:val="21"/>
              </w:rPr>
              <w:t xml:space="preserve">or chair of quality and safety </w:t>
            </w:r>
            <w:r w:rsidR="007F3542" w:rsidRPr="00217363">
              <w:rPr>
                <w:rFonts w:cs="Arial"/>
                <w:szCs w:val="21"/>
              </w:rPr>
              <w:t>committee</w:t>
            </w:r>
            <w:r>
              <w:rPr>
                <w:rFonts w:cs="Arial"/>
                <w:szCs w:val="21"/>
              </w:rPr>
              <w:t>s</w:t>
            </w:r>
            <w:r w:rsidR="007F3542" w:rsidRPr="00217363">
              <w:rPr>
                <w:rFonts w:cs="Arial"/>
                <w:szCs w:val="21"/>
              </w:rPr>
              <w:t>.</w:t>
            </w:r>
            <w:r w:rsidR="007F3542">
              <w:rPr>
                <w:rFonts w:cs="Arial"/>
                <w:szCs w:val="21"/>
              </w:rPr>
              <w:t xml:space="preserve"> </w:t>
            </w:r>
          </w:p>
          <w:p w14:paraId="23866D85" w14:textId="4C0A7E21" w:rsidR="007F3542" w:rsidRPr="00217363" w:rsidRDefault="007F3542" w:rsidP="00006AA1">
            <w:pPr>
              <w:spacing w:before="80"/>
              <w:rPr>
                <w:rFonts w:cs="Arial"/>
                <w:szCs w:val="21"/>
              </w:rPr>
            </w:pPr>
            <w:r w:rsidRPr="00217363">
              <w:rPr>
                <w:rFonts w:cs="Arial"/>
                <w:szCs w:val="21"/>
              </w:rPr>
              <w:t>Postgraduate qualification in public health, health administration or equivalent.</w:t>
            </w:r>
            <w:r>
              <w:rPr>
                <w:rFonts w:cs="Arial"/>
                <w:szCs w:val="21"/>
              </w:rPr>
              <w:t xml:space="preserve"> </w:t>
            </w:r>
          </w:p>
          <w:p w14:paraId="77245A7C" w14:textId="77777777" w:rsidR="007F3542" w:rsidRPr="00BE73B7" w:rsidRDefault="007F3542" w:rsidP="00006AA1">
            <w:pPr>
              <w:spacing w:before="80"/>
              <w:rPr>
                <w:szCs w:val="21"/>
              </w:rPr>
            </w:pPr>
          </w:p>
        </w:tc>
      </w:tr>
    </w:tbl>
    <w:p w14:paraId="2B7C8D16" w14:textId="77777777" w:rsidR="007F3542" w:rsidRDefault="007F3542" w:rsidP="007F3542">
      <w:pPr>
        <w:pStyle w:val="Body"/>
      </w:pPr>
    </w:p>
    <w:p w14:paraId="663E0E8F" w14:textId="77777777" w:rsidR="003D1E0B" w:rsidRDefault="003D1E0B">
      <w:pPr>
        <w:spacing w:after="0" w:line="240" w:lineRule="auto"/>
        <w:rPr>
          <w:b/>
          <w:color w:val="53565A"/>
          <w:sz w:val="32"/>
          <w:szCs w:val="28"/>
        </w:rPr>
      </w:pPr>
      <w:r>
        <w:br w:type="page"/>
      </w:r>
    </w:p>
    <w:p w14:paraId="643D5F34" w14:textId="0902AF76" w:rsidR="007F3542" w:rsidRDefault="007F3542" w:rsidP="007F3542">
      <w:pPr>
        <w:pStyle w:val="Heading2"/>
      </w:pPr>
      <w:bookmarkStart w:id="68" w:name="_Toc149149817"/>
      <w:r w:rsidRPr="00217363">
        <w:lastRenderedPageBreak/>
        <w:t>Strategic Leadership</w:t>
      </w:r>
      <w:bookmarkEnd w:id="68"/>
      <w:r w:rsidRPr="00217363">
        <w:t xml:space="preserve"> </w:t>
      </w:r>
    </w:p>
    <w:p w14:paraId="217A4268" w14:textId="77777777" w:rsidR="007F3542" w:rsidRDefault="007F3542" w:rsidP="007F3542">
      <w:pPr>
        <w:pStyle w:val="Body"/>
      </w:pPr>
    </w:p>
    <w:tbl>
      <w:tblPr>
        <w:tblStyle w:val="TableGrid"/>
        <w:tblW w:w="5000" w:type="pct"/>
        <w:tblLook w:val="06A0" w:firstRow="1" w:lastRow="0" w:firstColumn="1" w:lastColumn="0" w:noHBand="1" w:noVBand="1"/>
      </w:tblPr>
      <w:tblGrid>
        <w:gridCol w:w="4664"/>
        <w:gridCol w:w="3204"/>
        <w:gridCol w:w="3204"/>
        <w:gridCol w:w="3204"/>
      </w:tblGrid>
      <w:tr w:rsidR="007F3542" w14:paraId="3AEF1BD2" w14:textId="77777777" w:rsidTr="00006AA1">
        <w:trPr>
          <w:tblHeader/>
        </w:trPr>
        <w:tc>
          <w:tcPr>
            <w:tcW w:w="1634" w:type="pct"/>
          </w:tcPr>
          <w:p w14:paraId="6A525490" w14:textId="77777777" w:rsidR="007F3542" w:rsidRPr="005C252D" w:rsidRDefault="007F3542" w:rsidP="00987BFC">
            <w:pPr>
              <w:pStyle w:val="Tablecolhead"/>
              <w:rPr>
                <w:sz w:val="24"/>
                <w:szCs w:val="24"/>
              </w:rPr>
            </w:pPr>
            <w:r w:rsidRPr="005C252D">
              <w:rPr>
                <w:sz w:val="24"/>
                <w:szCs w:val="24"/>
              </w:rPr>
              <w:t>Capability description</w:t>
            </w:r>
          </w:p>
        </w:tc>
        <w:tc>
          <w:tcPr>
            <w:tcW w:w="1122" w:type="pct"/>
          </w:tcPr>
          <w:p w14:paraId="73830EC5" w14:textId="77777777" w:rsidR="007F3542" w:rsidRPr="005C252D" w:rsidRDefault="007F3542" w:rsidP="00006AA1">
            <w:pPr>
              <w:pStyle w:val="Tablecolhead"/>
              <w:rPr>
                <w:sz w:val="24"/>
                <w:szCs w:val="24"/>
              </w:rPr>
            </w:pPr>
            <w:r w:rsidRPr="005C252D">
              <w:rPr>
                <w:sz w:val="24"/>
                <w:szCs w:val="24"/>
              </w:rPr>
              <w:t>Foundational</w:t>
            </w:r>
          </w:p>
        </w:tc>
        <w:tc>
          <w:tcPr>
            <w:tcW w:w="1122" w:type="pct"/>
          </w:tcPr>
          <w:p w14:paraId="05DAA271" w14:textId="77777777" w:rsidR="007F3542" w:rsidRPr="005C252D" w:rsidRDefault="007F3542" w:rsidP="00006AA1">
            <w:pPr>
              <w:pStyle w:val="Tablecolhead"/>
              <w:rPr>
                <w:sz w:val="24"/>
                <w:szCs w:val="24"/>
              </w:rPr>
            </w:pPr>
            <w:r w:rsidRPr="005C252D">
              <w:rPr>
                <w:sz w:val="24"/>
                <w:szCs w:val="24"/>
              </w:rPr>
              <w:t>Proficient</w:t>
            </w:r>
          </w:p>
        </w:tc>
        <w:tc>
          <w:tcPr>
            <w:tcW w:w="1122" w:type="pct"/>
          </w:tcPr>
          <w:p w14:paraId="2F967ABB" w14:textId="77777777" w:rsidR="007F3542" w:rsidRPr="005C252D" w:rsidRDefault="007F3542" w:rsidP="00006AA1">
            <w:pPr>
              <w:pStyle w:val="Tablecolhead"/>
              <w:rPr>
                <w:sz w:val="24"/>
                <w:szCs w:val="24"/>
              </w:rPr>
            </w:pPr>
            <w:r w:rsidRPr="005C252D">
              <w:rPr>
                <w:sz w:val="24"/>
                <w:szCs w:val="24"/>
              </w:rPr>
              <w:t>Advanced</w:t>
            </w:r>
          </w:p>
        </w:tc>
      </w:tr>
      <w:tr w:rsidR="007F3542" w:rsidRPr="00CC4853" w14:paraId="0E9F1A08" w14:textId="77777777" w:rsidTr="00006AA1">
        <w:tc>
          <w:tcPr>
            <w:tcW w:w="1634" w:type="pct"/>
          </w:tcPr>
          <w:p w14:paraId="020B1080" w14:textId="4711EC47" w:rsidR="007F3542" w:rsidRDefault="003D1E0B" w:rsidP="007F3542">
            <w:pPr>
              <w:numPr>
                <w:ilvl w:val="0"/>
                <w:numId w:val="15"/>
              </w:numPr>
              <w:spacing w:before="80" w:line="240" w:lineRule="auto"/>
              <w:ind w:left="426" w:hanging="426"/>
              <w:rPr>
                <w:rFonts w:eastAsia="Times"/>
                <w:szCs w:val="21"/>
              </w:rPr>
            </w:pPr>
            <w:r>
              <w:rPr>
                <w:rFonts w:eastAsia="Times"/>
                <w:szCs w:val="21"/>
              </w:rPr>
              <w:t xml:space="preserve">Experience in </w:t>
            </w:r>
            <w:r w:rsidR="007F3542" w:rsidRPr="00607912">
              <w:rPr>
                <w:rFonts w:eastAsia="Times"/>
                <w:szCs w:val="21"/>
              </w:rPr>
              <w:t>identify</w:t>
            </w:r>
            <w:r>
              <w:rPr>
                <w:rFonts w:eastAsia="Times"/>
                <w:szCs w:val="21"/>
              </w:rPr>
              <w:t>ing</w:t>
            </w:r>
            <w:r w:rsidR="007F3542" w:rsidRPr="00607912">
              <w:rPr>
                <w:rFonts w:eastAsia="Times"/>
                <w:szCs w:val="21"/>
              </w:rPr>
              <w:t xml:space="preserve"> and critically assess</w:t>
            </w:r>
            <w:r>
              <w:rPr>
                <w:rFonts w:eastAsia="Times"/>
                <w:szCs w:val="21"/>
              </w:rPr>
              <w:t>ing</w:t>
            </w:r>
            <w:r w:rsidR="007F3542" w:rsidRPr="00607912">
              <w:rPr>
                <w:rFonts w:eastAsia="Times"/>
                <w:szCs w:val="21"/>
              </w:rPr>
              <w:t xml:space="preserve"> strategic opportunities and threats to </w:t>
            </w:r>
            <w:r w:rsidR="007F3542">
              <w:rPr>
                <w:rFonts w:eastAsia="Times"/>
                <w:szCs w:val="21"/>
              </w:rPr>
              <w:t xml:space="preserve">the </w:t>
            </w:r>
            <w:r w:rsidR="007F3542" w:rsidRPr="00607912">
              <w:rPr>
                <w:rFonts w:eastAsia="Times"/>
                <w:szCs w:val="21"/>
              </w:rPr>
              <w:t xml:space="preserve">organisation and </w:t>
            </w:r>
            <w:r>
              <w:rPr>
                <w:rFonts w:eastAsia="Times"/>
                <w:szCs w:val="21"/>
              </w:rPr>
              <w:t xml:space="preserve">providing </w:t>
            </w:r>
            <w:r w:rsidR="007F3542">
              <w:rPr>
                <w:rFonts w:eastAsia="Times"/>
                <w:szCs w:val="21"/>
              </w:rPr>
              <w:t xml:space="preserve">mitigation options. </w:t>
            </w:r>
          </w:p>
          <w:p w14:paraId="327CB868" w14:textId="77777777" w:rsidR="00853C5E" w:rsidRDefault="003D1E0B" w:rsidP="007F3542">
            <w:pPr>
              <w:numPr>
                <w:ilvl w:val="0"/>
                <w:numId w:val="15"/>
              </w:numPr>
              <w:spacing w:before="80" w:line="240" w:lineRule="auto"/>
              <w:ind w:left="426" w:hanging="426"/>
              <w:rPr>
                <w:rFonts w:eastAsia="Times"/>
                <w:szCs w:val="21"/>
              </w:rPr>
            </w:pPr>
            <w:r>
              <w:rPr>
                <w:rFonts w:eastAsia="Times"/>
                <w:szCs w:val="21"/>
              </w:rPr>
              <w:t xml:space="preserve">Working knowledge of the interface between the governing body and management of the organisation. </w:t>
            </w:r>
          </w:p>
          <w:p w14:paraId="72897C7E" w14:textId="396E76BA" w:rsidR="003D1E0B" w:rsidRDefault="003D1E0B" w:rsidP="00853C5E">
            <w:pPr>
              <w:numPr>
                <w:ilvl w:val="0"/>
                <w:numId w:val="15"/>
              </w:numPr>
              <w:spacing w:before="80" w:line="240" w:lineRule="auto"/>
              <w:ind w:left="426" w:hanging="426"/>
              <w:rPr>
                <w:rFonts w:eastAsia="Times"/>
                <w:szCs w:val="21"/>
              </w:rPr>
            </w:pPr>
            <w:r>
              <w:rPr>
                <w:rFonts w:eastAsia="Times"/>
                <w:szCs w:val="21"/>
              </w:rPr>
              <w:t xml:space="preserve">Experience in </w:t>
            </w:r>
            <w:r w:rsidR="007F3542" w:rsidRPr="00E45A07">
              <w:rPr>
                <w:rFonts w:eastAsia="Times"/>
                <w:szCs w:val="21"/>
              </w:rPr>
              <w:t>lead</w:t>
            </w:r>
            <w:r w:rsidR="00673CFB">
              <w:rPr>
                <w:rFonts w:eastAsia="Times"/>
                <w:szCs w:val="21"/>
              </w:rPr>
              <w:t>ing</w:t>
            </w:r>
            <w:r w:rsidR="007F3542" w:rsidRPr="00E45A07">
              <w:rPr>
                <w:rFonts w:eastAsia="Times"/>
                <w:szCs w:val="21"/>
              </w:rPr>
              <w:t xml:space="preserve"> </w:t>
            </w:r>
            <w:r w:rsidR="00096D2A">
              <w:rPr>
                <w:rFonts w:eastAsia="Times"/>
                <w:szCs w:val="21"/>
              </w:rPr>
              <w:t xml:space="preserve">and influencing </w:t>
            </w:r>
            <w:r w:rsidR="00673CFB">
              <w:rPr>
                <w:rFonts w:eastAsia="Times"/>
                <w:szCs w:val="21"/>
              </w:rPr>
              <w:t xml:space="preserve">staff and colleagues </w:t>
            </w:r>
            <w:r w:rsidR="00BB211F">
              <w:rPr>
                <w:rFonts w:eastAsia="Times"/>
                <w:szCs w:val="21"/>
              </w:rPr>
              <w:t xml:space="preserve">to share </w:t>
            </w:r>
            <w:r w:rsidR="00E537D6">
              <w:rPr>
                <w:rFonts w:eastAsia="Times"/>
                <w:szCs w:val="21"/>
              </w:rPr>
              <w:t>your</w:t>
            </w:r>
            <w:r w:rsidR="00BB211F">
              <w:rPr>
                <w:rFonts w:eastAsia="Times"/>
                <w:szCs w:val="21"/>
              </w:rPr>
              <w:t xml:space="preserve"> </w:t>
            </w:r>
            <w:r w:rsidR="006C071E">
              <w:rPr>
                <w:rFonts w:eastAsia="Times"/>
                <w:szCs w:val="21"/>
              </w:rPr>
              <w:t xml:space="preserve">vision </w:t>
            </w:r>
            <w:r w:rsidR="00E537D6">
              <w:rPr>
                <w:rFonts w:eastAsia="Times"/>
                <w:szCs w:val="21"/>
              </w:rPr>
              <w:t xml:space="preserve">(organisation’s vision) </w:t>
            </w:r>
            <w:r w:rsidR="006C071E">
              <w:rPr>
                <w:rFonts w:eastAsia="Times"/>
                <w:szCs w:val="21"/>
              </w:rPr>
              <w:t xml:space="preserve">and </w:t>
            </w:r>
            <w:r w:rsidR="00BB211F">
              <w:rPr>
                <w:rFonts w:eastAsia="Times"/>
                <w:szCs w:val="21"/>
              </w:rPr>
              <w:t xml:space="preserve">achieve </w:t>
            </w:r>
            <w:r w:rsidR="00E537D6">
              <w:rPr>
                <w:rFonts w:eastAsia="Times"/>
                <w:szCs w:val="21"/>
              </w:rPr>
              <w:t>long term goals</w:t>
            </w:r>
            <w:r w:rsidR="00853C5E">
              <w:rPr>
                <w:rFonts w:eastAsia="Times"/>
                <w:szCs w:val="21"/>
              </w:rPr>
              <w:t xml:space="preserve">. </w:t>
            </w:r>
          </w:p>
          <w:p w14:paraId="56565605" w14:textId="184D9803" w:rsidR="007F3542" w:rsidRPr="00C16F77" w:rsidRDefault="003D1E0B" w:rsidP="00C064A6">
            <w:pPr>
              <w:numPr>
                <w:ilvl w:val="0"/>
                <w:numId w:val="15"/>
              </w:numPr>
              <w:spacing w:before="80" w:line="240" w:lineRule="auto"/>
              <w:ind w:left="426" w:hanging="426"/>
              <w:rPr>
                <w:rFonts w:eastAsia="Times"/>
                <w:szCs w:val="21"/>
              </w:rPr>
            </w:pPr>
            <w:r>
              <w:rPr>
                <w:rFonts w:eastAsia="Times"/>
                <w:szCs w:val="21"/>
              </w:rPr>
              <w:t>Experience</w:t>
            </w:r>
            <w:r w:rsidR="007F3542" w:rsidRPr="00607912">
              <w:rPr>
                <w:rFonts w:eastAsia="Times"/>
                <w:szCs w:val="21"/>
              </w:rPr>
              <w:t xml:space="preserve"> </w:t>
            </w:r>
            <w:r>
              <w:rPr>
                <w:rFonts w:eastAsia="Times"/>
                <w:szCs w:val="21"/>
              </w:rPr>
              <w:t xml:space="preserve">in </w:t>
            </w:r>
            <w:r w:rsidR="005B0AFB">
              <w:rPr>
                <w:rFonts w:eastAsia="Times"/>
                <w:szCs w:val="21"/>
              </w:rPr>
              <w:t xml:space="preserve">leading </w:t>
            </w:r>
            <w:r>
              <w:rPr>
                <w:rFonts w:eastAsia="Times"/>
                <w:szCs w:val="21"/>
              </w:rPr>
              <w:t xml:space="preserve">innovation </w:t>
            </w:r>
            <w:r w:rsidR="00234E1A">
              <w:rPr>
                <w:rFonts w:eastAsia="Times"/>
                <w:szCs w:val="21"/>
              </w:rPr>
              <w:t xml:space="preserve">or </w:t>
            </w:r>
            <w:r w:rsidR="005B0AFB">
              <w:rPr>
                <w:rFonts w:eastAsia="Times"/>
                <w:szCs w:val="21"/>
              </w:rPr>
              <w:t xml:space="preserve">partnerships </w:t>
            </w:r>
            <w:r>
              <w:rPr>
                <w:rFonts w:eastAsia="Times"/>
                <w:szCs w:val="21"/>
              </w:rPr>
              <w:t>to achieve systemic change for better outcomes for consumers</w:t>
            </w:r>
            <w:r w:rsidR="007F3542" w:rsidRPr="00607912">
              <w:rPr>
                <w:rFonts w:eastAsia="Times"/>
                <w:szCs w:val="21"/>
              </w:rPr>
              <w:t>.</w:t>
            </w:r>
            <w:r>
              <w:rPr>
                <w:rFonts w:eastAsia="Times"/>
                <w:szCs w:val="21"/>
              </w:rPr>
              <w:t xml:space="preserve"> </w:t>
            </w:r>
          </w:p>
        </w:tc>
        <w:tc>
          <w:tcPr>
            <w:tcW w:w="1122" w:type="pct"/>
          </w:tcPr>
          <w:p w14:paraId="492ED3C2" w14:textId="536792D4" w:rsidR="007F3542" w:rsidRPr="00217363" w:rsidRDefault="007F3542" w:rsidP="00006AA1">
            <w:pPr>
              <w:spacing w:before="80"/>
              <w:rPr>
                <w:rFonts w:cs="Arial"/>
                <w:szCs w:val="21"/>
              </w:rPr>
            </w:pPr>
            <w:r>
              <w:rPr>
                <w:rFonts w:cs="Arial"/>
                <w:szCs w:val="21"/>
              </w:rPr>
              <w:t>U</w:t>
            </w:r>
            <w:r w:rsidRPr="00217363">
              <w:rPr>
                <w:rFonts w:cs="Arial"/>
                <w:szCs w:val="21"/>
              </w:rPr>
              <w:t>nderstand</w:t>
            </w:r>
            <w:r w:rsidR="00853C5E">
              <w:rPr>
                <w:rFonts w:cs="Arial"/>
                <w:szCs w:val="21"/>
              </w:rPr>
              <w:t>s</w:t>
            </w:r>
            <w:r w:rsidRPr="00217363">
              <w:rPr>
                <w:rFonts w:cs="Arial"/>
                <w:szCs w:val="21"/>
              </w:rPr>
              <w:t xml:space="preserve"> the board’s role in strategy.</w:t>
            </w:r>
          </w:p>
          <w:p w14:paraId="28DD6578" w14:textId="17653782" w:rsidR="007F3542" w:rsidRPr="00217363" w:rsidRDefault="007F3542" w:rsidP="00006AA1">
            <w:pPr>
              <w:spacing w:before="80"/>
              <w:rPr>
                <w:rFonts w:cs="Arial"/>
                <w:szCs w:val="21"/>
              </w:rPr>
            </w:pPr>
            <w:r>
              <w:rPr>
                <w:rFonts w:cs="Arial"/>
                <w:szCs w:val="21"/>
              </w:rPr>
              <w:t xml:space="preserve">Experience in the development </w:t>
            </w:r>
            <w:r w:rsidR="008A2347">
              <w:rPr>
                <w:rFonts w:cs="Arial"/>
                <w:szCs w:val="21"/>
              </w:rPr>
              <w:t xml:space="preserve">and delivery </w:t>
            </w:r>
            <w:r w:rsidRPr="00217363">
              <w:rPr>
                <w:rFonts w:cs="Arial"/>
                <w:szCs w:val="21"/>
              </w:rPr>
              <w:t xml:space="preserve">of </w:t>
            </w:r>
            <w:r>
              <w:rPr>
                <w:rFonts w:cs="Arial"/>
                <w:szCs w:val="21"/>
              </w:rPr>
              <w:t>an</w:t>
            </w:r>
            <w:r w:rsidRPr="00217363">
              <w:rPr>
                <w:rFonts w:cs="Arial"/>
                <w:szCs w:val="21"/>
              </w:rPr>
              <w:t xml:space="preserve"> organisation’s strategic plan.</w:t>
            </w:r>
          </w:p>
          <w:p w14:paraId="68AB37AA" w14:textId="450C2A13" w:rsidR="007F3542" w:rsidRPr="00217363" w:rsidRDefault="007F3542" w:rsidP="00006AA1">
            <w:pPr>
              <w:spacing w:before="80"/>
              <w:rPr>
                <w:rFonts w:cs="Arial"/>
                <w:szCs w:val="21"/>
              </w:rPr>
            </w:pPr>
            <w:r w:rsidRPr="00217363">
              <w:rPr>
                <w:rFonts w:cs="Arial"/>
                <w:szCs w:val="21"/>
              </w:rPr>
              <w:t>Ability to question and ensure decision-making aligns with the organisation’s strategy.</w:t>
            </w:r>
            <w:r w:rsidR="00853C5E">
              <w:rPr>
                <w:rFonts w:cs="Arial"/>
                <w:szCs w:val="21"/>
              </w:rPr>
              <w:t xml:space="preserve"> </w:t>
            </w:r>
          </w:p>
          <w:p w14:paraId="4AAF8F9F" w14:textId="00DF56D6" w:rsidR="007F3542" w:rsidRPr="00217363" w:rsidRDefault="00853C5E" w:rsidP="00006AA1">
            <w:pPr>
              <w:spacing w:before="80"/>
              <w:rPr>
                <w:rFonts w:cs="Arial"/>
                <w:szCs w:val="21"/>
              </w:rPr>
            </w:pPr>
            <w:r>
              <w:rPr>
                <w:rFonts w:cs="Arial"/>
                <w:szCs w:val="21"/>
              </w:rPr>
              <w:t>Understands</w:t>
            </w:r>
            <w:r w:rsidR="007F3542" w:rsidRPr="00217363">
              <w:rPr>
                <w:rFonts w:cs="Arial"/>
                <w:szCs w:val="21"/>
              </w:rPr>
              <w:t xml:space="preserve"> the role of government in setting strategic directions for the public health system.</w:t>
            </w:r>
            <w:r>
              <w:rPr>
                <w:rFonts w:cs="Arial"/>
                <w:szCs w:val="21"/>
              </w:rPr>
              <w:t xml:space="preserve"> </w:t>
            </w:r>
          </w:p>
          <w:p w14:paraId="58FF7798" w14:textId="73F40155" w:rsidR="007F3542" w:rsidRPr="00503D21" w:rsidRDefault="007F3542" w:rsidP="00006AA1">
            <w:pPr>
              <w:spacing w:before="80"/>
              <w:rPr>
                <w:rFonts w:cs="Arial"/>
                <w:szCs w:val="21"/>
              </w:rPr>
            </w:pPr>
            <w:r w:rsidRPr="00503D21">
              <w:rPr>
                <w:rFonts w:cs="Arial"/>
                <w:szCs w:val="21"/>
              </w:rPr>
              <w:t>Understand</w:t>
            </w:r>
            <w:r w:rsidR="00853C5E">
              <w:rPr>
                <w:rFonts w:cs="Arial"/>
                <w:szCs w:val="21"/>
              </w:rPr>
              <w:t>s</w:t>
            </w:r>
            <w:r w:rsidRPr="00503D21">
              <w:rPr>
                <w:rFonts w:cs="Arial"/>
                <w:szCs w:val="21"/>
              </w:rPr>
              <w:t xml:space="preserve"> </w:t>
            </w:r>
            <w:r w:rsidR="008D7548">
              <w:rPr>
                <w:rFonts w:cs="Arial"/>
                <w:szCs w:val="21"/>
              </w:rPr>
              <w:t>the</w:t>
            </w:r>
            <w:r w:rsidRPr="00503D21">
              <w:rPr>
                <w:rFonts w:cs="Arial"/>
                <w:szCs w:val="21"/>
              </w:rPr>
              <w:t xml:space="preserve"> dynamic</w:t>
            </w:r>
            <w:r>
              <w:rPr>
                <w:rFonts w:cs="Arial"/>
                <w:szCs w:val="21"/>
              </w:rPr>
              <w:t>s of the healthcare</w:t>
            </w:r>
            <w:r w:rsidRPr="00503D21">
              <w:rPr>
                <w:rFonts w:cs="Arial"/>
                <w:szCs w:val="21"/>
              </w:rPr>
              <w:t xml:space="preserve"> sector and emerging risks and opportunities. </w:t>
            </w:r>
          </w:p>
          <w:p w14:paraId="25957223" w14:textId="2935A58F" w:rsidR="007F3542" w:rsidRPr="00556670" w:rsidRDefault="007F3542" w:rsidP="00853C5E">
            <w:pPr>
              <w:spacing w:before="80"/>
              <w:rPr>
                <w:szCs w:val="21"/>
              </w:rPr>
            </w:pPr>
            <w:r w:rsidRPr="008D0C7A">
              <w:rPr>
                <w:rFonts w:cs="Arial"/>
                <w:szCs w:val="21"/>
              </w:rPr>
              <w:t>Understand</w:t>
            </w:r>
            <w:r w:rsidR="008D7548">
              <w:rPr>
                <w:rFonts w:cs="Arial"/>
                <w:szCs w:val="21"/>
              </w:rPr>
              <w:t>s</w:t>
            </w:r>
            <w:r w:rsidRPr="008D0C7A">
              <w:rPr>
                <w:rFonts w:cs="Arial"/>
                <w:szCs w:val="21"/>
              </w:rPr>
              <w:t xml:space="preserve"> of the </w:t>
            </w:r>
            <w:r w:rsidR="008D7548">
              <w:rPr>
                <w:rFonts w:cs="Arial"/>
                <w:szCs w:val="21"/>
              </w:rPr>
              <w:t xml:space="preserve">risks and </w:t>
            </w:r>
            <w:r w:rsidRPr="008D0C7A">
              <w:rPr>
                <w:rFonts w:cs="Arial"/>
                <w:szCs w:val="21"/>
              </w:rPr>
              <w:t>benefits</w:t>
            </w:r>
            <w:r w:rsidR="008D7548">
              <w:rPr>
                <w:rFonts w:cs="Arial"/>
                <w:szCs w:val="21"/>
              </w:rPr>
              <w:t xml:space="preserve"> of collaboration and partnerships</w:t>
            </w:r>
            <w:r>
              <w:rPr>
                <w:rFonts w:cs="Arial"/>
                <w:szCs w:val="21"/>
              </w:rPr>
              <w:t xml:space="preserve">. </w:t>
            </w:r>
          </w:p>
        </w:tc>
        <w:tc>
          <w:tcPr>
            <w:tcW w:w="1122" w:type="pct"/>
          </w:tcPr>
          <w:p w14:paraId="71486794" w14:textId="67DC9D7D" w:rsidR="007F3542" w:rsidRPr="00BE73B7" w:rsidRDefault="007F3542" w:rsidP="00006AA1">
            <w:pPr>
              <w:spacing w:before="80"/>
              <w:rPr>
                <w:rFonts w:cs="Arial"/>
                <w:szCs w:val="21"/>
              </w:rPr>
            </w:pPr>
            <w:r>
              <w:rPr>
                <w:rFonts w:cs="Arial"/>
                <w:szCs w:val="21"/>
              </w:rPr>
              <w:t xml:space="preserve">Experience in </w:t>
            </w:r>
            <w:r w:rsidR="00853C5E">
              <w:rPr>
                <w:rFonts w:cs="Arial"/>
                <w:szCs w:val="21"/>
              </w:rPr>
              <w:t>implementing</w:t>
            </w:r>
            <w:r w:rsidR="00853C5E" w:rsidRPr="00BE73B7">
              <w:rPr>
                <w:rFonts w:cs="Arial"/>
                <w:szCs w:val="21"/>
              </w:rPr>
              <w:t xml:space="preserve"> </w:t>
            </w:r>
            <w:r w:rsidRPr="00BE73B7">
              <w:rPr>
                <w:rFonts w:cs="Arial"/>
                <w:szCs w:val="21"/>
              </w:rPr>
              <w:t xml:space="preserve">the strategic direction of </w:t>
            </w:r>
            <w:r w:rsidR="0024398F">
              <w:rPr>
                <w:rFonts w:cs="Arial"/>
                <w:szCs w:val="21"/>
              </w:rPr>
              <w:t>an organisation</w:t>
            </w:r>
            <w:r w:rsidR="00853C5E">
              <w:rPr>
                <w:rFonts w:cs="Arial"/>
                <w:szCs w:val="21"/>
              </w:rPr>
              <w:t xml:space="preserve">. </w:t>
            </w:r>
          </w:p>
          <w:p w14:paraId="6B12FBE0" w14:textId="711B7BBC" w:rsidR="007F3542" w:rsidRDefault="007F3542" w:rsidP="00006AA1">
            <w:pPr>
              <w:spacing w:before="80"/>
              <w:rPr>
                <w:rFonts w:cs="Arial"/>
                <w:szCs w:val="21"/>
              </w:rPr>
            </w:pPr>
            <w:r>
              <w:rPr>
                <w:rFonts w:cs="Arial"/>
                <w:szCs w:val="21"/>
              </w:rPr>
              <w:t>E</w:t>
            </w:r>
            <w:r w:rsidRPr="00217363">
              <w:rPr>
                <w:rFonts w:cs="Arial"/>
                <w:szCs w:val="21"/>
              </w:rPr>
              <w:t xml:space="preserve">xperience in leading </w:t>
            </w:r>
            <w:r w:rsidR="00853C5E">
              <w:rPr>
                <w:rFonts w:cs="Arial"/>
                <w:szCs w:val="21"/>
              </w:rPr>
              <w:t>a</w:t>
            </w:r>
            <w:r w:rsidRPr="00217363">
              <w:rPr>
                <w:rFonts w:cs="Arial"/>
                <w:szCs w:val="21"/>
              </w:rPr>
              <w:t xml:space="preserve"> </w:t>
            </w:r>
            <w:r w:rsidR="00853C5E">
              <w:rPr>
                <w:rFonts w:cs="Arial"/>
                <w:szCs w:val="21"/>
              </w:rPr>
              <w:t>management team</w:t>
            </w:r>
            <w:r w:rsidR="008D7548">
              <w:rPr>
                <w:rFonts w:cs="Arial"/>
                <w:szCs w:val="21"/>
              </w:rPr>
              <w:t xml:space="preserve"> through innovation</w:t>
            </w:r>
            <w:r w:rsidR="00853C5E">
              <w:rPr>
                <w:rFonts w:cs="Arial"/>
                <w:szCs w:val="21"/>
              </w:rPr>
              <w:t xml:space="preserve">. </w:t>
            </w:r>
          </w:p>
          <w:p w14:paraId="5A55FC7A" w14:textId="29558AFA" w:rsidR="008D7548" w:rsidRPr="00217363" w:rsidRDefault="008D7548" w:rsidP="00006AA1">
            <w:pPr>
              <w:spacing w:before="80"/>
              <w:rPr>
                <w:rFonts w:cs="Arial"/>
                <w:szCs w:val="21"/>
              </w:rPr>
            </w:pPr>
            <w:r>
              <w:rPr>
                <w:rFonts w:cs="Arial"/>
                <w:szCs w:val="21"/>
              </w:rPr>
              <w:t xml:space="preserve">Experience in leading </w:t>
            </w:r>
            <w:r w:rsidRPr="008D0C7A">
              <w:rPr>
                <w:rFonts w:cs="Arial"/>
                <w:szCs w:val="21"/>
              </w:rPr>
              <w:t xml:space="preserve">collaboration </w:t>
            </w:r>
            <w:r>
              <w:rPr>
                <w:rFonts w:cs="Arial"/>
                <w:szCs w:val="21"/>
              </w:rPr>
              <w:t xml:space="preserve">with external </w:t>
            </w:r>
            <w:r w:rsidRPr="008D0C7A">
              <w:rPr>
                <w:rFonts w:cs="Arial"/>
                <w:szCs w:val="21"/>
              </w:rPr>
              <w:t xml:space="preserve">stakeholders within the sector to </w:t>
            </w:r>
            <w:r w:rsidR="007E0118">
              <w:rPr>
                <w:rFonts w:cs="Arial"/>
                <w:szCs w:val="21"/>
              </w:rPr>
              <w:t>achieve</w:t>
            </w:r>
            <w:r w:rsidR="007E0118" w:rsidRPr="008D0C7A">
              <w:rPr>
                <w:rFonts w:cs="Arial"/>
                <w:szCs w:val="21"/>
              </w:rPr>
              <w:t xml:space="preserve"> </w:t>
            </w:r>
            <w:r>
              <w:rPr>
                <w:rFonts w:cs="Arial"/>
                <w:szCs w:val="21"/>
              </w:rPr>
              <w:t xml:space="preserve">better </w:t>
            </w:r>
            <w:r w:rsidR="00A27CBF">
              <w:rPr>
                <w:rFonts w:cs="Arial"/>
                <w:szCs w:val="21"/>
              </w:rPr>
              <w:t xml:space="preserve">health and wellbeing </w:t>
            </w:r>
            <w:r w:rsidRPr="008D0C7A">
              <w:rPr>
                <w:rFonts w:cs="Arial"/>
                <w:szCs w:val="21"/>
              </w:rPr>
              <w:t>outcomes</w:t>
            </w:r>
            <w:r>
              <w:rPr>
                <w:rFonts w:cs="Arial"/>
                <w:szCs w:val="21"/>
              </w:rPr>
              <w:t xml:space="preserve">. </w:t>
            </w:r>
          </w:p>
          <w:p w14:paraId="3C2C14A6" w14:textId="0C141198" w:rsidR="007F3542" w:rsidRDefault="007F3542" w:rsidP="00006AA1">
            <w:pPr>
              <w:spacing w:before="80"/>
              <w:rPr>
                <w:rFonts w:cs="Arial"/>
                <w:szCs w:val="21"/>
              </w:rPr>
            </w:pPr>
            <w:r>
              <w:rPr>
                <w:rFonts w:cs="Arial"/>
                <w:szCs w:val="21"/>
              </w:rPr>
              <w:t>A</w:t>
            </w:r>
            <w:r w:rsidRPr="00217363">
              <w:rPr>
                <w:rFonts w:cs="Arial"/>
                <w:szCs w:val="21"/>
              </w:rPr>
              <w:t>b</w:t>
            </w:r>
            <w:r w:rsidR="008D7548">
              <w:rPr>
                <w:rFonts w:cs="Arial"/>
                <w:szCs w:val="21"/>
              </w:rPr>
              <w:t>le</w:t>
            </w:r>
            <w:r w:rsidRPr="00217363">
              <w:rPr>
                <w:rFonts w:cs="Arial"/>
                <w:szCs w:val="21"/>
              </w:rPr>
              <w:t xml:space="preserve"> to </w:t>
            </w:r>
            <w:r w:rsidR="003F16ED">
              <w:rPr>
                <w:rFonts w:cs="Arial"/>
                <w:szCs w:val="21"/>
              </w:rPr>
              <w:t>respond to new or emerging opportunities and risks strategically and appropriately</w:t>
            </w:r>
            <w:r w:rsidRPr="00217363">
              <w:rPr>
                <w:rFonts w:cs="Arial"/>
                <w:szCs w:val="21"/>
              </w:rPr>
              <w:t>.</w:t>
            </w:r>
            <w:r w:rsidR="008D7548">
              <w:rPr>
                <w:rFonts w:cs="Arial"/>
                <w:szCs w:val="21"/>
              </w:rPr>
              <w:t xml:space="preserve"> </w:t>
            </w:r>
          </w:p>
          <w:p w14:paraId="468C0592" w14:textId="642F9BAC" w:rsidR="007F3542" w:rsidRPr="00BE73B7" w:rsidRDefault="008D7548" w:rsidP="00006AA1">
            <w:pPr>
              <w:spacing w:before="80"/>
              <w:rPr>
                <w:rFonts w:cs="Arial"/>
                <w:szCs w:val="21"/>
              </w:rPr>
            </w:pPr>
            <w:r>
              <w:rPr>
                <w:rFonts w:cs="Arial"/>
                <w:szCs w:val="21"/>
              </w:rPr>
              <w:t>Experience as a board director or independent member of a board subcommittee.</w:t>
            </w:r>
          </w:p>
        </w:tc>
        <w:tc>
          <w:tcPr>
            <w:tcW w:w="1122" w:type="pct"/>
          </w:tcPr>
          <w:p w14:paraId="04BE8D02" w14:textId="5DF0A672" w:rsidR="007F3542" w:rsidRPr="00BE73B7" w:rsidRDefault="007F3542" w:rsidP="00006AA1">
            <w:pPr>
              <w:spacing w:before="80" w:line="240" w:lineRule="auto"/>
              <w:rPr>
                <w:rFonts w:cs="Arial"/>
                <w:szCs w:val="21"/>
              </w:rPr>
            </w:pPr>
            <w:r>
              <w:rPr>
                <w:rFonts w:cs="Arial"/>
                <w:szCs w:val="21"/>
              </w:rPr>
              <w:t>Experience in</w:t>
            </w:r>
            <w:r w:rsidR="008D7548">
              <w:rPr>
                <w:rFonts w:cs="Arial"/>
                <w:szCs w:val="21"/>
              </w:rPr>
              <w:t xml:space="preserve"> leading </w:t>
            </w:r>
            <w:r w:rsidRPr="00BE73B7">
              <w:rPr>
                <w:rFonts w:cs="Arial"/>
                <w:szCs w:val="21"/>
              </w:rPr>
              <w:t xml:space="preserve">the strategic direction of </w:t>
            </w:r>
            <w:r w:rsidR="0024398F">
              <w:rPr>
                <w:rFonts w:cs="Arial"/>
                <w:szCs w:val="21"/>
              </w:rPr>
              <w:t>an organisation</w:t>
            </w:r>
            <w:r>
              <w:rPr>
                <w:rFonts w:cs="Arial"/>
                <w:szCs w:val="21"/>
              </w:rPr>
              <w:t xml:space="preserve">. </w:t>
            </w:r>
          </w:p>
          <w:p w14:paraId="7D8F6360" w14:textId="4F81CC5E" w:rsidR="00FD7771" w:rsidRPr="00217363" w:rsidRDefault="007F3542" w:rsidP="00006AA1">
            <w:pPr>
              <w:spacing w:before="80"/>
              <w:rPr>
                <w:rFonts w:cs="Arial"/>
                <w:szCs w:val="21"/>
              </w:rPr>
            </w:pPr>
            <w:r>
              <w:rPr>
                <w:rFonts w:cs="Arial"/>
                <w:szCs w:val="21"/>
              </w:rPr>
              <w:t>E</w:t>
            </w:r>
            <w:r w:rsidRPr="00217363">
              <w:rPr>
                <w:rFonts w:cs="Arial"/>
                <w:szCs w:val="21"/>
              </w:rPr>
              <w:t xml:space="preserve">xperience in leading the development of organisational </w:t>
            </w:r>
            <w:r w:rsidR="0024398F">
              <w:rPr>
                <w:rFonts w:cs="Arial"/>
                <w:szCs w:val="21"/>
              </w:rPr>
              <w:t xml:space="preserve">change, including </w:t>
            </w:r>
            <w:r w:rsidRPr="00217363">
              <w:rPr>
                <w:rFonts w:cs="Arial"/>
                <w:szCs w:val="21"/>
              </w:rPr>
              <w:t xml:space="preserve">major structural, cultural, financial, </w:t>
            </w:r>
            <w:r>
              <w:rPr>
                <w:rFonts w:cs="Arial"/>
                <w:szCs w:val="21"/>
              </w:rPr>
              <w:t xml:space="preserve">and </w:t>
            </w:r>
            <w:r w:rsidR="0024398F">
              <w:rPr>
                <w:rFonts w:cs="Arial"/>
                <w:szCs w:val="21"/>
              </w:rPr>
              <w:t>consumer</w:t>
            </w:r>
            <w:r w:rsidR="003F16ED">
              <w:rPr>
                <w:rFonts w:cs="Arial"/>
                <w:szCs w:val="21"/>
              </w:rPr>
              <w:t>-</w:t>
            </w:r>
            <w:r w:rsidRPr="00217363">
              <w:rPr>
                <w:rFonts w:cs="Arial"/>
                <w:szCs w:val="21"/>
              </w:rPr>
              <w:t>focussed improvements</w:t>
            </w:r>
            <w:r>
              <w:rPr>
                <w:rFonts w:cs="Arial"/>
                <w:szCs w:val="21"/>
              </w:rPr>
              <w:t xml:space="preserve">. </w:t>
            </w:r>
          </w:p>
          <w:p w14:paraId="77093425" w14:textId="133395BC" w:rsidR="008D7548" w:rsidRDefault="008D7548" w:rsidP="00006AA1">
            <w:pPr>
              <w:spacing w:before="80"/>
              <w:rPr>
                <w:rFonts w:cs="Arial"/>
                <w:szCs w:val="21"/>
              </w:rPr>
            </w:pPr>
            <w:r>
              <w:rPr>
                <w:rFonts w:cs="Arial"/>
                <w:szCs w:val="21"/>
              </w:rPr>
              <w:t xml:space="preserve">Experience as a chair of a board or chair of a board subcommittee. </w:t>
            </w:r>
          </w:p>
          <w:p w14:paraId="0AA24789" w14:textId="1DDD1ABB" w:rsidR="007F3542" w:rsidRPr="00CC4853" w:rsidRDefault="007F3542" w:rsidP="00E17DD2">
            <w:pPr>
              <w:spacing w:before="80"/>
              <w:rPr>
                <w:szCs w:val="21"/>
              </w:rPr>
            </w:pPr>
            <w:r w:rsidRPr="00217363">
              <w:rPr>
                <w:rFonts w:cs="Arial"/>
                <w:szCs w:val="21"/>
              </w:rPr>
              <w:t xml:space="preserve">Postgraduate qualifications that may contribute to </w:t>
            </w:r>
            <w:r>
              <w:rPr>
                <w:rFonts w:cs="Arial"/>
                <w:szCs w:val="21"/>
              </w:rPr>
              <w:t xml:space="preserve">strategic leadership </w:t>
            </w:r>
            <w:r w:rsidR="003F16ED">
              <w:rPr>
                <w:rFonts w:cs="Arial"/>
                <w:szCs w:val="21"/>
              </w:rPr>
              <w:t xml:space="preserve">is </w:t>
            </w:r>
            <w:r>
              <w:rPr>
                <w:rFonts w:cs="Arial"/>
                <w:szCs w:val="21"/>
              </w:rPr>
              <w:t>desirable</w:t>
            </w:r>
            <w:r w:rsidR="003F16ED">
              <w:rPr>
                <w:rFonts w:cs="Arial"/>
                <w:szCs w:val="21"/>
              </w:rPr>
              <w:t>.</w:t>
            </w:r>
          </w:p>
        </w:tc>
      </w:tr>
    </w:tbl>
    <w:p w14:paraId="5CC9485C" w14:textId="77777777" w:rsidR="007F3542" w:rsidRDefault="007F3542" w:rsidP="00224CEF">
      <w:pPr>
        <w:pStyle w:val="Heading1"/>
        <w:spacing w:before="0"/>
      </w:pPr>
      <w:r>
        <w:br w:type="page"/>
      </w:r>
      <w:bookmarkStart w:id="69" w:name="_Toc149149818"/>
      <w:r>
        <w:lastRenderedPageBreak/>
        <w:t>Tier 2</w:t>
      </w:r>
      <w:r w:rsidRPr="007104F9">
        <w:t xml:space="preserve"> </w:t>
      </w:r>
      <w:r>
        <w:t xml:space="preserve">– </w:t>
      </w:r>
      <w:r w:rsidRPr="007104F9">
        <w:t xml:space="preserve">Important </w:t>
      </w:r>
      <w:r>
        <w:t>Capabilities for the Board</w:t>
      </w:r>
      <w:bookmarkEnd w:id="69"/>
    </w:p>
    <w:p w14:paraId="30E9DA8C" w14:textId="68CE6382" w:rsidR="007F3542" w:rsidRPr="00C95CDF" w:rsidRDefault="007F3542" w:rsidP="007F3542">
      <w:pPr>
        <w:pStyle w:val="Body"/>
      </w:pPr>
      <w:r w:rsidRPr="00556670">
        <w:t xml:space="preserve">Tier 2 </w:t>
      </w:r>
      <w:r>
        <w:t>capabilities</w:t>
      </w:r>
      <w:r w:rsidRPr="00556670">
        <w:t xml:space="preserve"> are desirable for a board</w:t>
      </w:r>
      <w:r w:rsidR="00F07257">
        <w:t xml:space="preserve">. These capabilities are </w:t>
      </w:r>
      <w:r w:rsidRPr="00556670">
        <w:t>prioritise</w:t>
      </w:r>
      <w:r w:rsidR="00F07257">
        <w:t>d</w:t>
      </w:r>
      <w:r w:rsidRPr="00556670">
        <w:t xml:space="preserve"> </w:t>
      </w:r>
      <w:r w:rsidR="00F07257">
        <w:t xml:space="preserve">based on risks, opportunities and </w:t>
      </w:r>
      <w:r w:rsidRPr="00556670">
        <w:t>the strategic</w:t>
      </w:r>
      <w:r w:rsidR="00F07257">
        <w:t xml:space="preserve"> direction of </w:t>
      </w:r>
      <w:r w:rsidRPr="00556670">
        <w:t xml:space="preserve">the </w:t>
      </w:r>
      <w:r w:rsidR="00F07257">
        <w:t xml:space="preserve">health service and </w:t>
      </w:r>
      <w:r w:rsidR="00E17DD2">
        <w:t xml:space="preserve">their health service </w:t>
      </w:r>
      <w:r w:rsidR="00F07257">
        <w:t>partnerships</w:t>
      </w:r>
      <w:r w:rsidRPr="00556670">
        <w:t xml:space="preserve">. </w:t>
      </w:r>
    </w:p>
    <w:p w14:paraId="167200A2" w14:textId="4C604DE0" w:rsidR="007F3542" w:rsidRDefault="007F3542" w:rsidP="007F3542">
      <w:pPr>
        <w:pStyle w:val="Heading2"/>
      </w:pPr>
      <w:bookmarkStart w:id="70" w:name="_Toc149149819"/>
      <w:r>
        <w:t xml:space="preserve">Asset </w:t>
      </w:r>
      <w:r w:rsidR="00A92C73">
        <w:t>M</w:t>
      </w:r>
      <w:r>
        <w:t>anagement</w:t>
      </w:r>
      <w:bookmarkEnd w:id="70"/>
      <w:r>
        <w:t xml:space="preserve"> </w:t>
      </w:r>
    </w:p>
    <w:tbl>
      <w:tblPr>
        <w:tblStyle w:val="TableGrid"/>
        <w:tblW w:w="5000" w:type="pct"/>
        <w:tblLook w:val="06A0" w:firstRow="1" w:lastRow="0" w:firstColumn="1" w:lastColumn="0" w:noHBand="1" w:noVBand="1"/>
      </w:tblPr>
      <w:tblGrid>
        <w:gridCol w:w="4664"/>
        <w:gridCol w:w="3204"/>
        <w:gridCol w:w="3204"/>
        <w:gridCol w:w="3204"/>
      </w:tblGrid>
      <w:tr w:rsidR="007F3542" w14:paraId="2FD55337" w14:textId="77777777" w:rsidTr="00006AA1">
        <w:trPr>
          <w:tblHeader/>
        </w:trPr>
        <w:tc>
          <w:tcPr>
            <w:tcW w:w="1634" w:type="pct"/>
          </w:tcPr>
          <w:p w14:paraId="3E937546" w14:textId="77777777" w:rsidR="007F3542" w:rsidRPr="005C252D" w:rsidRDefault="007F3542" w:rsidP="00987BFC">
            <w:pPr>
              <w:pStyle w:val="Tablecolhead"/>
              <w:rPr>
                <w:sz w:val="24"/>
                <w:szCs w:val="24"/>
              </w:rPr>
            </w:pPr>
            <w:r w:rsidRPr="005C252D">
              <w:rPr>
                <w:sz w:val="24"/>
                <w:szCs w:val="24"/>
              </w:rPr>
              <w:t>Capability description</w:t>
            </w:r>
          </w:p>
        </w:tc>
        <w:tc>
          <w:tcPr>
            <w:tcW w:w="1122" w:type="pct"/>
          </w:tcPr>
          <w:p w14:paraId="3A06D4AC" w14:textId="77777777" w:rsidR="007F3542" w:rsidRPr="005C252D" w:rsidRDefault="007F3542" w:rsidP="00006AA1">
            <w:pPr>
              <w:pStyle w:val="Tablecolhead"/>
              <w:rPr>
                <w:sz w:val="24"/>
                <w:szCs w:val="24"/>
              </w:rPr>
            </w:pPr>
            <w:r w:rsidRPr="005C252D">
              <w:rPr>
                <w:sz w:val="24"/>
                <w:szCs w:val="24"/>
              </w:rPr>
              <w:t>Foundational</w:t>
            </w:r>
          </w:p>
        </w:tc>
        <w:tc>
          <w:tcPr>
            <w:tcW w:w="1122" w:type="pct"/>
          </w:tcPr>
          <w:p w14:paraId="3319A6F2" w14:textId="77777777" w:rsidR="007F3542" w:rsidRPr="005C252D" w:rsidRDefault="007F3542" w:rsidP="00006AA1">
            <w:pPr>
              <w:pStyle w:val="Tablecolhead"/>
              <w:rPr>
                <w:sz w:val="24"/>
                <w:szCs w:val="24"/>
              </w:rPr>
            </w:pPr>
            <w:r w:rsidRPr="005C252D">
              <w:rPr>
                <w:sz w:val="24"/>
                <w:szCs w:val="24"/>
              </w:rPr>
              <w:t>Proficient</w:t>
            </w:r>
          </w:p>
        </w:tc>
        <w:tc>
          <w:tcPr>
            <w:tcW w:w="1122" w:type="pct"/>
          </w:tcPr>
          <w:p w14:paraId="7A26714B" w14:textId="77777777" w:rsidR="007F3542" w:rsidRPr="005C252D" w:rsidRDefault="007F3542" w:rsidP="00006AA1">
            <w:pPr>
              <w:pStyle w:val="Tablecolhead"/>
              <w:rPr>
                <w:sz w:val="24"/>
                <w:szCs w:val="24"/>
              </w:rPr>
            </w:pPr>
            <w:r w:rsidRPr="005C252D">
              <w:rPr>
                <w:sz w:val="24"/>
                <w:szCs w:val="24"/>
              </w:rPr>
              <w:t>Advanced</w:t>
            </w:r>
          </w:p>
        </w:tc>
      </w:tr>
      <w:tr w:rsidR="007F3542" w:rsidRPr="00CC4853" w14:paraId="32294D4B" w14:textId="77777777" w:rsidTr="00006AA1">
        <w:tc>
          <w:tcPr>
            <w:tcW w:w="1634" w:type="pct"/>
          </w:tcPr>
          <w:p w14:paraId="25E64052" w14:textId="46574B67" w:rsidR="007F3542" w:rsidRPr="00607912" w:rsidRDefault="007F3542" w:rsidP="007F3542">
            <w:pPr>
              <w:numPr>
                <w:ilvl w:val="0"/>
                <w:numId w:val="15"/>
              </w:numPr>
              <w:spacing w:before="80" w:line="240" w:lineRule="auto"/>
              <w:ind w:left="426" w:hanging="426"/>
              <w:rPr>
                <w:rFonts w:eastAsia="Times"/>
                <w:szCs w:val="21"/>
              </w:rPr>
            </w:pPr>
            <w:r>
              <w:rPr>
                <w:rFonts w:eastAsia="Times"/>
                <w:szCs w:val="21"/>
              </w:rPr>
              <w:t>E</w:t>
            </w:r>
            <w:r w:rsidRPr="00607912">
              <w:rPr>
                <w:rFonts w:eastAsia="Times"/>
                <w:szCs w:val="21"/>
              </w:rPr>
              <w:t xml:space="preserve">xperience </w:t>
            </w:r>
            <w:r>
              <w:rPr>
                <w:rFonts w:eastAsia="Times"/>
                <w:szCs w:val="21"/>
              </w:rPr>
              <w:t>in</w:t>
            </w:r>
            <w:r w:rsidRPr="00607912">
              <w:rPr>
                <w:rFonts w:eastAsia="Times"/>
                <w:szCs w:val="21"/>
              </w:rPr>
              <w:t xml:space="preserve"> overseeing the planning, </w:t>
            </w:r>
            <w:r w:rsidR="003F16ED" w:rsidRPr="00607912">
              <w:rPr>
                <w:rFonts w:eastAsia="Times"/>
                <w:szCs w:val="21"/>
              </w:rPr>
              <w:t>management,</w:t>
            </w:r>
            <w:r w:rsidRPr="00607912">
              <w:rPr>
                <w:rFonts w:eastAsia="Times"/>
                <w:szCs w:val="21"/>
              </w:rPr>
              <w:t xml:space="preserve"> and renewal of major assets, including buildings and other infrastructure. </w:t>
            </w:r>
          </w:p>
          <w:p w14:paraId="0D3E4D61" w14:textId="297022B1" w:rsidR="007F3542" w:rsidRDefault="00E17DD2" w:rsidP="007F3542">
            <w:pPr>
              <w:numPr>
                <w:ilvl w:val="0"/>
                <w:numId w:val="15"/>
              </w:numPr>
              <w:spacing w:before="80" w:line="240" w:lineRule="auto"/>
              <w:ind w:left="426" w:hanging="426"/>
              <w:rPr>
                <w:rFonts w:eastAsia="Times"/>
                <w:szCs w:val="21"/>
              </w:rPr>
            </w:pPr>
            <w:r>
              <w:rPr>
                <w:rFonts w:eastAsia="Times"/>
                <w:szCs w:val="21"/>
              </w:rPr>
              <w:t>E</w:t>
            </w:r>
            <w:r w:rsidR="007F3542" w:rsidRPr="00607912">
              <w:rPr>
                <w:rFonts w:eastAsia="Times"/>
                <w:szCs w:val="21"/>
              </w:rPr>
              <w:t xml:space="preserve">xperience in using best practice systems to monitor and maintain </w:t>
            </w:r>
            <w:r>
              <w:rPr>
                <w:rFonts w:eastAsia="Times"/>
                <w:szCs w:val="21"/>
              </w:rPr>
              <w:t>assets</w:t>
            </w:r>
            <w:r w:rsidRPr="00607912">
              <w:rPr>
                <w:rFonts w:eastAsia="Times"/>
                <w:szCs w:val="21"/>
              </w:rPr>
              <w:t xml:space="preserve"> </w:t>
            </w:r>
            <w:r w:rsidR="007F3542" w:rsidRPr="00607912">
              <w:rPr>
                <w:rFonts w:eastAsia="Times"/>
                <w:szCs w:val="21"/>
              </w:rPr>
              <w:t xml:space="preserve">of value to an </w:t>
            </w:r>
            <w:r>
              <w:rPr>
                <w:rFonts w:eastAsia="Times"/>
                <w:szCs w:val="21"/>
              </w:rPr>
              <w:t>organisation</w:t>
            </w:r>
            <w:r w:rsidRPr="00607912">
              <w:rPr>
                <w:rFonts w:eastAsia="Times"/>
                <w:szCs w:val="21"/>
              </w:rPr>
              <w:t xml:space="preserve"> </w:t>
            </w:r>
            <w:r w:rsidR="007F3542" w:rsidRPr="00607912">
              <w:rPr>
                <w:rFonts w:eastAsia="Times"/>
                <w:szCs w:val="21"/>
              </w:rPr>
              <w:t>or group. This include</w:t>
            </w:r>
            <w:r>
              <w:rPr>
                <w:rFonts w:eastAsia="Times"/>
                <w:szCs w:val="21"/>
              </w:rPr>
              <w:t>s</w:t>
            </w:r>
            <w:r w:rsidR="007F3542" w:rsidRPr="00607912">
              <w:rPr>
                <w:rFonts w:eastAsia="Times"/>
                <w:szCs w:val="21"/>
              </w:rPr>
              <w:t xml:space="preserve"> tangible (for example, buildings, equipment</w:t>
            </w:r>
            <w:r w:rsidR="002C7ACF">
              <w:rPr>
                <w:rFonts w:eastAsia="Times"/>
                <w:szCs w:val="21"/>
              </w:rPr>
              <w:t>,</w:t>
            </w:r>
            <w:r w:rsidR="007F3542" w:rsidRPr="00607912">
              <w:rPr>
                <w:rFonts w:eastAsia="Times"/>
                <w:szCs w:val="21"/>
              </w:rPr>
              <w:t xml:space="preserve"> and vehicles) and intangible (for example, intellectual property) assets. </w:t>
            </w:r>
          </w:p>
          <w:p w14:paraId="2A2B2F92" w14:textId="4DEFB6D8" w:rsidR="007F3542" w:rsidRDefault="007F3542" w:rsidP="007F3542">
            <w:pPr>
              <w:numPr>
                <w:ilvl w:val="0"/>
                <w:numId w:val="15"/>
              </w:numPr>
              <w:spacing w:before="80" w:line="240" w:lineRule="auto"/>
              <w:ind w:left="426" w:hanging="426"/>
              <w:rPr>
                <w:rFonts w:eastAsia="Times"/>
                <w:szCs w:val="21"/>
              </w:rPr>
            </w:pPr>
            <w:r w:rsidRPr="00607912">
              <w:rPr>
                <w:rFonts w:eastAsia="Times"/>
                <w:szCs w:val="21"/>
              </w:rPr>
              <w:t>Experience in conducting fabric surveys or structural due diligence</w:t>
            </w:r>
            <w:r>
              <w:rPr>
                <w:rFonts w:eastAsia="Times"/>
                <w:szCs w:val="21"/>
              </w:rPr>
              <w:t xml:space="preserve"> </w:t>
            </w:r>
            <w:r w:rsidRPr="00607912">
              <w:rPr>
                <w:rFonts w:eastAsia="Times"/>
                <w:szCs w:val="21"/>
              </w:rPr>
              <w:t>assessments, maintenance strategies and/or asset depreciation management.</w:t>
            </w:r>
          </w:p>
          <w:p w14:paraId="55CCC9C2" w14:textId="4B1BC6A1" w:rsidR="007F3542" w:rsidRDefault="007F3542" w:rsidP="007F3542">
            <w:pPr>
              <w:numPr>
                <w:ilvl w:val="0"/>
                <w:numId w:val="15"/>
              </w:numPr>
              <w:spacing w:before="80" w:line="240" w:lineRule="auto"/>
              <w:ind w:left="426" w:hanging="426"/>
              <w:rPr>
                <w:rFonts w:eastAsia="Times"/>
                <w:szCs w:val="21"/>
              </w:rPr>
            </w:pPr>
            <w:r w:rsidRPr="00607912">
              <w:rPr>
                <w:rFonts w:eastAsia="Times"/>
                <w:szCs w:val="21"/>
              </w:rPr>
              <w:t>Qualifications in engineering, planning, land management, construction or</w:t>
            </w:r>
            <w:r w:rsidR="00521093" w:rsidRPr="00521093">
              <w:rPr>
                <w:rFonts w:eastAsia="Times"/>
                <w:szCs w:val="21"/>
              </w:rPr>
              <w:t xml:space="preserve"> related fields</w:t>
            </w:r>
            <w:r w:rsidR="00521093">
              <w:rPr>
                <w:rFonts w:eastAsia="Times"/>
                <w:szCs w:val="21"/>
              </w:rPr>
              <w:t xml:space="preserve"> </w:t>
            </w:r>
            <w:r w:rsidRPr="00607912">
              <w:rPr>
                <w:rFonts w:eastAsia="Times"/>
                <w:szCs w:val="21"/>
              </w:rPr>
              <w:t xml:space="preserve">would be </w:t>
            </w:r>
            <w:r>
              <w:rPr>
                <w:rFonts w:eastAsia="Times"/>
                <w:szCs w:val="21"/>
              </w:rPr>
              <w:t>desirable</w:t>
            </w:r>
            <w:r w:rsidRPr="00607912">
              <w:rPr>
                <w:rFonts w:eastAsia="Times"/>
                <w:szCs w:val="21"/>
              </w:rPr>
              <w:t xml:space="preserve">. </w:t>
            </w:r>
          </w:p>
          <w:p w14:paraId="49D1ACCA" w14:textId="09849EF6" w:rsidR="001938EF" w:rsidRPr="00607912" w:rsidRDefault="004157D4" w:rsidP="007F3542">
            <w:pPr>
              <w:numPr>
                <w:ilvl w:val="0"/>
                <w:numId w:val="15"/>
              </w:numPr>
              <w:spacing w:before="80" w:line="240" w:lineRule="auto"/>
              <w:ind w:left="426" w:hanging="426"/>
              <w:rPr>
                <w:rFonts w:eastAsia="Times"/>
                <w:szCs w:val="21"/>
              </w:rPr>
            </w:pPr>
            <w:r>
              <w:rPr>
                <w:rFonts w:eastAsia="Times"/>
                <w:szCs w:val="21"/>
              </w:rPr>
              <w:t xml:space="preserve">Understanding of the </w:t>
            </w:r>
            <w:r w:rsidR="002925CD">
              <w:rPr>
                <w:rFonts w:eastAsia="Times"/>
                <w:szCs w:val="21"/>
              </w:rPr>
              <w:t xml:space="preserve">Victorian Government’s </w:t>
            </w:r>
            <w:r w:rsidRPr="00C064A6">
              <w:rPr>
                <w:rFonts w:eastAsia="Times"/>
                <w:i/>
                <w:iCs/>
                <w:szCs w:val="21"/>
              </w:rPr>
              <w:t xml:space="preserve">Asset Management Accountability </w:t>
            </w:r>
            <w:r w:rsidR="002925CD" w:rsidRPr="00C064A6">
              <w:rPr>
                <w:rFonts w:eastAsia="Times"/>
                <w:i/>
                <w:iCs/>
                <w:szCs w:val="21"/>
              </w:rPr>
              <w:t>Framework</w:t>
            </w:r>
          </w:p>
          <w:p w14:paraId="2C64E986" w14:textId="77777777" w:rsidR="007F3542" w:rsidRPr="00C16F77" w:rsidRDefault="007F3542" w:rsidP="00006AA1">
            <w:pPr>
              <w:spacing w:before="80"/>
              <w:rPr>
                <w:rFonts w:eastAsia="Times"/>
                <w:szCs w:val="21"/>
              </w:rPr>
            </w:pPr>
          </w:p>
        </w:tc>
        <w:tc>
          <w:tcPr>
            <w:tcW w:w="1122" w:type="pct"/>
          </w:tcPr>
          <w:p w14:paraId="365F8F8C" w14:textId="7BA2BDFE" w:rsidR="007F3542" w:rsidRPr="007104F9" w:rsidRDefault="007F3542" w:rsidP="00006AA1">
            <w:pPr>
              <w:spacing w:before="80"/>
              <w:rPr>
                <w:rFonts w:cs="Arial"/>
                <w:szCs w:val="21"/>
              </w:rPr>
            </w:pPr>
            <w:r w:rsidRPr="007104F9">
              <w:rPr>
                <w:rFonts w:cs="Arial"/>
                <w:szCs w:val="21"/>
              </w:rPr>
              <w:t>Understands and can present information about asset management, including capital projects and asset investment frameworks</w:t>
            </w:r>
            <w:r w:rsidR="00E17DD2">
              <w:rPr>
                <w:rFonts w:cs="Arial"/>
                <w:szCs w:val="21"/>
              </w:rPr>
              <w:t xml:space="preserve">. </w:t>
            </w:r>
          </w:p>
          <w:p w14:paraId="6B6FA518" w14:textId="016BD9FA" w:rsidR="007F3542" w:rsidRPr="007104F9" w:rsidRDefault="00A70A64" w:rsidP="00006AA1">
            <w:pPr>
              <w:spacing w:before="80"/>
              <w:rPr>
                <w:rFonts w:cs="Arial"/>
                <w:szCs w:val="21"/>
              </w:rPr>
            </w:pPr>
            <w:r>
              <w:rPr>
                <w:rFonts w:cs="Arial"/>
                <w:szCs w:val="21"/>
              </w:rPr>
              <w:t xml:space="preserve">Able to </w:t>
            </w:r>
            <w:r w:rsidR="007F3542" w:rsidRPr="007104F9">
              <w:rPr>
                <w:rFonts w:cs="Arial"/>
                <w:szCs w:val="21"/>
              </w:rPr>
              <w:t xml:space="preserve">ask </w:t>
            </w:r>
            <w:r>
              <w:rPr>
                <w:rFonts w:cs="Arial"/>
                <w:szCs w:val="21"/>
              </w:rPr>
              <w:t xml:space="preserve">appropriate </w:t>
            </w:r>
            <w:r w:rsidR="007F3542" w:rsidRPr="007104F9">
              <w:rPr>
                <w:rFonts w:cs="Arial"/>
                <w:szCs w:val="21"/>
              </w:rPr>
              <w:t>questions</w:t>
            </w:r>
            <w:r>
              <w:rPr>
                <w:rFonts w:cs="Arial"/>
                <w:szCs w:val="21"/>
              </w:rPr>
              <w:t xml:space="preserve">, </w:t>
            </w:r>
            <w:r w:rsidR="007F3542" w:rsidRPr="007104F9">
              <w:rPr>
                <w:rFonts w:cs="Arial"/>
                <w:szCs w:val="21"/>
              </w:rPr>
              <w:t xml:space="preserve">identify risks and </w:t>
            </w:r>
            <w:r>
              <w:rPr>
                <w:rFonts w:cs="Arial"/>
                <w:szCs w:val="21"/>
              </w:rPr>
              <w:t xml:space="preserve">interpret </w:t>
            </w:r>
            <w:r w:rsidR="007F3542" w:rsidRPr="007104F9">
              <w:rPr>
                <w:rFonts w:cs="Arial"/>
                <w:szCs w:val="21"/>
              </w:rPr>
              <w:t>assets</w:t>
            </w:r>
            <w:r>
              <w:rPr>
                <w:rFonts w:cs="Arial"/>
                <w:szCs w:val="21"/>
              </w:rPr>
              <w:t xml:space="preserve"> management</w:t>
            </w:r>
            <w:r w:rsidR="007F3542">
              <w:rPr>
                <w:rFonts w:cs="Arial"/>
                <w:szCs w:val="21"/>
              </w:rPr>
              <w:t xml:space="preserve"> reporting</w:t>
            </w:r>
            <w:r w:rsidR="007F3542" w:rsidRPr="007104F9">
              <w:rPr>
                <w:rFonts w:cs="Arial"/>
                <w:szCs w:val="21"/>
              </w:rPr>
              <w:t>.</w:t>
            </w:r>
            <w:r>
              <w:rPr>
                <w:rFonts w:cs="Arial"/>
                <w:szCs w:val="21"/>
              </w:rPr>
              <w:t xml:space="preserve"> </w:t>
            </w:r>
          </w:p>
          <w:p w14:paraId="4489AACC" w14:textId="77777777" w:rsidR="007F3542" w:rsidRPr="007104F9" w:rsidRDefault="007F3542" w:rsidP="00006AA1">
            <w:pPr>
              <w:spacing w:before="80"/>
              <w:rPr>
                <w:rFonts w:cs="Arial"/>
                <w:szCs w:val="21"/>
              </w:rPr>
            </w:pPr>
            <w:r>
              <w:rPr>
                <w:rFonts w:cs="Arial"/>
                <w:szCs w:val="21"/>
              </w:rPr>
              <w:t>E</w:t>
            </w:r>
            <w:r w:rsidRPr="007104F9">
              <w:rPr>
                <w:rFonts w:cs="Arial"/>
                <w:szCs w:val="21"/>
              </w:rPr>
              <w:t>xperience in managing assets throughout their lifecycle.</w:t>
            </w:r>
          </w:p>
          <w:p w14:paraId="5C02AC37" w14:textId="039FE33C" w:rsidR="007F3542" w:rsidRPr="007104F9" w:rsidRDefault="007F3542" w:rsidP="00006AA1">
            <w:pPr>
              <w:spacing w:before="80"/>
              <w:rPr>
                <w:rFonts w:cs="Arial"/>
                <w:szCs w:val="21"/>
              </w:rPr>
            </w:pPr>
            <w:r>
              <w:rPr>
                <w:rFonts w:cs="Arial"/>
                <w:szCs w:val="21"/>
              </w:rPr>
              <w:t>Understand</w:t>
            </w:r>
            <w:r w:rsidR="00E17DD2">
              <w:rPr>
                <w:rFonts w:cs="Arial"/>
                <w:szCs w:val="21"/>
              </w:rPr>
              <w:t>s</w:t>
            </w:r>
            <w:r>
              <w:rPr>
                <w:rFonts w:cs="Arial"/>
                <w:szCs w:val="21"/>
              </w:rPr>
              <w:t xml:space="preserve"> </w:t>
            </w:r>
            <w:r w:rsidRPr="007104F9">
              <w:rPr>
                <w:rFonts w:cs="Arial"/>
                <w:szCs w:val="21"/>
              </w:rPr>
              <w:t>organisation management systems (</w:t>
            </w:r>
            <w:r w:rsidR="002C7ACF">
              <w:rPr>
                <w:rFonts w:cs="Arial"/>
                <w:szCs w:val="21"/>
              </w:rPr>
              <w:t>such as</w:t>
            </w:r>
            <w:r w:rsidRPr="007104F9">
              <w:rPr>
                <w:rFonts w:cs="Arial"/>
                <w:szCs w:val="21"/>
              </w:rPr>
              <w:t xml:space="preserve"> quality management system, </w:t>
            </w:r>
            <w:r w:rsidR="003F36E9" w:rsidRPr="007104F9">
              <w:rPr>
                <w:rFonts w:cs="Arial"/>
                <w:szCs w:val="21"/>
              </w:rPr>
              <w:t>health,</w:t>
            </w:r>
            <w:r w:rsidRPr="007104F9">
              <w:rPr>
                <w:rFonts w:cs="Arial"/>
                <w:szCs w:val="21"/>
              </w:rPr>
              <w:t xml:space="preserve"> and safety management system)</w:t>
            </w:r>
            <w:r>
              <w:rPr>
                <w:rFonts w:cs="Arial"/>
                <w:szCs w:val="21"/>
              </w:rPr>
              <w:t>.</w:t>
            </w:r>
          </w:p>
          <w:p w14:paraId="6D95AE6B" w14:textId="77777777" w:rsidR="007F3542" w:rsidRPr="00556670" w:rsidRDefault="007F3542" w:rsidP="00006AA1">
            <w:pPr>
              <w:spacing w:before="80"/>
              <w:rPr>
                <w:szCs w:val="21"/>
              </w:rPr>
            </w:pPr>
          </w:p>
        </w:tc>
        <w:tc>
          <w:tcPr>
            <w:tcW w:w="1122" w:type="pct"/>
          </w:tcPr>
          <w:p w14:paraId="2251230D" w14:textId="199B4A04" w:rsidR="007F3542" w:rsidRPr="007104F9" w:rsidRDefault="00E17DD2" w:rsidP="00006AA1">
            <w:pPr>
              <w:spacing w:before="80"/>
              <w:rPr>
                <w:rFonts w:cs="Arial"/>
                <w:szCs w:val="21"/>
              </w:rPr>
            </w:pPr>
            <w:r>
              <w:rPr>
                <w:rFonts w:cs="Arial"/>
                <w:szCs w:val="21"/>
              </w:rPr>
              <w:t>E</w:t>
            </w:r>
            <w:r w:rsidR="007F3542">
              <w:rPr>
                <w:rFonts w:cs="Arial"/>
                <w:szCs w:val="21"/>
              </w:rPr>
              <w:t>xperience</w:t>
            </w:r>
            <w:r>
              <w:rPr>
                <w:rFonts w:cs="Arial"/>
                <w:szCs w:val="21"/>
              </w:rPr>
              <w:t>d</w:t>
            </w:r>
            <w:r w:rsidR="007F3542" w:rsidRPr="007104F9">
              <w:rPr>
                <w:rFonts w:cs="Arial"/>
                <w:szCs w:val="21"/>
              </w:rPr>
              <w:t xml:space="preserve"> in physical asset management or </w:t>
            </w:r>
            <w:r>
              <w:rPr>
                <w:rFonts w:cs="Arial"/>
                <w:szCs w:val="21"/>
              </w:rPr>
              <w:t xml:space="preserve">in an </w:t>
            </w:r>
            <w:r w:rsidR="007F3542" w:rsidRPr="007104F9">
              <w:rPr>
                <w:rFonts w:cs="Arial"/>
                <w:szCs w:val="21"/>
              </w:rPr>
              <w:t>asset base industry (</w:t>
            </w:r>
            <w:r w:rsidR="002C7ACF">
              <w:rPr>
                <w:rFonts w:cs="Arial"/>
                <w:szCs w:val="21"/>
              </w:rPr>
              <w:t>such as</w:t>
            </w:r>
            <w:r w:rsidR="007F3542" w:rsidRPr="007104F9">
              <w:rPr>
                <w:rFonts w:cs="Arial"/>
                <w:szCs w:val="21"/>
              </w:rPr>
              <w:t xml:space="preserve"> works in the field, oil and gas, mining, utility, defence, </w:t>
            </w:r>
            <w:r w:rsidR="00F16FE4">
              <w:rPr>
                <w:rFonts w:cs="Arial"/>
                <w:szCs w:val="21"/>
              </w:rPr>
              <w:t xml:space="preserve">and </w:t>
            </w:r>
            <w:r w:rsidR="007F3542" w:rsidRPr="007104F9">
              <w:rPr>
                <w:rFonts w:cs="Arial"/>
                <w:szCs w:val="21"/>
              </w:rPr>
              <w:t>transport).</w:t>
            </w:r>
          </w:p>
          <w:p w14:paraId="1681468F" w14:textId="532B5ECC" w:rsidR="007F3542" w:rsidRPr="007104F9" w:rsidRDefault="00E17DD2" w:rsidP="00006AA1">
            <w:pPr>
              <w:spacing w:before="80"/>
              <w:rPr>
                <w:rFonts w:cs="Arial"/>
                <w:szCs w:val="21"/>
              </w:rPr>
            </w:pPr>
            <w:r>
              <w:rPr>
                <w:rFonts w:cs="Arial"/>
                <w:szCs w:val="21"/>
              </w:rPr>
              <w:t>Working</w:t>
            </w:r>
            <w:r w:rsidR="007F3542" w:rsidRPr="007104F9">
              <w:rPr>
                <w:rFonts w:cs="Arial"/>
                <w:szCs w:val="21"/>
              </w:rPr>
              <w:t xml:space="preserve"> knowledge of the planning and </w:t>
            </w:r>
            <w:r>
              <w:rPr>
                <w:rFonts w:cs="Arial"/>
                <w:szCs w:val="21"/>
              </w:rPr>
              <w:t xml:space="preserve">delivery requirements for </w:t>
            </w:r>
            <w:r w:rsidR="007F3542" w:rsidRPr="007104F9">
              <w:rPr>
                <w:rFonts w:cs="Arial"/>
                <w:szCs w:val="21"/>
              </w:rPr>
              <w:t>infrastructure projects.</w:t>
            </w:r>
          </w:p>
          <w:p w14:paraId="7D7462CF" w14:textId="7E540917" w:rsidR="00A70A64" w:rsidRDefault="007F3542" w:rsidP="00A70A64">
            <w:pPr>
              <w:spacing w:before="80"/>
              <w:rPr>
                <w:rFonts w:cs="Arial"/>
                <w:szCs w:val="21"/>
              </w:rPr>
            </w:pPr>
            <w:r w:rsidRPr="007104F9">
              <w:rPr>
                <w:rFonts w:cs="Arial"/>
                <w:szCs w:val="21"/>
              </w:rPr>
              <w:t xml:space="preserve">Brings critical analysis and </w:t>
            </w:r>
            <w:r w:rsidR="00A70A64">
              <w:rPr>
                <w:rFonts w:cs="Arial"/>
                <w:szCs w:val="21"/>
              </w:rPr>
              <w:t>strategic</w:t>
            </w:r>
            <w:r w:rsidRPr="007104F9">
              <w:rPr>
                <w:rFonts w:cs="Arial"/>
                <w:szCs w:val="21"/>
              </w:rPr>
              <w:t xml:space="preserve"> approach to asset management, including projects.</w:t>
            </w:r>
            <w:r w:rsidR="00E17DD2">
              <w:rPr>
                <w:rFonts w:cs="Arial"/>
                <w:szCs w:val="21"/>
              </w:rPr>
              <w:t xml:space="preserve"> </w:t>
            </w:r>
          </w:p>
          <w:p w14:paraId="400A661B" w14:textId="308D7ADE" w:rsidR="007F3542" w:rsidRPr="00556670" w:rsidRDefault="00A70A64" w:rsidP="00A70A64">
            <w:pPr>
              <w:spacing w:before="80"/>
              <w:rPr>
                <w:szCs w:val="21"/>
              </w:rPr>
            </w:pPr>
            <w:r>
              <w:rPr>
                <w:rFonts w:cs="Arial"/>
                <w:szCs w:val="21"/>
              </w:rPr>
              <w:t xml:space="preserve">Working knowledge of asset investment and accountability frameworks in the Victorian public health system. </w:t>
            </w:r>
          </w:p>
        </w:tc>
        <w:tc>
          <w:tcPr>
            <w:tcW w:w="1122" w:type="pct"/>
          </w:tcPr>
          <w:p w14:paraId="04E70C51" w14:textId="27DD38FC" w:rsidR="007F3542" w:rsidRPr="007104F9" w:rsidRDefault="007F3542" w:rsidP="00006AA1">
            <w:pPr>
              <w:spacing w:before="80"/>
              <w:rPr>
                <w:rFonts w:cs="Arial"/>
                <w:szCs w:val="21"/>
              </w:rPr>
            </w:pPr>
            <w:r>
              <w:rPr>
                <w:rFonts w:cs="Arial"/>
                <w:szCs w:val="21"/>
              </w:rPr>
              <w:t xml:space="preserve">Experience in </w:t>
            </w:r>
            <w:r w:rsidRPr="007104F9">
              <w:rPr>
                <w:rFonts w:cs="Arial"/>
                <w:szCs w:val="21"/>
              </w:rPr>
              <w:t>overs</w:t>
            </w:r>
            <w:r>
              <w:rPr>
                <w:rFonts w:cs="Arial"/>
                <w:szCs w:val="21"/>
              </w:rPr>
              <w:t>eeing</w:t>
            </w:r>
            <w:r w:rsidRPr="007104F9">
              <w:rPr>
                <w:rFonts w:cs="Arial"/>
                <w:szCs w:val="21"/>
              </w:rPr>
              <w:t xml:space="preserve"> large</w:t>
            </w:r>
            <w:r w:rsidR="0051437C">
              <w:rPr>
                <w:rFonts w:cs="Arial"/>
                <w:szCs w:val="21"/>
              </w:rPr>
              <w:t>-</w:t>
            </w:r>
            <w:r w:rsidRPr="007104F9">
              <w:rPr>
                <w:rFonts w:cs="Arial"/>
                <w:szCs w:val="21"/>
              </w:rPr>
              <w:t>scale planning and infrastructure projects</w:t>
            </w:r>
            <w:r w:rsidR="00A70A64">
              <w:rPr>
                <w:rFonts w:cs="Arial"/>
                <w:szCs w:val="21"/>
              </w:rPr>
              <w:t xml:space="preserve"> within </w:t>
            </w:r>
            <w:r w:rsidRPr="007104F9">
              <w:rPr>
                <w:rFonts w:cs="Arial"/>
                <w:szCs w:val="21"/>
              </w:rPr>
              <w:t>asset investment frameworks.</w:t>
            </w:r>
          </w:p>
          <w:p w14:paraId="06C18AFF" w14:textId="62C51773" w:rsidR="007F3542" w:rsidRDefault="00A70A64" w:rsidP="00A70A64">
            <w:pPr>
              <w:spacing w:before="80"/>
              <w:rPr>
                <w:rFonts w:cs="Arial"/>
                <w:szCs w:val="21"/>
              </w:rPr>
            </w:pPr>
            <w:r>
              <w:rPr>
                <w:rFonts w:cs="Arial"/>
                <w:szCs w:val="21"/>
              </w:rPr>
              <w:t xml:space="preserve">Experience in strategic </w:t>
            </w:r>
            <w:r w:rsidR="007F3542" w:rsidRPr="007104F9">
              <w:rPr>
                <w:rFonts w:cs="Arial"/>
                <w:szCs w:val="21"/>
              </w:rPr>
              <w:t>asset management</w:t>
            </w:r>
            <w:r w:rsidR="00E86E27">
              <w:rPr>
                <w:rFonts w:cs="Arial"/>
                <w:szCs w:val="21"/>
              </w:rPr>
              <w:t>—</w:t>
            </w:r>
            <w:r w:rsidR="007F3542" w:rsidRPr="007104F9">
              <w:rPr>
                <w:rFonts w:cs="Arial"/>
                <w:szCs w:val="21"/>
              </w:rPr>
              <w:t xml:space="preserve">including current </w:t>
            </w:r>
            <w:r>
              <w:rPr>
                <w:rFonts w:cs="Arial"/>
                <w:szCs w:val="21"/>
              </w:rPr>
              <w:t>and</w:t>
            </w:r>
            <w:r w:rsidR="007F3542" w:rsidRPr="007104F9">
              <w:rPr>
                <w:rFonts w:cs="Arial"/>
                <w:szCs w:val="21"/>
              </w:rPr>
              <w:t xml:space="preserve"> future </w:t>
            </w:r>
            <w:r w:rsidR="007F3542">
              <w:rPr>
                <w:rFonts w:cs="Arial"/>
                <w:szCs w:val="21"/>
              </w:rPr>
              <w:t xml:space="preserve">business </w:t>
            </w:r>
            <w:r w:rsidR="007F3542" w:rsidRPr="007104F9">
              <w:rPr>
                <w:rFonts w:cs="Arial"/>
                <w:szCs w:val="21"/>
              </w:rPr>
              <w:t>needs</w:t>
            </w:r>
            <w:r w:rsidR="00E86E27">
              <w:rPr>
                <w:rFonts w:cs="Arial"/>
                <w:szCs w:val="21"/>
              </w:rPr>
              <w:t>—</w:t>
            </w:r>
            <w:r w:rsidR="00AE547A">
              <w:rPr>
                <w:rFonts w:cs="Arial"/>
                <w:szCs w:val="21"/>
              </w:rPr>
              <w:t>ensu</w:t>
            </w:r>
            <w:r w:rsidR="00161EB6">
              <w:rPr>
                <w:rFonts w:cs="Arial"/>
                <w:szCs w:val="21"/>
              </w:rPr>
              <w:t>r</w:t>
            </w:r>
            <w:r w:rsidR="00AE547A">
              <w:rPr>
                <w:rFonts w:cs="Arial"/>
                <w:szCs w:val="21"/>
              </w:rPr>
              <w:t xml:space="preserve">ing assets are </w:t>
            </w:r>
            <w:r>
              <w:rPr>
                <w:rFonts w:cs="Arial"/>
                <w:szCs w:val="21"/>
              </w:rPr>
              <w:t>fit for purpose</w:t>
            </w:r>
            <w:r w:rsidR="007F3542" w:rsidRPr="007104F9">
              <w:rPr>
                <w:rFonts w:cs="Arial"/>
                <w:szCs w:val="21"/>
              </w:rPr>
              <w:t xml:space="preserve"> and how assets may be used to meet </w:t>
            </w:r>
            <w:r w:rsidR="007F3542">
              <w:rPr>
                <w:rFonts w:cs="Arial"/>
                <w:szCs w:val="21"/>
              </w:rPr>
              <w:t>business</w:t>
            </w:r>
            <w:r w:rsidR="007F3542" w:rsidRPr="007104F9">
              <w:rPr>
                <w:rFonts w:cs="Arial"/>
                <w:szCs w:val="21"/>
              </w:rPr>
              <w:t xml:space="preserve"> needs. </w:t>
            </w:r>
          </w:p>
          <w:p w14:paraId="334FE8B2" w14:textId="604220D1" w:rsidR="007F3542" w:rsidRPr="007104F9" w:rsidRDefault="007F3542" w:rsidP="00006AA1">
            <w:pPr>
              <w:spacing w:before="80"/>
              <w:rPr>
                <w:rFonts w:cs="Arial"/>
                <w:szCs w:val="21"/>
              </w:rPr>
            </w:pPr>
            <w:r w:rsidRPr="007104F9">
              <w:rPr>
                <w:rFonts w:cs="Arial"/>
                <w:szCs w:val="21"/>
              </w:rPr>
              <w:t xml:space="preserve">Postgraduate qualifications in engineering, planning, </w:t>
            </w:r>
            <w:r>
              <w:rPr>
                <w:rFonts w:cs="Arial"/>
                <w:szCs w:val="21"/>
              </w:rPr>
              <w:t>and equivalent</w:t>
            </w:r>
            <w:r w:rsidRPr="007104F9">
              <w:rPr>
                <w:rFonts w:cs="Arial"/>
                <w:szCs w:val="21"/>
              </w:rPr>
              <w:t>.</w:t>
            </w:r>
            <w:r w:rsidR="00A70A64">
              <w:rPr>
                <w:rFonts w:cs="Arial"/>
                <w:szCs w:val="21"/>
              </w:rPr>
              <w:t xml:space="preserve"> </w:t>
            </w:r>
          </w:p>
          <w:p w14:paraId="1B9EB242" w14:textId="77777777" w:rsidR="007F3542" w:rsidRPr="00CC4853" w:rsidRDefault="007F3542" w:rsidP="00006AA1">
            <w:pPr>
              <w:spacing w:before="80"/>
              <w:rPr>
                <w:szCs w:val="21"/>
              </w:rPr>
            </w:pPr>
          </w:p>
        </w:tc>
      </w:tr>
    </w:tbl>
    <w:p w14:paraId="77D3A2FA" w14:textId="77777777" w:rsidR="007F3542" w:rsidRDefault="007F3542" w:rsidP="007F3542">
      <w:pPr>
        <w:spacing w:after="0" w:line="240" w:lineRule="auto"/>
      </w:pPr>
      <w:r>
        <w:br w:type="page"/>
      </w:r>
    </w:p>
    <w:p w14:paraId="0D203694" w14:textId="45A117EF" w:rsidR="007F3542" w:rsidRPr="00FD08E4" w:rsidRDefault="007F3542" w:rsidP="007F3542">
      <w:pPr>
        <w:pStyle w:val="Heading2"/>
      </w:pPr>
      <w:bookmarkStart w:id="71" w:name="_Toc149149820"/>
      <w:r w:rsidRPr="00FD08E4">
        <w:lastRenderedPageBreak/>
        <w:t xml:space="preserve">Communications and </w:t>
      </w:r>
      <w:r w:rsidR="00A92C73">
        <w:t>S</w:t>
      </w:r>
      <w:r w:rsidRPr="00FD08E4">
        <w:t xml:space="preserve">takeholder </w:t>
      </w:r>
      <w:r w:rsidR="00C9536B">
        <w:t>E</w:t>
      </w:r>
      <w:r w:rsidRPr="00FD08E4">
        <w:t>ngagement</w:t>
      </w:r>
      <w:bookmarkEnd w:id="71"/>
    </w:p>
    <w:p w14:paraId="27DA72A8" w14:textId="77777777" w:rsidR="007F3542" w:rsidRDefault="007F3542" w:rsidP="007F3542">
      <w:pPr>
        <w:pStyle w:val="Body"/>
      </w:pPr>
    </w:p>
    <w:tbl>
      <w:tblPr>
        <w:tblStyle w:val="TableGrid"/>
        <w:tblW w:w="5000" w:type="pct"/>
        <w:tblLook w:val="06A0" w:firstRow="1" w:lastRow="0" w:firstColumn="1" w:lastColumn="0" w:noHBand="1" w:noVBand="1"/>
      </w:tblPr>
      <w:tblGrid>
        <w:gridCol w:w="4664"/>
        <w:gridCol w:w="3204"/>
        <w:gridCol w:w="3204"/>
        <w:gridCol w:w="3204"/>
      </w:tblGrid>
      <w:tr w:rsidR="007F3542" w14:paraId="728FD991" w14:textId="77777777" w:rsidTr="00006AA1">
        <w:trPr>
          <w:tblHeader/>
        </w:trPr>
        <w:tc>
          <w:tcPr>
            <w:tcW w:w="1634" w:type="pct"/>
          </w:tcPr>
          <w:p w14:paraId="026D54ED" w14:textId="77777777" w:rsidR="007F3542" w:rsidRPr="005C252D" w:rsidRDefault="007F3542" w:rsidP="00987BFC">
            <w:pPr>
              <w:pStyle w:val="Tablecolhead"/>
              <w:rPr>
                <w:sz w:val="24"/>
                <w:szCs w:val="24"/>
              </w:rPr>
            </w:pPr>
            <w:r w:rsidRPr="005C252D">
              <w:rPr>
                <w:sz w:val="24"/>
                <w:szCs w:val="24"/>
              </w:rPr>
              <w:t>Capability description</w:t>
            </w:r>
          </w:p>
        </w:tc>
        <w:tc>
          <w:tcPr>
            <w:tcW w:w="1122" w:type="pct"/>
          </w:tcPr>
          <w:p w14:paraId="375FBCEC" w14:textId="77777777" w:rsidR="007F3542" w:rsidRPr="005C252D" w:rsidRDefault="007F3542" w:rsidP="00006AA1">
            <w:pPr>
              <w:pStyle w:val="Tablecolhead"/>
              <w:rPr>
                <w:sz w:val="24"/>
                <w:szCs w:val="24"/>
              </w:rPr>
            </w:pPr>
            <w:r w:rsidRPr="005C252D">
              <w:rPr>
                <w:sz w:val="24"/>
                <w:szCs w:val="24"/>
              </w:rPr>
              <w:t>Foundational</w:t>
            </w:r>
          </w:p>
        </w:tc>
        <w:tc>
          <w:tcPr>
            <w:tcW w:w="1122" w:type="pct"/>
          </w:tcPr>
          <w:p w14:paraId="6EDF85BF" w14:textId="77777777" w:rsidR="007F3542" w:rsidRPr="005C252D" w:rsidRDefault="007F3542" w:rsidP="00006AA1">
            <w:pPr>
              <w:pStyle w:val="Tablecolhead"/>
              <w:rPr>
                <w:sz w:val="24"/>
                <w:szCs w:val="24"/>
              </w:rPr>
            </w:pPr>
            <w:r w:rsidRPr="005C252D">
              <w:rPr>
                <w:sz w:val="24"/>
                <w:szCs w:val="24"/>
              </w:rPr>
              <w:t>Proficient</w:t>
            </w:r>
          </w:p>
        </w:tc>
        <w:tc>
          <w:tcPr>
            <w:tcW w:w="1122" w:type="pct"/>
          </w:tcPr>
          <w:p w14:paraId="101AE354" w14:textId="77777777" w:rsidR="007F3542" w:rsidRPr="005C252D" w:rsidRDefault="007F3542" w:rsidP="00006AA1">
            <w:pPr>
              <w:pStyle w:val="Tablecolhead"/>
              <w:rPr>
                <w:sz w:val="24"/>
                <w:szCs w:val="24"/>
              </w:rPr>
            </w:pPr>
            <w:r w:rsidRPr="005C252D">
              <w:rPr>
                <w:sz w:val="24"/>
                <w:szCs w:val="24"/>
              </w:rPr>
              <w:t>Advanced</w:t>
            </w:r>
          </w:p>
        </w:tc>
      </w:tr>
      <w:tr w:rsidR="007F3542" w:rsidRPr="00CC4853" w14:paraId="794AD437" w14:textId="77777777" w:rsidTr="00006AA1">
        <w:tc>
          <w:tcPr>
            <w:tcW w:w="1634" w:type="pct"/>
          </w:tcPr>
          <w:p w14:paraId="207A4C6E" w14:textId="66C13800" w:rsidR="00A70A64" w:rsidRDefault="007F3542" w:rsidP="007F3542">
            <w:pPr>
              <w:numPr>
                <w:ilvl w:val="0"/>
                <w:numId w:val="15"/>
              </w:numPr>
              <w:spacing w:before="80" w:line="240" w:lineRule="auto"/>
              <w:ind w:left="426" w:hanging="426"/>
              <w:rPr>
                <w:rFonts w:eastAsia="Times"/>
                <w:szCs w:val="21"/>
              </w:rPr>
            </w:pPr>
            <w:r>
              <w:rPr>
                <w:rFonts w:eastAsia="Times"/>
                <w:szCs w:val="21"/>
              </w:rPr>
              <w:t>U</w:t>
            </w:r>
            <w:r w:rsidRPr="00607912">
              <w:rPr>
                <w:rFonts w:eastAsia="Times"/>
                <w:szCs w:val="21"/>
              </w:rPr>
              <w:t>nderstand</w:t>
            </w:r>
            <w:r w:rsidR="00C351DF">
              <w:rPr>
                <w:rFonts w:eastAsia="Times"/>
                <w:szCs w:val="21"/>
              </w:rPr>
              <w:t>s</w:t>
            </w:r>
            <w:r w:rsidRPr="00607912">
              <w:rPr>
                <w:rFonts w:eastAsia="Times"/>
                <w:szCs w:val="21"/>
              </w:rPr>
              <w:t xml:space="preserve"> the key elements of </w:t>
            </w:r>
            <w:r w:rsidR="00C351DF">
              <w:rPr>
                <w:rFonts w:eastAsia="Times"/>
                <w:szCs w:val="21"/>
              </w:rPr>
              <w:t xml:space="preserve">effective </w:t>
            </w:r>
            <w:r w:rsidRPr="00607912">
              <w:rPr>
                <w:rFonts w:eastAsia="Times"/>
                <w:szCs w:val="21"/>
              </w:rPr>
              <w:t xml:space="preserve">communication and stakeholder engagement in the context of providing a public service, and the importance of public </w:t>
            </w:r>
            <w:r>
              <w:rPr>
                <w:rFonts w:eastAsia="Times"/>
                <w:szCs w:val="21"/>
              </w:rPr>
              <w:t>accountability</w:t>
            </w:r>
            <w:r w:rsidR="00131972">
              <w:rPr>
                <w:rFonts w:eastAsia="Times"/>
                <w:szCs w:val="21"/>
              </w:rPr>
              <w:t xml:space="preserve"> and public value</w:t>
            </w:r>
            <w:r w:rsidRPr="00607912">
              <w:rPr>
                <w:rFonts w:eastAsia="Times"/>
                <w:szCs w:val="21"/>
              </w:rPr>
              <w:t xml:space="preserve">. </w:t>
            </w:r>
          </w:p>
          <w:p w14:paraId="139A7788" w14:textId="1D8E331D" w:rsidR="007F3542" w:rsidRPr="00607912" w:rsidRDefault="00161EB6" w:rsidP="007F3542">
            <w:pPr>
              <w:numPr>
                <w:ilvl w:val="0"/>
                <w:numId w:val="15"/>
              </w:numPr>
              <w:spacing w:before="80" w:line="240" w:lineRule="auto"/>
              <w:ind w:left="426" w:hanging="426"/>
              <w:rPr>
                <w:rFonts w:eastAsia="Times"/>
                <w:szCs w:val="21"/>
              </w:rPr>
            </w:pPr>
            <w:r>
              <w:rPr>
                <w:rFonts w:eastAsia="Times"/>
                <w:szCs w:val="21"/>
              </w:rPr>
              <w:t>I</w:t>
            </w:r>
            <w:r w:rsidR="007F3542" w:rsidRPr="00607912">
              <w:rPr>
                <w:rFonts w:eastAsia="Times"/>
                <w:szCs w:val="21"/>
              </w:rPr>
              <w:t xml:space="preserve">nclude experience of effective insight into and response to the </w:t>
            </w:r>
            <w:r w:rsidR="00416BE1">
              <w:rPr>
                <w:rFonts w:eastAsia="Times"/>
                <w:szCs w:val="21"/>
              </w:rPr>
              <w:t xml:space="preserve">diverse </w:t>
            </w:r>
            <w:r w:rsidR="007F3542" w:rsidRPr="00607912">
              <w:rPr>
                <w:rFonts w:eastAsia="Times"/>
                <w:szCs w:val="21"/>
              </w:rPr>
              <w:t xml:space="preserve">views and expectations of stakeholders within and outside the organisation.  </w:t>
            </w:r>
          </w:p>
          <w:p w14:paraId="27E84698" w14:textId="21ED24F9" w:rsidR="007F3542" w:rsidRPr="00607912" w:rsidRDefault="007F3542" w:rsidP="007F3542">
            <w:pPr>
              <w:numPr>
                <w:ilvl w:val="0"/>
                <w:numId w:val="15"/>
              </w:numPr>
              <w:spacing w:before="80" w:line="240" w:lineRule="auto"/>
              <w:ind w:left="426" w:hanging="426"/>
              <w:rPr>
                <w:rFonts w:eastAsia="Times"/>
                <w:szCs w:val="21"/>
              </w:rPr>
            </w:pPr>
            <w:r>
              <w:rPr>
                <w:rFonts w:eastAsia="Times"/>
                <w:szCs w:val="21"/>
              </w:rPr>
              <w:t>E</w:t>
            </w:r>
            <w:r w:rsidRPr="00607912">
              <w:rPr>
                <w:rFonts w:eastAsia="Times"/>
                <w:szCs w:val="21"/>
              </w:rPr>
              <w:t>xperience in corporate communications, marketing, facilitation, stakeholder engagement, event management, media/public relations, and/or journalism.</w:t>
            </w:r>
          </w:p>
          <w:p w14:paraId="47B7D4E0" w14:textId="77777777" w:rsidR="007F3542" w:rsidRPr="00C16F77" w:rsidRDefault="007F3542" w:rsidP="00987BFC">
            <w:pPr>
              <w:spacing w:before="80" w:line="240" w:lineRule="auto"/>
              <w:rPr>
                <w:rFonts w:eastAsia="Times"/>
                <w:szCs w:val="21"/>
              </w:rPr>
            </w:pPr>
          </w:p>
        </w:tc>
        <w:tc>
          <w:tcPr>
            <w:tcW w:w="1122" w:type="pct"/>
          </w:tcPr>
          <w:p w14:paraId="726E81DE" w14:textId="37D663C7" w:rsidR="007F3542" w:rsidRPr="007104F9" w:rsidRDefault="007F3542" w:rsidP="00006AA1">
            <w:pPr>
              <w:spacing w:before="80"/>
              <w:rPr>
                <w:rFonts w:cs="Arial"/>
                <w:szCs w:val="21"/>
              </w:rPr>
            </w:pPr>
            <w:r>
              <w:rPr>
                <w:rFonts w:cs="Arial"/>
                <w:szCs w:val="21"/>
              </w:rPr>
              <w:t>U</w:t>
            </w:r>
            <w:r w:rsidRPr="007104F9">
              <w:rPr>
                <w:rFonts w:cs="Arial"/>
                <w:szCs w:val="21"/>
              </w:rPr>
              <w:t>nderstan</w:t>
            </w:r>
            <w:r w:rsidR="00A70A64">
              <w:rPr>
                <w:rFonts w:cs="Arial"/>
                <w:szCs w:val="21"/>
              </w:rPr>
              <w:t>ds</w:t>
            </w:r>
            <w:r w:rsidRPr="007104F9">
              <w:rPr>
                <w:rFonts w:cs="Arial"/>
                <w:szCs w:val="21"/>
              </w:rPr>
              <w:t xml:space="preserve"> of the principles of good communication and experience in applying these principles. </w:t>
            </w:r>
          </w:p>
          <w:p w14:paraId="062B78E9" w14:textId="7A6443E1" w:rsidR="007F3542" w:rsidRPr="007104F9" w:rsidRDefault="007F3542" w:rsidP="00006AA1">
            <w:pPr>
              <w:spacing w:before="80"/>
              <w:rPr>
                <w:rFonts w:cs="Arial"/>
                <w:szCs w:val="21"/>
              </w:rPr>
            </w:pPr>
            <w:r>
              <w:rPr>
                <w:rFonts w:cs="Arial"/>
                <w:szCs w:val="21"/>
              </w:rPr>
              <w:t>U</w:t>
            </w:r>
            <w:r w:rsidRPr="007104F9">
              <w:rPr>
                <w:rFonts w:cs="Arial"/>
                <w:szCs w:val="21"/>
              </w:rPr>
              <w:t>nderstand</w:t>
            </w:r>
            <w:r w:rsidR="00CF0E24">
              <w:rPr>
                <w:rFonts w:cs="Arial"/>
                <w:szCs w:val="21"/>
              </w:rPr>
              <w:t>s</w:t>
            </w:r>
            <w:r w:rsidRPr="007104F9">
              <w:rPr>
                <w:rFonts w:cs="Arial"/>
                <w:szCs w:val="21"/>
              </w:rPr>
              <w:t xml:space="preserve"> stakeholder engagement frameworks and how these can be applied.</w:t>
            </w:r>
          </w:p>
          <w:p w14:paraId="06542060" w14:textId="56D3A4CC" w:rsidR="007F3542" w:rsidRPr="007104F9" w:rsidRDefault="00CF0E24" w:rsidP="00CF0E24">
            <w:pPr>
              <w:spacing w:before="80"/>
              <w:rPr>
                <w:rFonts w:cs="Arial"/>
                <w:szCs w:val="21"/>
              </w:rPr>
            </w:pPr>
            <w:r>
              <w:rPr>
                <w:rFonts w:cs="Arial"/>
                <w:szCs w:val="21"/>
              </w:rPr>
              <w:t xml:space="preserve">Understands the diversity of stakeholders in the Victorian public health system. </w:t>
            </w:r>
          </w:p>
          <w:p w14:paraId="646AB2D4" w14:textId="77777777" w:rsidR="007F3542" w:rsidRPr="00556670" w:rsidRDefault="007F3542" w:rsidP="00006AA1">
            <w:pPr>
              <w:spacing w:before="80"/>
              <w:rPr>
                <w:szCs w:val="21"/>
              </w:rPr>
            </w:pPr>
          </w:p>
        </w:tc>
        <w:tc>
          <w:tcPr>
            <w:tcW w:w="1122" w:type="pct"/>
          </w:tcPr>
          <w:p w14:paraId="6C5B5271" w14:textId="333E68C7" w:rsidR="007F3542" w:rsidRPr="007104F9" w:rsidRDefault="007F3542" w:rsidP="00006AA1">
            <w:pPr>
              <w:spacing w:before="80"/>
              <w:rPr>
                <w:rFonts w:cs="Arial"/>
                <w:szCs w:val="21"/>
              </w:rPr>
            </w:pPr>
            <w:r>
              <w:rPr>
                <w:rFonts w:cs="Arial"/>
                <w:szCs w:val="21"/>
              </w:rPr>
              <w:t>E</w:t>
            </w:r>
            <w:r w:rsidRPr="007104F9">
              <w:rPr>
                <w:rFonts w:cs="Arial"/>
                <w:szCs w:val="21"/>
              </w:rPr>
              <w:t xml:space="preserve">xperience </w:t>
            </w:r>
            <w:r>
              <w:rPr>
                <w:rFonts w:cs="Arial"/>
                <w:szCs w:val="21"/>
              </w:rPr>
              <w:t xml:space="preserve">in </w:t>
            </w:r>
            <w:r w:rsidR="00DF399E">
              <w:rPr>
                <w:rFonts w:cs="Arial"/>
                <w:szCs w:val="21"/>
              </w:rPr>
              <w:t xml:space="preserve">implementing strategic </w:t>
            </w:r>
            <w:r w:rsidRPr="007104F9">
              <w:rPr>
                <w:rFonts w:cs="Arial"/>
                <w:szCs w:val="21"/>
              </w:rPr>
              <w:t>communication</w:t>
            </w:r>
            <w:r w:rsidR="00DF399E">
              <w:rPr>
                <w:rFonts w:cs="Arial"/>
                <w:szCs w:val="21"/>
              </w:rPr>
              <w:t xml:space="preserve"> plan</w:t>
            </w:r>
            <w:r w:rsidRPr="007104F9">
              <w:rPr>
                <w:rFonts w:cs="Arial"/>
                <w:szCs w:val="21"/>
              </w:rPr>
              <w:t>s</w:t>
            </w:r>
            <w:r>
              <w:rPr>
                <w:rFonts w:cs="Arial"/>
                <w:szCs w:val="21"/>
              </w:rPr>
              <w:t xml:space="preserve">. </w:t>
            </w:r>
          </w:p>
          <w:p w14:paraId="13E461FB" w14:textId="77777777" w:rsidR="007F3542" w:rsidRPr="007104F9" w:rsidRDefault="007F3542" w:rsidP="00006AA1">
            <w:pPr>
              <w:spacing w:before="80"/>
              <w:rPr>
                <w:rFonts w:cs="Arial"/>
                <w:szCs w:val="21"/>
              </w:rPr>
            </w:pPr>
            <w:r>
              <w:rPr>
                <w:rFonts w:cs="Arial"/>
                <w:szCs w:val="21"/>
              </w:rPr>
              <w:t>E</w:t>
            </w:r>
            <w:r w:rsidRPr="007104F9">
              <w:rPr>
                <w:rFonts w:cs="Arial"/>
                <w:szCs w:val="21"/>
              </w:rPr>
              <w:t>xperience in developing and applying stakeholder engagement frameworks.</w:t>
            </w:r>
          </w:p>
          <w:p w14:paraId="4912E62B" w14:textId="502DA40B" w:rsidR="008F50DA" w:rsidRDefault="00CF0E24" w:rsidP="008F50DA">
            <w:pPr>
              <w:spacing w:before="80"/>
              <w:rPr>
                <w:rFonts w:cs="Arial"/>
                <w:szCs w:val="21"/>
              </w:rPr>
            </w:pPr>
            <w:r>
              <w:rPr>
                <w:rFonts w:cs="Arial"/>
                <w:szCs w:val="21"/>
              </w:rPr>
              <w:t xml:space="preserve">Working knowledge of </w:t>
            </w:r>
            <w:r w:rsidR="007F3542" w:rsidRPr="007104F9">
              <w:rPr>
                <w:rFonts w:cs="Arial"/>
                <w:szCs w:val="21"/>
              </w:rPr>
              <w:t>the needs of the different kinds of stakeholders and the ability to advise on ways to communicate</w:t>
            </w:r>
            <w:r w:rsidR="007F3542">
              <w:rPr>
                <w:rFonts w:cs="Arial"/>
                <w:szCs w:val="21"/>
              </w:rPr>
              <w:t>, influence</w:t>
            </w:r>
            <w:r w:rsidR="00161EB6">
              <w:rPr>
                <w:rFonts w:cs="Arial"/>
                <w:szCs w:val="21"/>
              </w:rPr>
              <w:t>,</w:t>
            </w:r>
            <w:r w:rsidR="007F3542">
              <w:rPr>
                <w:rFonts w:cs="Arial"/>
                <w:szCs w:val="21"/>
              </w:rPr>
              <w:t xml:space="preserve"> </w:t>
            </w:r>
            <w:r w:rsidR="007F3542" w:rsidRPr="007104F9">
              <w:rPr>
                <w:rFonts w:cs="Arial"/>
                <w:szCs w:val="21"/>
              </w:rPr>
              <w:t>and engage with them</w:t>
            </w:r>
            <w:r w:rsidR="007F3542">
              <w:rPr>
                <w:rFonts w:cs="Arial"/>
                <w:szCs w:val="21"/>
              </w:rPr>
              <w:t xml:space="preserve"> to achieve desired outcomes</w:t>
            </w:r>
            <w:r w:rsidR="007F3542" w:rsidRPr="007104F9">
              <w:rPr>
                <w:rFonts w:cs="Arial"/>
                <w:szCs w:val="21"/>
              </w:rPr>
              <w:t xml:space="preserve">. </w:t>
            </w:r>
          </w:p>
          <w:p w14:paraId="10F3502F" w14:textId="2C963987" w:rsidR="007F3542" w:rsidRPr="00556670" w:rsidRDefault="008F50DA" w:rsidP="008F50DA">
            <w:pPr>
              <w:spacing w:before="80"/>
              <w:rPr>
                <w:szCs w:val="21"/>
              </w:rPr>
            </w:pPr>
            <w:r>
              <w:rPr>
                <w:rFonts w:cs="Arial"/>
                <w:szCs w:val="21"/>
              </w:rPr>
              <w:t xml:space="preserve">Experience in change management. </w:t>
            </w:r>
          </w:p>
        </w:tc>
        <w:tc>
          <w:tcPr>
            <w:tcW w:w="1122" w:type="pct"/>
          </w:tcPr>
          <w:p w14:paraId="6157D824" w14:textId="2B4B5021" w:rsidR="007F3542" w:rsidRPr="007104F9" w:rsidRDefault="007F3542" w:rsidP="00006AA1">
            <w:pPr>
              <w:spacing w:before="80"/>
              <w:rPr>
                <w:rFonts w:cs="Arial"/>
                <w:szCs w:val="21"/>
              </w:rPr>
            </w:pPr>
            <w:r>
              <w:rPr>
                <w:rFonts w:cs="Arial"/>
                <w:szCs w:val="21"/>
              </w:rPr>
              <w:t>E</w:t>
            </w:r>
            <w:r w:rsidRPr="007104F9">
              <w:rPr>
                <w:rFonts w:cs="Arial"/>
                <w:szCs w:val="21"/>
              </w:rPr>
              <w:t xml:space="preserve">xperience in </w:t>
            </w:r>
            <w:r>
              <w:rPr>
                <w:rFonts w:cs="Arial"/>
                <w:szCs w:val="21"/>
              </w:rPr>
              <w:t xml:space="preserve">leading effective </w:t>
            </w:r>
            <w:r w:rsidRPr="007104F9">
              <w:rPr>
                <w:rFonts w:cs="Arial"/>
                <w:szCs w:val="21"/>
              </w:rPr>
              <w:t xml:space="preserve">communications </w:t>
            </w:r>
            <w:r>
              <w:rPr>
                <w:rFonts w:cs="Arial"/>
                <w:szCs w:val="21"/>
              </w:rPr>
              <w:t xml:space="preserve">in a range of </w:t>
            </w:r>
            <w:r w:rsidR="00CF0E24">
              <w:rPr>
                <w:rFonts w:cs="Arial"/>
                <w:szCs w:val="21"/>
              </w:rPr>
              <w:t>settings</w:t>
            </w:r>
            <w:r>
              <w:rPr>
                <w:rFonts w:cs="Arial"/>
                <w:szCs w:val="21"/>
              </w:rPr>
              <w:t xml:space="preserve">. </w:t>
            </w:r>
          </w:p>
          <w:p w14:paraId="76B1D615" w14:textId="79BC8268" w:rsidR="00CF0E24" w:rsidRPr="007104F9" w:rsidRDefault="007F3542" w:rsidP="00006AA1">
            <w:pPr>
              <w:spacing w:before="80"/>
              <w:rPr>
                <w:rFonts w:cs="Arial"/>
                <w:szCs w:val="21"/>
              </w:rPr>
            </w:pPr>
            <w:r>
              <w:rPr>
                <w:rFonts w:cs="Arial"/>
                <w:szCs w:val="21"/>
              </w:rPr>
              <w:t>E</w:t>
            </w:r>
            <w:r w:rsidRPr="007104F9">
              <w:rPr>
                <w:rFonts w:cs="Arial"/>
                <w:szCs w:val="21"/>
              </w:rPr>
              <w:t>xperience in leading successful stakeholder engagement.</w:t>
            </w:r>
            <w:r w:rsidR="00CF0E24">
              <w:rPr>
                <w:rFonts w:cs="Arial"/>
                <w:szCs w:val="21"/>
              </w:rPr>
              <w:t xml:space="preserve"> </w:t>
            </w:r>
          </w:p>
          <w:p w14:paraId="118B0B9A" w14:textId="78EC29B1" w:rsidR="008F50DA" w:rsidRPr="007104F9" w:rsidRDefault="008F50DA" w:rsidP="00006AA1">
            <w:pPr>
              <w:spacing w:before="80"/>
              <w:rPr>
                <w:rFonts w:cs="Arial"/>
                <w:szCs w:val="21"/>
              </w:rPr>
            </w:pPr>
            <w:r>
              <w:rPr>
                <w:rFonts w:cs="Arial"/>
                <w:szCs w:val="21"/>
              </w:rPr>
              <w:t>Working knowledge of crisis management.</w:t>
            </w:r>
          </w:p>
          <w:p w14:paraId="0DAA710D" w14:textId="21FD8685" w:rsidR="007F3542" w:rsidRPr="007104F9" w:rsidRDefault="008F50DA" w:rsidP="00006AA1">
            <w:pPr>
              <w:spacing w:before="80"/>
              <w:rPr>
                <w:rFonts w:cs="Arial"/>
                <w:szCs w:val="21"/>
              </w:rPr>
            </w:pPr>
            <w:r>
              <w:rPr>
                <w:rFonts w:cs="Arial"/>
                <w:szCs w:val="21"/>
              </w:rPr>
              <w:t>E</w:t>
            </w:r>
            <w:r w:rsidR="007F3542" w:rsidRPr="007104F9">
              <w:rPr>
                <w:rFonts w:cs="Arial"/>
                <w:szCs w:val="21"/>
              </w:rPr>
              <w:t xml:space="preserve">xperience </w:t>
            </w:r>
            <w:r>
              <w:rPr>
                <w:rFonts w:cs="Arial"/>
                <w:szCs w:val="21"/>
              </w:rPr>
              <w:t>leading</w:t>
            </w:r>
            <w:r w:rsidRPr="007104F9">
              <w:rPr>
                <w:rFonts w:cs="Arial"/>
                <w:szCs w:val="21"/>
              </w:rPr>
              <w:t xml:space="preserve"> </w:t>
            </w:r>
            <w:r w:rsidR="007F3542" w:rsidRPr="007104F9">
              <w:rPr>
                <w:rFonts w:cs="Arial"/>
                <w:szCs w:val="21"/>
              </w:rPr>
              <w:t xml:space="preserve">innovative ways to </w:t>
            </w:r>
            <w:r w:rsidR="007F3542">
              <w:rPr>
                <w:rFonts w:cs="Arial"/>
                <w:szCs w:val="21"/>
              </w:rPr>
              <w:t xml:space="preserve">effectively </w:t>
            </w:r>
            <w:r w:rsidR="007F3542" w:rsidRPr="007104F9">
              <w:rPr>
                <w:rFonts w:cs="Arial"/>
                <w:szCs w:val="21"/>
              </w:rPr>
              <w:t>communicate</w:t>
            </w:r>
            <w:r w:rsidR="007F3542">
              <w:rPr>
                <w:rFonts w:cs="Arial"/>
                <w:szCs w:val="21"/>
              </w:rPr>
              <w:t>, influence</w:t>
            </w:r>
            <w:r w:rsidR="00E715A8">
              <w:rPr>
                <w:rFonts w:cs="Arial"/>
                <w:szCs w:val="21"/>
              </w:rPr>
              <w:t>,</w:t>
            </w:r>
            <w:r w:rsidR="007F3542" w:rsidRPr="007104F9">
              <w:rPr>
                <w:rFonts w:cs="Arial"/>
                <w:szCs w:val="21"/>
              </w:rPr>
              <w:t xml:space="preserve"> and engage with </w:t>
            </w:r>
            <w:r>
              <w:rPr>
                <w:rFonts w:cs="Arial"/>
                <w:szCs w:val="21"/>
              </w:rPr>
              <w:t>stakeholders</w:t>
            </w:r>
            <w:r w:rsidR="007F3542" w:rsidRPr="007104F9">
              <w:rPr>
                <w:rFonts w:cs="Arial"/>
                <w:szCs w:val="21"/>
              </w:rPr>
              <w:t xml:space="preserve">. </w:t>
            </w:r>
          </w:p>
          <w:p w14:paraId="5EBFA5DC" w14:textId="77777777" w:rsidR="007F3542" w:rsidRPr="00CC4853" w:rsidRDefault="007F3542" w:rsidP="00006AA1">
            <w:pPr>
              <w:spacing w:before="80"/>
              <w:rPr>
                <w:szCs w:val="21"/>
              </w:rPr>
            </w:pPr>
          </w:p>
        </w:tc>
      </w:tr>
    </w:tbl>
    <w:p w14:paraId="3FE4CF94" w14:textId="77777777" w:rsidR="007F3542" w:rsidRPr="007104F9" w:rsidRDefault="007F3542" w:rsidP="007F3542">
      <w:pPr>
        <w:pStyle w:val="Body"/>
      </w:pPr>
    </w:p>
    <w:p w14:paraId="47FC4086" w14:textId="77777777" w:rsidR="007F3542" w:rsidRDefault="007F3542" w:rsidP="007F3542">
      <w:pPr>
        <w:spacing w:after="0" w:line="240" w:lineRule="auto"/>
        <w:rPr>
          <w:b/>
          <w:color w:val="53565A"/>
          <w:sz w:val="32"/>
          <w:szCs w:val="28"/>
        </w:rPr>
      </w:pPr>
      <w:r>
        <w:br w:type="page"/>
      </w:r>
    </w:p>
    <w:p w14:paraId="334433C4" w14:textId="17015C95" w:rsidR="007F3542" w:rsidRPr="00FD08E4" w:rsidRDefault="007F3542" w:rsidP="007F3542">
      <w:pPr>
        <w:pStyle w:val="Heading2"/>
      </w:pPr>
      <w:bookmarkStart w:id="72" w:name="_Toc149149821"/>
      <w:r w:rsidRPr="00FD08E4">
        <w:lastRenderedPageBreak/>
        <w:t>Community Services</w:t>
      </w:r>
      <w:bookmarkEnd w:id="72"/>
      <w:r w:rsidRPr="00FD08E4">
        <w:t xml:space="preserve"> </w:t>
      </w:r>
    </w:p>
    <w:p w14:paraId="5A82ACEF" w14:textId="77777777" w:rsidR="007F3542" w:rsidRDefault="007F3542" w:rsidP="007F3542">
      <w:pPr>
        <w:pStyle w:val="Body"/>
      </w:pPr>
    </w:p>
    <w:tbl>
      <w:tblPr>
        <w:tblStyle w:val="TableGrid"/>
        <w:tblW w:w="5000" w:type="pct"/>
        <w:tblLook w:val="06A0" w:firstRow="1" w:lastRow="0" w:firstColumn="1" w:lastColumn="0" w:noHBand="1" w:noVBand="1"/>
      </w:tblPr>
      <w:tblGrid>
        <w:gridCol w:w="4664"/>
        <w:gridCol w:w="3204"/>
        <w:gridCol w:w="3204"/>
        <w:gridCol w:w="3204"/>
      </w:tblGrid>
      <w:tr w:rsidR="007F3542" w14:paraId="620D2E0B" w14:textId="77777777" w:rsidTr="00006AA1">
        <w:trPr>
          <w:tblHeader/>
        </w:trPr>
        <w:tc>
          <w:tcPr>
            <w:tcW w:w="1634" w:type="pct"/>
          </w:tcPr>
          <w:p w14:paraId="623138A5" w14:textId="77777777" w:rsidR="007F3542" w:rsidRPr="005C252D" w:rsidRDefault="007F3542" w:rsidP="00987BFC">
            <w:pPr>
              <w:pStyle w:val="Tablecolhead"/>
              <w:rPr>
                <w:sz w:val="24"/>
                <w:szCs w:val="24"/>
              </w:rPr>
            </w:pPr>
            <w:r w:rsidRPr="005C252D">
              <w:rPr>
                <w:sz w:val="24"/>
                <w:szCs w:val="24"/>
              </w:rPr>
              <w:t>Capability description</w:t>
            </w:r>
          </w:p>
        </w:tc>
        <w:tc>
          <w:tcPr>
            <w:tcW w:w="1122" w:type="pct"/>
          </w:tcPr>
          <w:p w14:paraId="1556FA65" w14:textId="77777777" w:rsidR="007F3542" w:rsidRPr="005C252D" w:rsidRDefault="007F3542" w:rsidP="00006AA1">
            <w:pPr>
              <w:pStyle w:val="Tablecolhead"/>
              <w:rPr>
                <w:sz w:val="24"/>
                <w:szCs w:val="24"/>
              </w:rPr>
            </w:pPr>
            <w:r w:rsidRPr="005C252D">
              <w:rPr>
                <w:sz w:val="24"/>
                <w:szCs w:val="24"/>
              </w:rPr>
              <w:t>Foundational</w:t>
            </w:r>
          </w:p>
        </w:tc>
        <w:tc>
          <w:tcPr>
            <w:tcW w:w="1122" w:type="pct"/>
          </w:tcPr>
          <w:p w14:paraId="44D0B01C" w14:textId="77777777" w:rsidR="007F3542" w:rsidRPr="005C252D" w:rsidRDefault="007F3542" w:rsidP="00006AA1">
            <w:pPr>
              <w:pStyle w:val="Tablecolhead"/>
              <w:rPr>
                <w:sz w:val="24"/>
                <w:szCs w:val="24"/>
              </w:rPr>
            </w:pPr>
            <w:r w:rsidRPr="005C252D">
              <w:rPr>
                <w:sz w:val="24"/>
                <w:szCs w:val="24"/>
              </w:rPr>
              <w:t>Proficient</w:t>
            </w:r>
          </w:p>
        </w:tc>
        <w:tc>
          <w:tcPr>
            <w:tcW w:w="1122" w:type="pct"/>
          </w:tcPr>
          <w:p w14:paraId="1500FD96" w14:textId="77777777" w:rsidR="007F3542" w:rsidRPr="005C252D" w:rsidRDefault="007F3542" w:rsidP="00006AA1">
            <w:pPr>
              <w:pStyle w:val="Tablecolhead"/>
              <w:rPr>
                <w:sz w:val="24"/>
                <w:szCs w:val="24"/>
              </w:rPr>
            </w:pPr>
            <w:r w:rsidRPr="005C252D">
              <w:rPr>
                <w:sz w:val="24"/>
                <w:szCs w:val="24"/>
              </w:rPr>
              <w:t>Advanced</w:t>
            </w:r>
          </w:p>
        </w:tc>
      </w:tr>
      <w:tr w:rsidR="007F3542" w:rsidRPr="00CC4853" w14:paraId="76C4494B" w14:textId="77777777" w:rsidTr="00006AA1">
        <w:tc>
          <w:tcPr>
            <w:tcW w:w="1634" w:type="pct"/>
          </w:tcPr>
          <w:p w14:paraId="2EAC51EF" w14:textId="7778BF64" w:rsidR="007F3542" w:rsidRPr="00607912" w:rsidRDefault="007F3542" w:rsidP="007F3542">
            <w:pPr>
              <w:numPr>
                <w:ilvl w:val="0"/>
                <w:numId w:val="15"/>
              </w:numPr>
              <w:spacing w:before="80" w:line="240" w:lineRule="auto"/>
              <w:ind w:left="426" w:hanging="426"/>
              <w:rPr>
                <w:rFonts w:eastAsia="Times"/>
                <w:szCs w:val="21"/>
              </w:rPr>
            </w:pPr>
            <w:r>
              <w:rPr>
                <w:rFonts w:eastAsia="Times"/>
                <w:szCs w:val="21"/>
              </w:rPr>
              <w:t>E</w:t>
            </w:r>
            <w:r w:rsidRPr="00607912">
              <w:rPr>
                <w:rFonts w:eastAsia="Times"/>
                <w:szCs w:val="21"/>
              </w:rPr>
              <w:t xml:space="preserve">xperience in the delivery of services for </w:t>
            </w:r>
            <w:r>
              <w:rPr>
                <w:rFonts w:eastAsia="Times"/>
                <w:szCs w:val="21"/>
              </w:rPr>
              <w:t>people</w:t>
            </w:r>
            <w:r w:rsidRPr="00607912">
              <w:rPr>
                <w:rFonts w:eastAsia="Times"/>
                <w:szCs w:val="21"/>
              </w:rPr>
              <w:t xml:space="preserve"> </w:t>
            </w:r>
            <w:r w:rsidR="001F4DE0">
              <w:rPr>
                <w:rFonts w:eastAsia="Times"/>
                <w:szCs w:val="21"/>
              </w:rPr>
              <w:t>experiencing</w:t>
            </w:r>
            <w:r w:rsidRPr="00607912">
              <w:rPr>
                <w:rFonts w:eastAsia="Times"/>
                <w:szCs w:val="21"/>
              </w:rPr>
              <w:t xml:space="preserve"> disadvantage or vulnerab</w:t>
            </w:r>
            <w:r w:rsidR="002E1492">
              <w:rPr>
                <w:rFonts w:eastAsia="Times"/>
                <w:szCs w:val="21"/>
              </w:rPr>
              <w:t>ility</w:t>
            </w:r>
            <w:r w:rsidRPr="00607912">
              <w:rPr>
                <w:rFonts w:eastAsia="Times"/>
                <w:szCs w:val="21"/>
              </w:rPr>
              <w:t xml:space="preserve"> at the time of seeking that service. </w:t>
            </w:r>
          </w:p>
          <w:p w14:paraId="23D013EB" w14:textId="2A4AE820" w:rsidR="007F3542" w:rsidRPr="00607912" w:rsidRDefault="007F3542" w:rsidP="007F3542">
            <w:pPr>
              <w:numPr>
                <w:ilvl w:val="0"/>
                <w:numId w:val="15"/>
              </w:numPr>
              <w:spacing w:before="80" w:line="240" w:lineRule="auto"/>
              <w:ind w:left="426" w:hanging="426"/>
              <w:rPr>
                <w:rFonts w:eastAsia="Times"/>
                <w:szCs w:val="21"/>
              </w:rPr>
            </w:pPr>
            <w:r w:rsidRPr="00607912">
              <w:rPr>
                <w:rFonts w:eastAsia="Times"/>
                <w:szCs w:val="21"/>
              </w:rPr>
              <w:t>Experience advocating for people with a lived experience or experienc</w:t>
            </w:r>
            <w:r w:rsidR="00083E76">
              <w:rPr>
                <w:rFonts w:eastAsia="Times"/>
                <w:szCs w:val="21"/>
              </w:rPr>
              <w:t>ing</w:t>
            </w:r>
            <w:r w:rsidRPr="00607912">
              <w:rPr>
                <w:rFonts w:eastAsia="Times"/>
                <w:szCs w:val="21"/>
              </w:rPr>
              <w:t xml:space="preserve"> disadvantage </w:t>
            </w:r>
            <w:r w:rsidR="006A5237">
              <w:rPr>
                <w:rFonts w:eastAsia="Times"/>
                <w:szCs w:val="21"/>
              </w:rPr>
              <w:t>and/</w:t>
            </w:r>
            <w:r w:rsidRPr="00607912">
              <w:rPr>
                <w:rFonts w:eastAsia="Times"/>
                <w:szCs w:val="21"/>
              </w:rPr>
              <w:t>or vulnerab</w:t>
            </w:r>
            <w:r w:rsidR="006A5237">
              <w:rPr>
                <w:rFonts w:eastAsia="Times"/>
                <w:szCs w:val="21"/>
              </w:rPr>
              <w:t>ility</w:t>
            </w:r>
            <w:r w:rsidRPr="00607912">
              <w:rPr>
                <w:rFonts w:eastAsia="Times"/>
                <w:szCs w:val="21"/>
              </w:rPr>
              <w:t xml:space="preserve">.  </w:t>
            </w:r>
          </w:p>
          <w:p w14:paraId="0098ECE6" w14:textId="64CE1782" w:rsidR="007F3542" w:rsidRPr="00607912" w:rsidRDefault="007F3542" w:rsidP="007F3542">
            <w:pPr>
              <w:numPr>
                <w:ilvl w:val="0"/>
                <w:numId w:val="15"/>
              </w:numPr>
              <w:spacing w:before="80" w:line="240" w:lineRule="auto"/>
              <w:ind w:left="426" w:hanging="426"/>
              <w:rPr>
                <w:rFonts w:eastAsia="Times"/>
                <w:szCs w:val="21"/>
              </w:rPr>
            </w:pPr>
            <w:r>
              <w:rPr>
                <w:rFonts w:eastAsia="Times"/>
                <w:szCs w:val="21"/>
              </w:rPr>
              <w:t>Q</w:t>
            </w:r>
            <w:r w:rsidRPr="00607912">
              <w:rPr>
                <w:rFonts w:eastAsia="Times"/>
                <w:szCs w:val="21"/>
              </w:rPr>
              <w:t>ualification or experience in social work, youth work, disability care, advocacy, counselling, community health</w:t>
            </w:r>
            <w:r w:rsidR="00E715A8">
              <w:rPr>
                <w:rFonts w:eastAsia="Times"/>
                <w:szCs w:val="21"/>
              </w:rPr>
              <w:t>,</w:t>
            </w:r>
            <w:r w:rsidRPr="00607912">
              <w:rPr>
                <w:rFonts w:eastAsia="Times"/>
                <w:szCs w:val="21"/>
              </w:rPr>
              <w:t xml:space="preserve"> or similar social service roles is an advantage.  </w:t>
            </w:r>
          </w:p>
          <w:p w14:paraId="05C4F4D2" w14:textId="77777777" w:rsidR="007F3542" w:rsidRPr="00C16F77" w:rsidRDefault="007F3542" w:rsidP="00006AA1">
            <w:pPr>
              <w:spacing w:before="80"/>
              <w:rPr>
                <w:rFonts w:eastAsia="Times"/>
                <w:szCs w:val="21"/>
              </w:rPr>
            </w:pPr>
          </w:p>
        </w:tc>
        <w:tc>
          <w:tcPr>
            <w:tcW w:w="1122" w:type="pct"/>
          </w:tcPr>
          <w:p w14:paraId="0AA7446A" w14:textId="4D5E555D" w:rsidR="008F50DA" w:rsidRPr="007577FC" w:rsidRDefault="008F50DA" w:rsidP="00006AA1">
            <w:pPr>
              <w:spacing w:before="80"/>
              <w:rPr>
                <w:rFonts w:cs="Arial"/>
                <w:szCs w:val="21"/>
              </w:rPr>
            </w:pPr>
            <w:r w:rsidRPr="008F50DA">
              <w:rPr>
                <w:rFonts w:cs="Arial"/>
                <w:szCs w:val="21"/>
              </w:rPr>
              <w:t xml:space="preserve">Understands population health, the social determinants of health, cultural safety, </w:t>
            </w:r>
            <w:r w:rsidR="004C53E1">
              <w:rPr>
                <w:rFonts w:cs="Arial"/>
                <w:szCs w:val="21"/>
              </w:rPr>
              <w:t xml:space="preserve">cultural </w:t>
            </w:r>
            <w:r w:rsidR="00E715A8">
              <w:rPr>
                <w:rFonts w:cs="Arial"/>
                <w:szCs w:val="21"/>
              </w:rPr>
              <w:t>competency,</w:t>
            </w:r>
            <w:r w:rsidR="00F80B25">
              <w:rPr>
                <w:rFonts w:cs="Arial"/>
                <w:szCs w:val="21"/>
              </w:rPr>
              <w:t xml:space="preserve"> </w:t>
            </w:r>
            <w:r w:rsidRPr="008F50DA">
              <w:rPr>
                <w:rFonts w:cs="Arial"/>
                <w:szCs w:val="21"/>
              </w:rPr>
              <w:t>and the importance of</w:t>
            </w:r>
            <w:r w:rsidR="00F80B25">
              <w:rPr>
                <w:rFonts w:cs="Arial"/>
                <w:szCs w:val="21"/>
              </w:rPr>
              <w:t>,</w:t>
            </w:r>
            <w:r w:rsidRPr="008F50DA">
              <w:rPr>
                <w:rFonts w:cs="Arial"/>
                <w:szCs w:val="21"/>
              </w:rPr>
              <w:t xml:space="preserve"> and mechanisms for</w:t>
            </w:r>
            <w:r w:rsidR="00F80B25">
              <w:rPr>
                <w:rFonts w:cs="Arial"/>
                <w:szCs w:val="21"/>
              </w:rPr>
              <w:t>,</w:t>
            </w:r>
            <w:r w:rsidRPr="008F50DA">
              <w:rPr>
                <w:rFonts w:cs="Arial"/>
                <w:szCs w:val="21"/>
              </w:rPr>
              <w:t xml:space="preserve"> patient</w:t>
            </w:r>
            <w:r w:rsidR="00F91334">
              <w:rPr>
                <w:rFonts w:cs="Arial"/>
                <w:szCs w:val="21"/>
              </w:rPr>
              <w:t>-</w:t>
            </w:r>
            <w:r w:rsidRPr="008F50DA">
              <w:rPr>
                <w:rFonts w:cs="Arial"/>
                <w:szCs w:val="21"/>
              </w:rPr>
              <w:t xml:space="preserve">centred care. </w:t>
            </w:r>
          </w:p>
          <w:p w14:paraId="73AEB251" w14:textId="69FE5BA4" w:rsidR="007F3542" w:rsidRDefault="007F3542" w:rsidP="00006AA1">
            <w:pPr>
              <w:spacing w:before="80"/>
              <w:rPr>
                <w:rFonts w:cs="Arial"/>
                <w:szCs w:val="21"/>
              </w:rPr>
            </w:pPr>
            <w:r>
              <w:rPr>
                <w:rFonts w:cs="Arial"/>
                <w:szCs w:val="21"/>
              </w:rPr>
              <w:t>K</w:t>
            </w:r>
            <w:r w:rsidRPr="007577FC">
              <w:rPr>
                <w:rFonts w:cs="Arial"/>
                <w:szCs w:val="21"/>
              </w:rPr>
              <w:t xml:space="preserve">nowledge of how health services (including mental health </w:t>
            </w:r>
            <w:r>
              <w:rPr>
                <w:rFonts w:cs="Arial"/>
                <w:szCs w:val="21"/>
              </w:rPr>
              <w:t>and aged care</w:t>
            </w:r>
            <w:r w:rsidRPr="007577FC">
              <w:rPr>
                <w:rFonts w:cs="Arial"/>
                <w:szCs w:val="21"/>
              </w:rPr>
              <w:t xml:space="preserve">) are delivered in both primary care </w:t>
            </w:r>
            <w:r w:rsidR="008F50DA">
              <w:rPr>
                <w:rFonts w:cs="Arial"/>
                <w:szCs w:val="21"/>
              </w:rPr>
              <w:t>and</w:t>
            </w:r>
            <w:r w:rsidRPr="007577FC">
              <w:rPr>
                <w:rFonts w:cs="Arial"/>
                <w:szCs w:val="21"/>
              </w:rPr>
              <w:t xml:space="preserve"> community settings</w:t>
            </w:r>
            <w:r>
              <w:rPr>
                <w:rFonts w:cs="Arial"/>
                <w:szCs w:val="21"/>
              </w:rPr>
              <w:t>.</w:t>
            </w:r>
          </w:p>
          <w:p w14:paraId="4A098B70" w14:textId="7BE8CDEC" w:rsidR="007F3542" w:rsidRPr="007577FC" w:rsidRDefault="007F3542" w:rsidP="00006AA1">
            <w:pPr>
              <w:spacing w:before="80"/>
              <w:rPr>
                <w:rFonts w:cs="Arial"/>
                <w:szCs w:val="21"/>
              </w:rPr>
            </w:pPr>
            <w:r>
              <w:rPr>
                <w:rFonts w:cs="Arial"/>
                <w:szCs w:val="21"/>
              </w:rPr>
              <w:t xml:space="preserve">Understands </w:t>
            </w:r>
            <w:r w:rsidRPr="007577FC">
              <w:rPr>
                <w:rFonts w:cs="Arial"/>
                <w:szCs w:val="21"/>
              </w:rPr>
              <w:t>system challenges</w:t>
            </w:r>
            <w:r w:rsidR="007C2D89">
              <w:rPr>
                <w:rFonts w:cs="Arial"/>
                <w:szCs w:val="21"/>
              </w:rPr>
              <w:t xml:space="preserve"> and opportunities</w:t>
            </w:r>
            <w:r w:rsidRPr="007577FC">
              <w:rPr>
                <w:rFonts w:cs="Arial"/>
                <w:szCs w:val="21"/>
              </w:rPr>
              <w:t>.</w:t>
            </w:r>
          </w:p>
          <w:p w14:paraId="3FB18B53" w14:textId="77777777" w:rsidR="007F3542" w:rsidRPr="00556670" w:rsidRDefault="007F3542" w:rsidP="00006AA1">
            <w:pPr>
              <w:spacing w:before="80"/>
              <w:rPr>
                <w:szCs w:val="21"/>
              </w:rPr>
            </w:pPr>
            <w:r w:rsidRPr="007577FC">
              <w:rPr>
                <w:rFonts w:cs="Arial"/>
                <w:szCs w:val="21"/>
              </w:rPr>
              <w:t xml:space="preserve">Understands differences </w:t>
            </w:r>
            <w:r>
              <w:rPr>
                <w:rFonts w:cs="Arial"/>
                <w:szCs w:val="21"/>
              </w:rPr>
              <w:t>in</w:t>
            </w:r>
            <w:r w:rsidRPr="007577FC">
              <w:rPr>
                <w:rFonts w:cs="Arial"/>
                <w:szCs w:val="21"/>
              </w:rPr>
              <w:t xml:space="preserve"> communit</w:t>
            </w:r>
            <w:r>
              <w:rPr>
                <w:rFonts w:cs="Arial"/>
                <w:szCs w:val="21"/>
              </w:rPr>
              <w:t>y</w:t>
            </w:r>
            <w:r w:rsidRPr="007577FC">
              <w:rPr>
                <w:rFonts w:cs="Arial"/>
                <w:szCs w:val="21"/>
              </w:rPr>
              <w:t xml:space="preserve"> needs, particularly </w:t>
            </w:r>
            <w:r>
              <w:rPr>
                <w:rFonts w:cs="Arial"/>
                <w:szCs w:val="21"/>
              </w:rPr>
              <w:t>people</w:t>
            </w:r>
            <w:r w:rsidRPr="007577FC">
              <w:rPr>
                <w:rFonts w:cs="Arial"/>
                <w:szCs w:val="21"/>
              </w:rPr>
              <w:t xml:space="preserve"> experiencing social and economic disadvantage. </w:t>
            </w:r>
          </w:p>
        </w:tc>
        <w:tc>
          <w:tcPr>
            <w:tcW w:w="1122" w:type="pct"/>
          </w:tcPr>
          <w:p w14:paraId="193ABF41" w14:textId="4D5C3483" w:rsidR="007F3542" w:rsidRPr="007577FC" w:rsidRDefault="007F3542" w:rsidP="00006AA1">
            <w:pPr>
              <w:spacing w:before="80"/>
              <w:rPr>
                <w:rFonts w:cs="Arial"/>
                <w:szCs w:val="21"/>
              </w:rPr>
            </w:pPr>
            <w:r>
              <w:rPr>
                <w:rFonts w:cs="Arial"/>
                <w:szCs w:val="21"/>
              </w:rPr>
              <w:t>E</w:t>
            </w:r>
            <w:r w:rsidRPr="007577FC">
              <w:rPr>
                <w:rFonts w:cs="Arial"/>
                <w:szCs w:val="21"/>
              </w:rPr>
              <w:t>xperience</w:t>
            </w:r>
            <w:r w:rsidR="00083E76">
              <w:rPr>
                <w:rFonts w:cs="Arial"/>
                <w:szCs w:val="21"/>
              </w:rPr>
              <w:t>d</w:t>
            </w:r>
            <w:r w:rsidRPr="007577FC">
              <w:rPr>
                <w:rFonts w:cs="Arial"/>
                <w:szCs w:val="21"/>
              </w:rPr>
              <w:t xml:space="preserve"> in the provision of community services</w:t>
            </w:r>
            <w:r>
              <w:rPr>
                <w:rFonts w:cs="Arial"/>
                <w:szCs w:val="21"/>
              </w:rPr>
              <w:t>, particularly for people who are experiencing disadvantage</w:t>
            </w:r>
            <w:r w:rsidR="00F80B25">
              <w:rPr>
                <w:rFonts w:cs="Arial"/>
                <w:szCs w:val="21"/>
              </w:rPr>
              <w:t xml:space="preserve"> and/or vulnerability</w:t>
            </w:r>
            <w:r w:rsidRPr="007577FC">
              <w:rPr>
                <w:rFonts w:cs="Arial"/>
                <w:szCs w:val="21"/>
              </w:rPr>
              <w:t xml:space="preserve">. </w:t>
            </w:r>
          </w:p>
          <w:p w14:paraId="77201C84" w14:textId="10577BD5" w:rsidR="007F3542" w:rsidRDefault="007F3542" w:rsidP="00006AA1">
            <w:pPr>
              <w:spacing w:before="80"/>
              <w:rPr>
                <w:rFonts w:cs="Arial"/>
                <w:szCs w:val="21"/>
              </w:rPr>
            </w:pPr>
            <w:r>
              <w:rPr>
                <w:rFonts w:cs="Arial"/>
                <w:szCs w:val="21"/>
              </w:rPr>
              <w:t>E</w:t>
            </w:r>
            <w:r w:rsidRPr="007577FC">
              <w:rPr>
                <w:rFonts w:cs="Arial"/>
                <w:szCs w:val="21"/>
              </w:rPr>
              <w:t xml:space="preserve">xperience assisting and advocating </w:t>
            </w:r>
            <w:r>
              <w:rPr>
                <w:rFonts w:cs="Arial"/>
                <w:szCs w:val="21"/>
              </w:rPr>
              <w:t xml:space="preserve">for </w:t>
            </w:r>
            <w:r w:rsidR="00ED40D7">
              <w:rPr>
                <w:rFonts w:cs="Arial"/>
                <w:szCs w:val="21"/>
              </w:rPr>
              <w:t xml:space="preserve">communities who are </w:t>
            </w:r>
            <w:r w:rsidRPr="007577FC">
              <w:rPr>
                <w:rFonts w:cs="Arial"/>
                <w:szCs w:val="21"/>
              </w:rPr>
              <w:t xml:space="preserve">marginalised </w:t>
            </w:r>
            <w:r w:rsidR="008F50DA">
              <w:rPr>
                <w:rFonts w:cs="Arial"/>
                <w:szCs w:val="21"/>
              </w:rPr>
              <w:t xml:space="preserve">or </w:t>
            </w:r>
            <w:r w:rsidR="00ED40D7">
              <w:rPr>
                <w:rFonts w:cs="Arial"/>
                <w:szCs w:val="21"/>
              </w:rPr>
              <w:t xml:space="preserve">experiencing </w:t>
            </w:r>
            <w:r w:rsidR="008F50DA">
              <w:rPr>
                <w:rFonts w:cs="Arial"/>
                <w:szCs w:val="21"/>
              </w:rPr>
              <w:t>vulnerab</w:t>
            </w:r>
            <w:r w:rsidR="00ED40D7">
              <w:rPr>
                <w:rFonts w:cs="Arial"/>
                <w:szCs w:val="21"/>
              </w:rPr>
              <w:t>ility</w:t>
            </w:r>
            <w:r>
              <w:rPr>
                <w:rFonts w:cs="Arial"/>
                <w:szCs w:val="21"/>
              </w:rPr>
              <w:t xml:space="preserve">. </w:t>
            </w:r>
          </w:p>
          <w:p w14:paraId="71461A0A" w14:textId="64249D28" w:rsidR="007F3542" w:rsidRPr="007577FC" w:rsidRDefault="008F50DA" w:rsidP="00006AA1">
            <w:pPr>
              <w:spacing w:before="80"/>
              <w:rPr>
                <w:rFonts w:cs="Arial"/>
                <w:szCs w:val="21"/>
              </w:rPr>
            </w:pPr>
            <w:r>
              <w:rPr>
                <w:rFonts w:cs="Arial"/>
                <w:szCs w:val="21"/>
              </w:rPr>
              <w:t>Working</w:t>
            </w:r>
            <w:r w:rsidR="007F3542">
              <w:rPr>
                <w:rFonts w:cs="Arial"/>
                <w:szCs w:val="21"/>
              </w:rPr>
              <w:t xml:space="preserve"> knowledge</w:t>
            </w:r>
            <w:r w:rsidR="007F3542" w:rsidRPr="007577FC">
              <w:rPr>
                <w:rFonts w:cs="Arial"/>
                <w:szCs w:val="21"/>
              </w:rPr>
              <w:t xml:space="preserve"> </w:t>
            </w:r>
            <w:r w:rsidR="007F3542">
              <w:rPr>
                <w:rFonts w:cs="Arial"/>
                <w:szCs w:val="21"/>
              </w:rPr>
              <w:t xml:space="preserve">of the complexity and challenges to achieving better health and wellbeing outcomes for </w:t>
            </w:r>
            <w:r w:rsidR="00A4427D">
              <w:rPr>
                <w:rFonts w:cs="Arial"/>
                <w:szCs w:val="21"/>
              </w:rPr>
              <w:t xml:space="preserve">people experiencing </w:t>
            </w:r>
            <w:r w:rsidR="007F3542">
              <w:rPr>
                <w:rFonts w:cs="Arial"/>
                <w:szCs w:val="21"/>
              </w:rPr>
              <w:t>vulnerab</w:t>
            </w:r>
            <w:r w:rsidR="00A4427D">
              <w:rPr>
                <w:rFonts w:cs="Arial"/>
                <w:szCs w:val="21"/>
              </w:rPr>
              <w:t>ility</w:t>
            </w:r>
            <w:r w:rsidR="007F3542">
              <w:rPr>
                <w:rFonts w:cs="Arial"/>
                <w:szCs w:val="21"/>
              </w:rPr>
              <w:t xml:space="preserve"> and/or disadvantage. </w:t>
            </w:r>
          </w:p>
          <w:p w14:paraId="2ADE2F37" w14:textId="23980D39" w:rsidR="007F3542" w:rsidRPr="007577FC" w:rsidRDefault="007F3542" w:rsidP="00006AA1">
            <w:pPr>
              <w:spacing w:before="80"/>
              <w:rPr>
                <w:rFonts w:cs="Arial"/>
                <w:szCs w:val="21"/>
              </w:rPr>
            </w:pPr>
            <w:r w:rsidRPr="007577FC">
              <w:rPr>
                <w:rFonts w:cs="Arial"/>
                <w:szCs w:val="21"/>
              </w:rPr>
              <w:t xml:space="preserve">Certificate, </w:t>
            </w:r>
            <w:r w:rsidR="00E715A8" w:rsidRPr="007577FC">
              <w:rPr>
                <w:rFonts w:cs="Arial"/>
                <w:szCs w:val="21"/>
              </w:rPr>
              <w:t>diploma,</w:t>
            </w:r>
            <w:r w:rsidRPr="007577FC">
              <w:rPr>
                <w:rFonts w:cs="Arial"/>
                <w:szCs w:val="21"/>
              </w:rPr>
              <w:t xml:space="preserve"> or undergraduate degree in a community services field</w:t>
            </w:r>
            <w:r>
              <w:rPr>
                <w:rFonts w:cs="Arial"/>
                <w:szCs w:val="21"/>
              </w:rPr>
              <w:t xml:space="preserve"> </w:t>
            </w:r>
            <w:r w:rsidR="00E715A8">
              <w:rPr>
                <w:rFonts w:cs="Arial"/>
                <w:szCs w:val="21"/>
              </w:rPr>
              <w:t xml:space="preserve">is </w:t>
            </w:r>
            <w:r>
              <w:rPr>
                <w:rFonts w:cs="Arial"/>
                <w:szCs w:val="21"/>
              </w:rPr>
              <w:t>desirable</w:t>
            </w:r>
            <w:r w:rsidRPr="007577FC">
              <w:rPr>
                <w:rFonts w:cs="Arial"/>
                <w:szCs w:val="21"/>
              </w:rPr>
              <w:t>.</w:t>
            </w:r>
            <w:r>
              <w:rPr>
                <w:rFonts w:cs="Arial"/>
                <w:szCs w:val="21"/>
              </w:rPr>
              <w:t xml:space="preserve"> </w:t>
            </w:r>
          </w:p>
          <w:p w14:paraId="28C6238E" w14:textId="77777777" w:rsidR="007F3542" w:rsidRPr="00556670" w:rsidRDefault="007F3542" w:rsidP="00006AA1">
            <w:pPr>
              <w:spacing w:before="80"/>
              <w:rPr>
                <w:szCs w:val="21"/>
              </w:rPr>
            </w:pPr>
          </w:p>
        </w:tc>
        <w:tc>
          <w:tcPr>
            <w:tcW w:w="1122" w:type="pct"/>
          </w:tcPr>
          <w:p w14:paraId="544EB881" w14:textId="5F521F23" w:rsidR="007F3542" w:rsidRPr="007577FC" w:rsidRDefault="00083E76" w:rsidP="00006AA1">
            <w:pPr>
              <w:spacing w:before="80"/>
              <w:rPr>
                <w:rFonts w:cs="Arial"/>
                <w:szCs w:val="21"/>
              </w:rPr>
            </w:pPr>
            <w:r>
              <w:rPr>
                <w:rFonts w:cs="Arial"/>
                <w:szCs w:val="21"/>
              </w:rPr>
              <w:t>Experience in leading the delivery of community services and collaborating with other health providers to provide a more integrated response</w:t>
            </w:r>
            <w:r w:rsidR="007F3542" w:rsidRPr="007577FC">
              <w:rPr>
                <w:rFonts w:cs="Arial"/>
                <w:szCs w:val="21"/>
              </w:rPr>
              <w:t xml:space="preserve">.  </w:t>
            </w:r>
          </w:p>
          <w:p w14:paraId="56ABBE08" w14:textId="339185CC" w:rsidR="007F3542" w:rsidRDefault="00083E76" w:rsidP="00006AA1">
            <w:pPr>
              <w:spacing w:before="80"/>
              <w:rPr>
                <w:rFonts w:cs="Arial"/>
                <w:szCs w:val="21"/>
              </w:rPr>
            </w:pPr>
            <w:r>
              <w:rPr>
                <w:rFonts w:cs="Arial"/>
                <w:szCs w:val="21"/>
              </w:rPr>
              <w:t>E</w:t>
            </w:r>
            <w:r w:rsidR="007F3542" w:rsidRPr="007577FC">
              <w:rPr>
                <w:rFonts w:cs="Arial"/>
                <w:szCs w:val="21"/>
              </w:rPr>
              <w:t xml:space="preserve">xperience in responding to the needs of communities </w:t>
            </w:r>
            <w:r w:rsidR="004652C7">
              <w:rPr>
                <w:rFonts w:cs="Arial"/>
                <w:szCs w:val="21"/>
              </w:rPr>
              <w:t xml:space="preserve">that are </w:t>
            </w:r>
            <w:r w:rsidR="004652C7" w:rsidRPr="007577FC">
              <w:rPr>
                <w:rFonts w:cs="Arial"/>
                <w:szCs w:val="21"/>
              </w:rPr>
              <w:t xml:space="preserve">marginalised </w:t>
            </w:r>
            <w:r w:rsidR="007F3542" w:rsidRPr="007577FC">
              <w:rPr>
                <w:rFonts w:cs="Arial"/>
                <w:szCs w:val="21"/>
              </w:rPr>
              <w:t xml:space="preserve">and </w:t>
            </w:r>
            <w:r w:rsidR="00E514AC">
              <w:rPr>
                <w:rFonts w:cs="Arial"/>
                <w:szCs w:val="21"/>
              </w:rPr>
              <w:t xml:space="preserve">advising on </w:t>
            </w:r>
            <w:r w:rsidR="007F3542" w:rsidRPr="007577FC">
              <w:rPr>
                <w:rFonts w:cs="Arial"/>
                <w:szCs w:val="21"/>
              </w:rPr>
              <w:t xml:space="preserve">sensitive and innovation ways of </w:t>
            </w:r>
            <w:r w:rsidR="007F3542">
              <w:rPr>
                <w:rFonts w:cs="Arial"/>
                <w:szCs w:val="21"/>
              </w:rPr>
              <w:t xml:space="preserve">achieving better health and wellbeing outcomes. </w:t>
            </w:r>
          </w:p>
          <w:p w14:paraId="2243575E" w14:textId="77777777" w:rsidR="007F3542" w:rsidRPr="007577FC" w:rsidRDefault="007F3542" w:rsidP="00006AA1">
            <w:pPr>
              <w:spacing w:before="80"/>
              <w:rPr>
                <w:rFonts w:cs="Arial"/>
                <w:szCs w:val="21"/>
              </w:rPr>
            </w:pPr>
            <w:r w:rsidRPr="007577FC">
              <w:rPr>
                <w:rFonts w:cs="Arial"/>
                <w:szCs w:val="21"/>
              </w:rPr>
              <w:t>Post-graduate qualifications in a community services field.</w:t>
            </w:r>
          </w:p>
          <w:p w14:paraId="0C7B71AA" w14:textId="77777777" w:rsidR="007F3542" w:rsidRPr="00CC4853" w:rsidRDefault="007F3542" w:rsidP="00006AA1">
            <w:pPr>
              <w:spacing w:before="80"/>
              <w:rPr>
                <w:szCs w:val="21"/>
              </w:rPr>
            </w:pPr>
          </w:p>
        </w:tc>
      </w:tr>
    </w:tbl>
    <w:p w14:paraId="4ECF9451" w14:textId="77777777" w:rsidR="009D639C" w:rsidRDefault="009D639C">
      <w:pPr>
        <w:spacing w:after="0" w:line="240" w:lineRule="auto"/>
        <w:rPr>
          <w:b/>
          <w:color w:val="53565A"/>
          <w:sz w:val="32"/>
          <w:szCs w:val="28"/>
        </w:rPr>
      </w:pPr>
      <w:r>
        <w:br w:type="page"/>
      </w:r>
    </w:p>
    <w:p w14:paraId="633CA779" w14:textId="49D61FF6" w:rsidR="007F3542" w:rsidRPr="00FD08E4" w:rsidRDefault="007F3542" w:rsidP="007F3542">
      <w:pPr>
        <w:pStyle w:val="Heading2"/>
      </w:pPr>
      <w:bookmarkStart w:id="73" w:name="_Toc149149822"/>
      <w:r w:rsidRPr="00FD08E4">
        <w:lastRenderedPageBreak/>
        <w:t xml:space="preserve">Human </w:t>
      </w:r>
      <w:r w:rsidR="00C9536B">
        <w:t>R</w:t>
      </w:r>
      <w:r w:rsidRPr="00FD08E4">
        <w:t xml:space="preserve">esource </w:t>
      </w:r>
      <w:r w:rsidR="00C9536B">
        <w:t>M</w:t>
      </w:r>
      <w:r w:rsidRPr="00FD08E4">
        <w:t>anagement</w:t>
      </w:r>
      <w:bookmarkEnd w:id="73"/>
    </w:p>
    <w:p w14:paraId="28F1B615" w14:textId="30712F75" w:rsidR="007F3542" w:rsidRPr="00C064A6" w:rsidRDefault="00A05DE0" w:rsidP="007F3542">
      <w:pPr>
        <w:pStyle w:val="Body"/>
        <w:rPr>
          <w:szCs w:val="21"/>
        </w:rPr>
      </w:pPr>
      <w:r w:rsidRPr="00C064A6">
        <w:rPr>
          <w:szCs w:val="21"/>
        </w:rPr>
        <w:t xml:space="preserve">This Framework uses human resource management to include what is also referred to as people and culture. </w:t>
      </w:r>
    </w:p>
    <w:tbl>
      <w:tblPr>
        <w:tblStyle w:val="TableGrid"/>
        <w:tblW w:w="5000" w:type="pct"/>
        <w:tblLook w:val="06A0" w:firstRow="1" w:lastRow="0" w:firstColumn="1" w:lastColumn="0" w:noHBand="1" w:noVBand="1"/>
      </w:tblPr>
      <w:tblGrid>
        <w:gridCol w:w="4664"/>
        <w:gridCol w:w="3204"/>
        <w:gridCol w:w="3204"/>
        <w:gridCol w:w="3204"/>
      </w:tblGrid>
      <w:tr w:rsidR="007F3542" w14:paraId="17B680C8" w14:textId="77777777" w:rsidTr="00006AA1">
        <w:trPr>
          <w:tblHeader/>
        </w:trPr>
        <w:tc>
          <w:tcPr>
            <w:tcW w:w="1634" w:type="pct"/>
          </w:tcPr>
          <w:p w14:paraId="5BE31766" w14:textId="77777777" w:rsidR="007F3542" w:rsidRPr="005C252D" w:rsidRDefault="007F3542" w:rsidP="00987BFC">
            <w:pPr>
              <w:pStyle w:val="Tablecolhead"/>
              <w:rPr>
                <w:sz w:val="24"/>
                <w:szCs w:val="24"/>
              </w:rPr>
            </w:pPr>
            <w:r w:rsidRPr="005C252D">
              <w:rPr>
                <w:sz w:val="24"/>
                <w:szCs w:val="24"/>
              </w:rPr>
              <w:t>Capability description</w:t>
            </w:r>
          </w:p>
        </w:tc>
        <w:tc>
          <w:tcPr>
            <w:tcW w:w="1122" w:type="pct"/>
          </w:tcPr>
          <w:p w14:paraId="320580BE" w14:textId="77777777" w:rsidR="007F3542" w:rsidRPr="005C252D" w:rsidRDefault="007F3542" w:rsidP="00006AA1">
            <w:pPr>
              <w:pStyle w:val="Tablecolhead"/>
              <w:rPr>
                <w:sz w:val="24"/>
                <w:szCs w:val="24"/>
              </w:rPr>
            </w:pPr>
            <w:r w:rsidRPr="005C252D">
              <w:rPr>
                <w:sz w:val="24"/>
                <w:szCs w:val="24"/>
              </w:rPr>
              <w:t>Foundational</w:t>
            </w:r>
          </w:p>
        </w:tc>
        <w:tc>
          <w:tcPr>
            <w:tcW w:w="1122" w:type="pct"/>
          </w:tcPr>
          <w:p w14:paraId="1828C6F4" w14:textId="77777777" w:rsidR="007F3542" w:rsidRPr="005C252D" w:rsidRDefault="007F3542" w:rsidP="00006AA1">
            <w:pPr>
              <w:pStyle w:val="Tablecolhead"/>
              <w:rPr>
                <w:sz w:val="24"/>
                <w:szCs w:val="24"/>
              </w:rPr>
            </w:pPr>
            <w:r w:rsidRPr="005C252D">
              <w:rPr>
                <w:sz w:val="24"/>
                <w:szCs w:val="24"/>
              </w:rPr>
              <w:t>Proficient</w:t>
            </w:r>
          </w:p>
        </w:tc>
        <w:tc>
          <w:tcPr>
            <w:tcW w:w="1122" w:type="pct"/>
          </w:tcPr>
          <w:p w14:paraId="6F652E84" w14:textId="77777777" w:rsidR="007F3542" w:rsidRPr="005C252D" w:rsidRDefault="007F3542" w:rsidP="00006AA1">
            <w:pPr>
              <w:pStyle w:val="Tablecolhead"/>
              <w:rPr>
                <w:sz w:val="24"/>
                <w:szCs w:val="24"/>
              </w:rPr>
            </w:pPr>
            <w:r w:rsidRPr="005C252D">
              <w:rPr>
                <w:sz w:val="24"/>
                <w:szCs w:val="24"/>
              </w:rPr>
              <w:t>Advanced</w:t>
            </w:r>
          </w:p>
        </w:tc>
      </w:tr>
      <w:tr w:rsidR="007F3542" w:rsidRPr="00CC4853" w14:paraId="37B5F409" w14:textId="77777777" w:rsidTr="00006AA1">
        <w:tc>
          <w:tcPr>
            <w:tcW w:w="1634" w:type="pct"/>
          </w:tcPr>
          <w:p w14:paraId="4931B4A9" w14:textId="31D3B9B9" w:rsidR="00E514AC" w:rsidRDefault="007F3542" w:rsidP="007F3542">
            <w:pPr>
              <w:numPr>
                <w:ilvl w:val="0"/>
                <w:numId w:val="15"/>
              </w:numPr>
              <w:spacing w:before="80" w:line="240" w:lineRule="auto"/>
              <w:ind w:left="426" w:hanging="426"/>
              <w:rPr>
                <w:rFonts w:eastAsia="Times"/>
                <w:szCs w:val="21"/>
              </w:rPr>
            </w:pPr>
            <w:r>
              <w:rPr>
                <w:rFonts w:eastAsia="Times"/>
                <w:szCs w:val="21"/>
              </w:rPr>
              <w:t xml:space="preserve">Experience </w:t>
            </w:r>
            <w:r w:rsidRPr="00607912">
              <w:rPr>
                <w:rFonts w:eastAsia="Times"/>
                <w:szCs w:val="21"/>
              </w:rPr>
              <w:t>in key aspects of managing an organisation's workforce, such as investing in leadership development and culture</w:t>
            </w:r>
            <w:r w:rsidR="00E514AC">
              <w:rPr>
                <w:rFonts w:eastAsia="Times"/>
                <w:szCs w:val="21"/>
              </w:rPr>
              <w:t xml:space="preserve">, and </w:t>
            </w:r>
            <w:r w:rsidR="00E514AC" w:rsidRPr="00607912">
              <w:rPr>
                <w:rFonts w:eastAsia="Times"/>
                <w:szCs w:val="21"/>
              </w:rPr>
              <w:t>overseeing organisational change</w:t>
            </w:r>
            <w:r w:rsidR="00E514AC">
              <w:rPr>
                <w:rFonts w:eastAsia="Times"/>
                <w:szCs w:val="21"/>
              </w:rPr>
              <w:t xml:space="preserve">. </w:t>
            </w:r>
          </w:p>
          <w:p w14:paraId="4F7731D3" w14:textId="0AC5C6A6" w:rsidR="007F3542" w:rsidRDefault="00E514AC" w:rsidP="007F3542">
            <w:pPr>
              <w:numPr>
                <w:ilvl w:val="0"/>
                <w:numId w:val="15"/>
              </w:numPr>
              <w:spacing w:before="80" w:line="240" w:lineRule="auto"/>
              <w:ind w:left="426" w:hanging="426"/>
              <w:rPr>
                <w:rFonts w:eastAsia="Times"/>
                <w:szCs w:val="21"/>
              </w:rPr>
            </w:pPr>
            <w:r>
              <w:rPr>
                <w:rFonts w:eastAsia="Times"/>
                <w:szCs w:val="21"/>
              </w:rPr>
              <w:t xml:space="preserve">Working knowledge of </w:t>
            </w:r>
            <w:r w:rsidR="007F3542" w:rsidRPr="00607912">
              <w:rPr>
                <w:rFonts w:eastAsia="Times"/>
                <w:szCs w:val="21"/>
              </w:rPr>
              <w:t xml:space="preserve">compliance with employment and labour laws, managing industrial relations.  </w:t>
            </w:r>
          </w:p>
          <w:p w14:paraId="4E07AF87" w14:textId="02C0840C" w:rsidR="00E514AC" w:rsidRPr="00607912" w:rsidRDefault="00E514AC" w:rsidP="007F3542">
            <w:pPr>
              <w:numPr>
                <w:ilvl w:val="0"/>
                <w:numId w:val="15"/>
              </w:numPr>
              <w:spacing w:before="80" w:line="240" w:lineRule="auto"/>
              <w:ind w:left="426" w:hanging="426"/>
              <w:rPr>
                <w:rFonts w:eastAsia="Times"/>
                <w:szCs w:val="21"/>
              </w:rPr>
            </w:pPr>
            <w:r>
              <w:rPr>
                <w:rFonts w:eastAsia="Times"/>
                <w:szCs w:val="21"/>
              </w:rPr>
              <w:t>Knowledge of legal, regulatory and policy frameworks</w:t>
            </w:r>
          </w:p>
          <w:p w14:paraId="2ABF5C32" w14:textId="6718B255" w:rsidR="007F3542" w:rsidRPr="00607912" w:rsidRDefault="00A05DE0" w:rsidP="007F3542">
            <w:pPr>
              <w:numPr>
                <w:ilvl w:val="0"/>
                <w:numId w:val="15"/>
              </w:numPr>
              <w:spacing w:before="80" w:line="240" w:lineRule="auto"/>
              <w:ind w:left="426" w:hanging="426"/>
              <w:rPr>
                <w:rFonts w:eastAsia="Times"/>
                <w:szCs w:val="21"/>
              </w:rPr>
            </w:pPr>
            <w:r>
              <w:rPr>
                <w:rFonts w:eastAsia="Times"/>
                <w:szCs w:val="21"/>
              </w:rPr>
              <w:t>Q</w:t>
            </w:r>
            <w:r w:rsidR="007F3542" w:rsidRPr="00607912">
              <w:rPr>
                <w:rFonts w:eastAsia="Times"/>
                <w:szCs w:val="21"/>
              </w:rPr>
              <w:t>ualifications or experience in organisational change management, cultural awareness</w:t>
            </w:r>
            <w:r w:rsidR="00230BDE">
              <w:rPr>
                <w:rFonts w:eastAsia="Times"/>
                <w:szCs w:val="21"/>
              </w:rPr>
              <w:t>, industrial relations</w:t>
            </w:r>
            <w:r w:rsidR="007F3542" w:rsidRPr="00607912">
              <w:rPr>
                <w:rFonts w:eastAsia="Times"/>
                <w:szCs w:val="21"/>
              </w:rPr>
              <w:t xml:space="preserve"> and occupational health and safety.</w:t>
            </w:r>
            <w:r>
              <w:rPr>
                <w:rFonts w:eastAsia="Times"/>
                <w:szCs w:val="21"/>
              </w:rPr>
              <w:t xml:space="preserve"> </w:t>
            </w:r>
          </w:p>
          <w:p w14:paraId="0A40BD43" w14:textId="77777777" w:rsidR="007F3542" w:rsidRPr="00C16F77" w:rsidRDefault="007F3542" w:rsidP="00006AA1">
            <w:pPr>
              <w:spacing w:before="80"/>
              <w:rPr>
                <w:rFonts w:eastAsia="Times"/>
                <w:szCs w:val="21"/>
              </w:rPr>
            </w:pPr>
          </w:p>
        </w:tc>
        <w:tc>
          <w:tcPr>
            <w:tcW w:w="1122" w:type="pct"/>
          </w:tcPr>
          <w:p w14:paraId="70A977AC" w14:textId="734BB493" w:rsidR="007F3542" w:rsidRPr="007577FC" w:rsidRDefault="007F3542" w:rsidP="00006AA1">
            <w:pPr>
              <w:spacing w:before="80"/>
              <w:rPr>
                <w:rFonts w:cs="Arial"/>
                <w:szCs w:val="21"/>
              </w:rPr>
            </w:pPr>
            <w:r>
              <w:rPr>
                <w:rFonts w:cs="Arial"/>
                <w:szCs w:val="21"/>
              </w:rPr>
              <w:t xml:space="preserve">Understands </w:t>
            </w:r>
            <w:r w:rsidR="00964421">
              <w:rPr>
                <w:rFonts w:cs="Arial"/>
                <w:szCs w:val="21"/>
              </w:rPr>
              <w:t xml:space="preserve">the </w:t>
            </w:r>
            <w:r>
              <w:rPr>
                <w:rFonts w:cs="Arial"/>
                <w:szCs w:val="21"/>
              </w:rPr>
              <w:t>principles of</w:t>
            </w:r>
            <w:r w:rsidRPr="007577FC">
              <w:rPr>
                <w:rFonts w:cs="Arial"/>
                <w:szCs w:val="21"/>
              </w:rPr>
              <w:t xml:space="preserve"> human resources </w:t>
            </w:r>
            <w:r>
              <w:rPr>
                <w:rFonts w:cs="Arial"/>
                <w:szCs w:val="21"/>
              </w:rPr>
              <w:t xml:space="preserve">(HR) </w:t>
            </w:r>
            <w:r w:rsidRPr="007577FC">
              <w:rPr>
                <w:rFonts w:cs="Arial"/>
                <w:szCs w:val="21"/>
              </w:rPr>
              <w:t>management</w:t>
            </w:r>
            <w:r w:rsidR="00A05DE0">
              <w:rPr>
                <w:rFonts w:cs="Arial"/>
                <w:szCs w:val="21"/>
              </w:rPr>
              <w:t>.</w:t>
            </w:r>
            <w:r>
              <w:rPr>
                <w:rFonts w:cs="Arial"/>
                <w:szCs w:val="21"/>
              </w:rPr>
              <w:t xml:space="preserve"> </w:t>
            </w:r>
          </w:p>
          <w:p w14:paraId="1290A573" w14:textId="4E38A42E" w:rsidR="007F3542" w:rsidRPr="007577FC" w:rsidRDefault="007F3542" w:rsidP="00006AA1">
            <w:pPr>
              <w:spacing w:before="80"/>
              <w:rPr>
                <w:rFonts w:cs="Arial"/>
                <w:szCs w:val="21"/>
              </w:rPr>
            </w:pPr>
            <w:r w:rsidRPr="007577FC">
              <w:rPr>
                <w:rFonts w:cs="Arial"/>
                <w:szCs w:val="21"/>
              </w:rPr>
              <w:t>Understand</w:t>
            </w:r>
            <w:r w:rsidR="00E514AC">
              <w:rPr>
                <w:rFonts w:cs="Arial"/>
                <w:szCs w:val="21"/>
              </w:rPr>
              <w:t>s</w:t>
            </w:r>
            <w:r w:rsidRPr="007577FC">
              <w:rPr>
                <w:rFonts w:cs="Arial"/>
                <w:szCs w:val="21"/>
              </w:rPr>
              <w:t xml:space="preserve"> the components required for </w:t>
            </w:r>
            <w:r w:rsidR="00444642">
              <w:rPr>
                <w:rFonts w:cs="Arial"/>
                <w:szCs w:val="21"/>
              </w:rPr>
              <w:t xml:space="preserve">a positive </w:t>
            </w:r>
            <w:r w:rsidRPr="007577FC">
              <w:rPr>
                <w:rFonts w:cs="Arial"/>
                <w:szCs w:val="21"/>
              </w:rPr>
              <w:t>organisational culture.</w:t>
            </w:r>
            <w:r w:rsidR="00E514AC">
              <w:rPr>
                <w:rFonts w:cs="Arial"/>
                <w:szCs w:val="21"/>
              </w:rPr>
              <w:t xml:space="preserve"> </w:t>
            </w:r>
          </w:p>
          <w:p w14:paraId="5F430A3D" w14:textId="37C36111" w:rsidR="007F3542" w:rsidRPr="007577FC" w:rsidRDefault="007F3542" w:rsidP="00006AA1">
            <w:pPr>
              <w:spacing w:before="80"/>
              <w:rPr>
                <w:rFonts w:cs="Arial"/>
                <w:szCs w:val="21"/>
              </w:rPr>
            </w:pPr>
            <w:r w:rsidRPr="007577FC">
              <w:rPr>
                <w:rFonts w:cs="Arial"/>
                <w:szCs w:val="21"/>
              </w:rPr>
              <w:t>Understands the board’s role in setting organisational culture.</w:t>
            </w:r>
          </w:p>
          <w:p w14:paraId="7A5A9CC6" w14:textId="77777777" w:rsidR="007F3542" w:rsidRPr="007577FC" w:rsidRDefault="007F3542" w:rsidP="00006AA1">
            <w:pPr>
              <w:spacing w:before="80"/>
              <w:rPr>
                <w:rFonts w:cs="Arial"/>
                <w:szCs w:val="21"/>
              </w:rPr>
            </w:pPr>
            <w:r w:rsidRPr="007577FC">
              <w:rPr>
                <w:rFonts w:cs="Arial"/>
                <w:szCs w:val="21"/>
              </w:rPr>
              <w:t>General understanding of conflict resolution and mediation techniques.</w:t>
            </w:r>
            <w:r>
              <w:rPr>
                <w:rFonts w:cs="Arial"/>
                <w:szCs w:val="21"/>
              </w:rPr>
              <w:t xml:space="preserve"> </w:t>
            </w:r>
          </w:p>
          <w:p w14:paraId="013D5A29" w14:textId="77777777" w:rsidR="007F3542" w:rsidRPr="00556670" w:rsidRDefault="007F3542" w:rsidP="00006AA1">
            <w:pPr>
              <w:spacing w:before="80"/>
              <w:rPr>
                <w:szCs w:val="21"/>
              </w:rPr>
            </w:pPr>
          </w:p>
        </w:tc>
        <w:tc>
          <w:tcPr>
            <w:tcW w:w="1122" w:type="pct"/>
          </w:tcPr>
          <w:p w14:paraId="29B87EAF" w14:textId="71D43A6C" w:rsidR="007F3542" w:rsidRPr="007577FC" w:rsidRDefault="007F3542" w:rsidP="00006AA1">
            <w:pPr>
              <w:spacing w:before="80"/>
              <w:rPr>
                <w:rFonts w:cs="Arial"/>
                <w:szCs w:val="21"/>
              </w:rPr>
            </w:pPr>
            <w:r>
              <w:rPr>
                <w:rFonts w:cs="Arial"/>
                <w:szCs w:val="21"/>
              </w:rPr>
              <w:t>E</w:t>
            </w:r>
            <w:r w:rsidRPr="007577FC">
              <w:rPr>
                <w:rFonts w:cs="Arial"/>
                <w:szCs w:val="21"/>
              </w:rPr>
              <w:t>xperience in</w:t>
            </w:r>
            <w:r>
              <w:rPr>
                <w:rFonts w:cs="Arial"/>
                <w:szCs w:val="21"/>
              </w:rPr>
              <w:t xml:space="preserve"> </w:t>
            </w:r>
            <w:r w:rsidRPr="007577FC">
              <w:rPr>
                <w:rFonts w:cs="Arial"/>
                <w:szCs w:val="21"/>
              </w:rPr>
              <w:t xml:space="preserve">human resources </w:t>
            </w:r>
            <w:r>
              <w:rPr>
                <w:rFonts w:cs="Arial"/>
                <w:szCs w:val="21"/>
              </w:rPr>
              <w:t xml:space="preserve">management, </w:t>
            </w:r>
            <w:r w:rsidR="00CB360A">
              <w:rPr>
                <w:rFonts w:cs="Arial"/>
                <w:szCs w:val="21"/>
              </w:rPr>
              <w:t>such</w:t>
            </w:r>
            <w:r w:rsidR="00282CDE">
              <w:rPr>
                <w:rFonts w:cs="Arial"/>
                <w:szCs w:val="21"/>
              </w:rPr>
              <w:t xml:space="preserve"> </w:t>
            </w:r>
            <w:r w:rsidR="00CB360A">
              <w:rPr>
                <w:rFonts w:cs="Arial"/>
                <w:szCs w:val="21"/>
              </w:rPr>
              <w:t xml:space="preserve">as </w:t>
            </w:r>
            <w:r>
              <w:rPr>
                <w:rFonts w:cs="Arial"/>
                <w:szCs w:val="21"/>
              </w:rPr>
              <w:t>reasonable adjustments, self-determination</w:t>
            </w:r>
            <w:r w:rsidR="009C5B61">
              <w:rPr>
                <w:rFonts w:cs="Arial"/>
                <w:szCs w:val="21"/>
              </w:rPr>
              <w:t>,</w:t>
            </w:r>
            <w:r>
              <w:rPr>
                <w:rFonts w:cs="Arial"/>
                <w:szCs w:val="21"/>
              </w:rPr>
              <w:t xml:space="preserve"> and cultural safety.</w:t>
            </w:r>
            <w:r w:rsidRPr="007577FC">
              <w:rPr>
                <w:rFonts w:cs="Arial"/>
                <w:szCs w:val="21"/>
              </w:rPr>
              <w:t xml:space="preserve"> </w:t>
            </w:r>
          </w:p>
          <w:p w14:paraId="3AD9D906" w14:textId="5568F391" w:rsidR="007F3542" w:rsidRDefault="00A05DE0" w:rsidP="00A05DE0">
            <w:pPr>
              <w:spacing w:before="80"/>
              <w:rPr>
                <w:rFonts w:cs="Arial"/>
                <w:szCs w:val="21"/>
              </w:rPr>
            </w:pPr>
            <w:r>
              <w:rPr>
                <w:rFonts w:cs="Arial"/>
                <w:szCs w:val="21"/>
              </w:rPr>
              <w:t>Experience in applying</w:t>
            </w:r>
            <w:r w:rsidR="007F3542">
              <w:rPr>
                <w:rFonts w:cs="Arial"/>
                <w:szCs w:val="21"/>
              </w:rPr>
              <w:t xml:space="preserve"> workforce</w:t>
            </w:r>
            <w:r w:rsidR="007F3542" w:rsidRPr="007577FC">
              <w:rPr>
                <w:rFonts w:cs="Arial"/>
                <w:szCs w:val="21"/>
              </w:rPr>
              <w:t xml:space="preserve"> </w:t>
            </w:r>
            <w:r w:rsidR="00282CDE">
              <w:rPr>
                <w:rFonts w:cs="Arial"/>
                <w:szCs w:val="21"/>
              </w:rPr>
              <w:t xml:space="preserve">diversity and inclusion </w:t>
            </w:r>
            <w:r w:rsidR="007F3542" w:rsidRPr="007577FC">
              <w:rPr>
                <w:rFonts w:cs="Arial"/>
                <w:szCs w:val="21"/>
              </w:rPr>
              <w:t>strateg</w:t>
            </w:r>
            <w:r>
              <w:rPr>
                <w:rFonts w:cs="Arial"/>
                <w:szCs w:val="21"/>
              </w:rPr>
              <w:t>ies</w:t>
            </w:r>
            <w:r w:rsidR="007F3542" w:rsidRPr="007577FC">
              <w:rPr>
                <w:rFonts w:cs="Arial"/>
                <w:szCs w:val="21"/>
              </w:rPr>
              <w:t xml:space="preserve"> </w:t>
            </w:r>
            <w:r w:rsidR="007F3542">
              <w:rPr>
                <w:rFonts w:cs="Arial"/>
                <w:szCs w:val="21"/>
              </w:rPr>
              <w:t xml:space="preserve">such as gender equality, Aboriginal recruitment, </w:t>
            </w:r>
            <w:r w:rsidR="00803102">
              <w:rPr>
                <w:rFonts w:cs="Arial"/>
                <w:szCs w:val="21"/>
              </w:rPr>
              <w:t xml:space="preserve">cultural safety and </w:t>
            </w:r>
            <w:r w:rsidR="00155B68">
              <w:rPr>
                <w:rFonts w:cs="Arial"/>
                <w:szCs w:val="21"/>
              </w:rPr>
              <w:t xml:space="preserve">cultural </w:t>
            </w:r>
            <w:r w:rsidR="00803102">
              <w:rPr>
                <w:rFonts w:cs="Arial"/>
                <w:szCs w:val="21"/>
              </w:rPr>
              <w:t>competenc</w:t>
            </w:r>
            <w:r w:rsidR="00B625F1">
              <w:rPr>
                <w:rFonts w:cs="Arial"/>
                <w:szCs w:val="21"/>
              </w:rPr>
              <w:t>y approaches, LGBTIQ+ Rainbow tick</w:t>
            </w:r>
            <w:r w:rsidR="007F3542">
              <w:rPr>
                <w:rFonts w:cs="Arial"/>
                <w:szCs w:val="21"/>
              </w:rPr>
              <w:t xml:space="preserve">. </w:t>
            </w:r>
          </w:p>
          <w:p w14:paraId="683EBFDF" w14:textId="016CECA9" w:rsidR="007F3542" w:rsidRPr="00BE73B7" w:rsidRDefault="00A05DE0" w:rsidP="00987BFC">
            <w:pPr>
              <w:spacing w:before="80"/>
              <w:rPr>
                <w:rFonts w:cs="Arial"/>
                <w:szCs w:val="21"/>
              </w:rPr>
            </w:pPr>
            <w:r>
              <w:rPr>
                <w:rFonts w:cs="Arial"/>
                <w:szCs w:val="21"/>
              </w:rPr>
              <w:t xml:space="preserve">Experience in </w:t>
            </w:r>
            <w:r w:rsidR="007F3542" w:rsidRPr="00BE73B7">
              <w:rPr>
                <w:rFonts w:cs="Arial"/>
                <w:szCs w:val="21"/>
              </w:rPr>
              <w:t xml:space="preserve">organisational change </w:t>
            </w:r>
            <w:r w:rsidR="007F3542">
              <w:rPr>
                <w:rFonts w:cs="Arial"/>
                <w:szCs w:val="21"/>
              </w:rPr>
              <w:t>and build</w:t>
            </w:r>
            <w:r>
              <w:rPr>
                <w:rFonts w:cs="Arial"/>
                <w:szCs w:val="21"/>
              </w:rPr>
              <w:t>ing</w:t>
            </w:r>
            <w:r w:rsidR="007F3542">
              <w:rPr>
                <w:rFonts w:cs="Arial"/>
                <w:szCs w:val="21"/>
              </w:rPr>
              <w:t xml:space="preserve"> a positive culture. </w:t>
            </w:r>
          </w:p>
          <w:p w14:paraId="6CE5B5BB" w14:textId="38421921" w:rsidR="007F3542" w:rsidRPr="007577FC" w:rsidRDefault="007F3542" w:rsidP="00006AA1">
            <w:pPr>
              <w:spacing w:before="80"/>
              <w:rPr>
                <w:rFonts w:cs="Arial"/>
                <w:szCs w:val="21"/>
              </w:rPr>
            </w:pPr>
            <w:r>
              <w:rPr>
                <w:rFonts w:cs="Arial"/>
                <w:szCs w:val="21"/>
              </w:rPr>
              <w:t>Ab</w:t>
            </w:r>
            <w:r w:rsidR="00E514AC">
              <w:rPr>
                <w:rFonts w:cs="Arial"/>
                <w:szCs w:val="21"/>
              </w:rPr>
              <w:t>le</w:t>
            </w:r>
            <w:r>
              <w:rPr>
                <w:rFonts w:cs="Arial"/>
                <w:szCs w:val="21"/>
              </w:rPr>
              <w:t xml:space="preserve"> to </w:t>
            </w:r>
            <w:r w:rsidRPr="007577FC">
              <w:rPr>
                <w:rFonts w:cs="Arial"/>
                <w:szCs w:val="21"/>
              </w:rPr>
              <w:t xml:space="preserve">build effective relationships, listens and asks </w:t>
            </w:r>
            <w:r w:rsidR="00E514AC">
              <w:rPr>
                <w:rFonts w:cs="Arial"/>
                <w:szCs w:val="21"/>
              </w:rPr>
              <w:t xml:space="preserve">appropriate </w:t>
            </w:r>
            <w:r w:rsidRPr="007577FC">
              <w:rPr>
                <w:rFonts w:cs="Arial"/>
                <w:szCs w:val="21"/>
              </w:rPr>
              <w:t xml:space="preserve">questions </w:t>
            </w:r>
            <w:r w:rsidR="00E514AC">
              <w:rPr>
                <w:rFonts w:cs="Arial"/>
                <w:szCs w:val="21"/>
              </w:rPr>
              <w:t xml:space="preserve">to support </w:t>
            </w:r>
            <w:r w:rsidRPr="007577FC">
              <w:rPr>
                <w:rFonts w:cs="Arial"/>
                <w:szCs w:val="21"/>
              </w:rPr>
              <w:t>board discussions.</w:t>
            </w:r>
            <w:r w:rsidR="00A05DE0">
              <w:rPr>
                <w:rFonts w:cs="Arial"/>
                <w:szCs w:val="21"/>
              </w:rPr>
              <w:t xml:space="preserve"> </w:t>
            </w:r>
          </w:p>
          <w:p w14:paraId="049586FA" w14:textId="77777777" w:rsidR="007F3542" w:rsidRPr="00556670" w:rsidRDefault="007F3542" w:rsidP="00A05DE0">
            <w:pPr>
              <w:spacing w:before="80"/>
              <w:rPr>
                <w:szCs w:val="21"/>
              </w:rPr>
            </w:pPr>
          </w:p>
        </w:tc>
        <w:tc>
          <w:tcPr>
            <w:tcW w:w="1122" w:type="pct"/>
          </w:tcPr>
          <w:p w14:paraId="7767D0F3" w14:textId="4B2E5704" w:rsidR="007F3542" w:rsidRPr="007577FC" w:rsidRDefault="007F3542" w:rsidP="00006AA1">
            <w:pPr>
              <w:spacing w:before="80"/>
              <w:rPr>
                <w:rFonts w:cs="Arial"/>
                <w:szCs w:val="21"/>
              </w:rPr>
            </w:pPr>
            <w:r>
              <w:rPr>
                <w:rFonts w:cs="Arial"/>
                <w:szCs w:val="21"/>
              </w:rPr>
              <w:t>E</w:t>
            </w:r>
            <w:r w:rsidRPr="007577FC">
              <w:rPr>
                <w:rFonts w:cs="Arial"/>
                <w:szCs w:val="21"/>
              </w:rPr>
              <w:t xml:space="preserve">xperience in </w:t>
            </w:r>
            <w:r w:rsidR="00A05DE0">
              <w:rPr>
                <w:rFonts w:cs="Arial"/>
                <w:szCs w:val="21"/>
              </w:rPr>
              <w:t>leading design and implementation strategies to attract, engage</w:t>
            </w:r>
            <w:r w:rsidR="008240D5">
              <w:rPr>
                <w:rFonts w:cs="Arial"/>
                <w:szCs w:val="21"/>
              </w:rPr>
              <w:t>,</w:t>
            </w:r>
            <w:r w:rsidR="00A05DE0">
              <w:rPr>
                <w:rFonts w:cs="Arial"/>
                <w:szCs w:val="21"/>
              </w:rPr>
              <w:t xml:space="preserve"> and develop staff </w:t>
            </w:r>
            <w:r w:rsidR="00230BDE">
              <w:rPr>
                <w:rFonts w:cs="Arial"/>
                <w:szCs w:val="21"/>
              </w:rPr>
              <w:t>and management to align with the organisation’s strategic direction</w:t>
            </w:r>
            <w:r>
              <w:rPr>
                <w:rFonts w:cs="Arial"/>
                <w:szCs w:val="21"/>
              </w:rPr>
              <w:t>.</w:t>
            </w:r>
            <w:r w:rsidRPr="007577FC">
              <w:rPr>
                <w:rFonts w:cs="Arial"/>
                <w:szCs w:val="21"/>
              </w:rPr>
              <w:t xml:space="preserve"> </w:t>
            </w:r>
          </w:p>
          <w:p w14:paraId="66CCF342" w14:textId="68B328A9" w:rsidR="007F3542" w:rsidRPr="007577FC" w:rsidRDefault="00230BDE" w:rsidP="00006AA1">
            <w:pPr>
              <w:spacing w:before="80"/>
              <w:rPr>
                <w:rFonts w:cs="Arial"/>
                <w:szCs w:val="21"/>
              </w:rPr>
            </w:pPr>
            <w:r>
              <w:rPr>
                <w:rFonts w:cs="Arial"/>
                <w:szCs w:val="21"/>
              </w:rPr>
              <w:t xml:space="preserve">Experience in responding to workplace </w:t>
            </w:r>
            <w:r w:rsidR="007F3542" w:rsidRPr="007577FC">
              <w:rPr>
                <w:rFonts w:cs="Arial"/>
                <w:szCs w:val="21"/>
              </w:rPr>
              <w:t xml:space="preserve">practises to </w:t>
            </w:r>
            <w:r>
              <w:rPr>
                <w:rFonts w:cs="Arial"/>
                <w:szCs w:val="21"/>
              </w:rPr>
              <w:t xml:space="preserve">create </w:t>
            </w:r>
            <w:r w:rsidR="007F3542" w:rsidRPr="007577FC">
              <w:rPr>
                <w:rFonts w:cs="Arial"/>
                <w:szCs w:val="21"/>
              </w:rPr>
              <w:t xml:space="preserve">appropriate change </w:t>
            </w:r>
            <w:r w:rsidR="007F3542">
              <w:rPr>
                <w:rFonts w:cs="Arial"/>
                <w:szCs w:val="21"/>
              </w:rPr>
              <w:t>and maintain or build a positive culture</w:t>
            </w:r>
            <w:r w:rsidR="007F3542" w:rsidRPr="007577FC">
              <w:rPr>
                <w:rFonts w:cs="Arial"/>
                <w:szCs w:val="21"/>
              </w:rPr>
              <w:t>.</w:t>
            </w:r>
            <w:r w:rsidR="007F3542">
              <w:rPr>
                <w:rFonts w:cs="Arial"/>
                <w:szCs w:val="21"/>
              </w:rPr>
              <w:t xml:space="preserve"> </w:t>
            </w:r>
          </w:p>
          <w:p w14:paraId="2A100696" w14:textId="12F53C5C" w:rsidR="007F3542" w:rsidRPr="007577FC" w:rsidRDefault="00230BDE" w:rsidP="00230BDE">
            <w:pPr>
              <w:spacing w:before="80"/>
              <w:rPr>
                <w:rFonts w:cs="Arial"/>
                <w:szCs w:val="21"/>
              </w:rPr>
            </w:pPr>
            <w:r>
              <w:rPr>
                <w:rFonts w:cs="Arial"/>
                <w:szCs w:val="21"/>
              </w:rPr>
              <w:t xml:space="preserve">Experience in </w:t>
            </w:r>
            <w:r w:rsidR="007F3542" w:rsidRPr="007577FC">
              <w:rPr>
                <w:rFonts w:cs="Arial"/>
                <w:szCs w:val="21"/>
              </w:rPr>
              <w:t>conflict resolution and mediation techniques.</w:t>
            </w:r>
            <w:r>
              <w:rPr>
                <w:rFonts w:cs="Arial"/>
                <w:szCs w:val="21"/>
              </w:rPr>
              <w:t xml:space="preserve"> </w:t>
            </w:r>
          </w:p>
          <w:p w14:paraId="063F5889" w14:textId="7FEC3864" w:rsidR="007F3542" w:rsidRPr="007577FC" w:rsidRDefault="007F3542" w:rsidP="00006AA1">
            <w:pPr>
              <w:spacing w:before="80"/>
              <w:rPr>
                <w:rFonts w:cs="Arial"/>
                <w:szCs w:val="21"/>
              </w:rPr>
            </w:pPr>
            <w:r w:rsidRPr="007577FC">
              <w:rPr>
                <w:rFonts w:cs="Arial"/>
                <w:szCs w:val="21"/>
              </w:rPr>
              <w:t>Post-graduate qualifications in human resources management or equivalent</w:t>
            </w:r>
            <w:r w:rsidR="00E514AC">
              <w:rPr>
                <w:rFonts w:cs="Arial"/>
                <w:szCs w:val="21"/>
              </w:rPr>
              <w:t xml:space="preserve"> </w:t>
            </w:r>
            <w:proofErr w:type="gramStart"/>
            <w:r w:rsidR="008240D5">
              <w:rPr>
                <w:rFonts w:cs="Arial"/>
                <w:szCs w:val="21"/>
              </w:rPr>
              <w:t>is</w:t>
            </w:r>
            <w:proofErr w:type="gramEnd"/>
            <w:r w:rsidR="008240D5">
              <w:rPr>
                <w:rFonts w:cs="Arial"/>
                <w:szCs w:val="21"/>
              </w:rPr>
              <w:t xml:space="preserve"> </w:t>
            </w:r>
            <w:r w:rsidR="00E514AC">
              <w:rPr>
                <w:rFonts w:cs="Arial"/>
                <w:szCs w:val="21"/>
              </w:rPr>
              <w:t>desirable</w:t>
            </w:r>
            <w:r w:rsidRPr="007577FC">
              <w:rPr>
                <w:rFonts w:cs="Arial"/>
                <w:szCs w:val="21"/>
              </w:rPr>
              <w:t>.</w:t>
            </w:r>
          </w:p>
          <w:p w14:paraId="47342D2D" w14:textId="77777777" w:rsidR="007F3542" w:rsidRPr="00CC4853" w:rsidRDefault="007F3542" w:rsidP="00006AA1">
            <w:pPr>
              <w:spacing w:before="80"/>
              <w:rPr>
                <w:szCs w:val="21"/>
              </w:rPr>
            </w:pPr>
          </w:p>
        </w:tc>
      </w:tr>
    </w:tbl>
    <w:p w14:paraId="28031369" w14:textId="54E927A0" w:rsidR="007F3542" w:rsidRDefault="007F3542" w:rsidP="007F3542">
      <w:pPr>
        <w:spacing w:after="0" w:line="240" w:lineRule="auto"/>
        <w:rPr>
          <w:rFonts w:eastAsia="MS Gothic" w:cs="Arial"/>
          <w:bCs/>
          <w:color w:val="201547"/>
          <w:kern w:val="32"/>
          <w:sz w:val="44"/>
          <w:szCs w:val="44"/>
        </w:rPr>
      </w:pPr>
    </w:p>
    <w:p w14:paraId="669D70F1" w14:textId="77777777" w:rsidR="00230BDE" w:rsidRDefault="00230BDE">
      <w:pPr>
        <w:spacing w:after="0" w:line="240" w:lineRule="auto"/>
        <w:rPr>
          <w:b/>
          <w:color w:val="53565A"/>
          <w:sz w:val="32"/>
          <w:szCs w:val="28"/>
        </w:rPr>
      </w:pPr>
      <w:r>
        <w:br w:type="page"/>
      </w:r>
    </w:p>
    <w:p w14:paraId="190C593F" w14:textId="0FA20B68" w:rsidR="007F3542" w:rsidRPr="00FD08E4" w:rsidRDefault="007F3542" w:rsidP="007F3542">
      <w:pPr>
        <w:pStyle w:val="Heading2"/>
      </w:pPr>
      <w:bookmarkStart w:id="74" w:name="_Toc149149823"/>
      <w:r w:rsidRPr="00FD08E4">
        <w:lastRenderedPageBreak/>
        <w:t>I</w:t>
      </w:r>
      <w:r>
        <w:t xml:space="preserve">nformation &amp; Communications </w:t>
      </w:r>
      <w:r w:rsidRPr="00FD08E4">
        <w:t>T</w:t>
      </w:r>
      <w:r>
        <w:t>echnology (ICT)</w:t>
      </w:r>
      <w:r w:rsidRPr="00FD08E4">
        <w:t xml:space="preserve"> Strategy and Governance</w:t>
      </w:r>
      <w:bookmarkEnd w:id="74"/>
    </w:p>
    <w:p w14:paraId="09C87EE9" w14:textId="77777777" w:rsidR="007F3542" w:rsidRDefault="007F3542" w:rsidP="007F3542">
      <w:pPr>
        <w:pStyle w:val="Body"/>
      </w:pPr>
    </w:p>
    <w:tbl>
      <w:tblPr>
        <w:tblStyle w:val="TableGrid"/>
        <w:tblW w:w="5000" w:type="pct"/>
        <w:tblLook w:val="06A0" w:firstRow="1" w:lastRow="0" w:firstColumn="1" w:lastColumn="0" w:noHBand="1" w:noVBand="1"/>
      </w:tblPr>
      <w:tblGrid>
        <w:gridCol w:w="4664"/>
        <w:gridCol w:w="3204"/>
        <w:gridCol w:w="3204"/>
        <w:gridCol w:w="3204"/>
      </w:tblGrid>
      <w:tr w:rsidR="007F3542" w14:paraId="1B205D39" w14:textId="77777777" w:rsidTr="00006AA1">
        <w:trPr>
          <w:tblHeader/>
        </w:trPr>
        <w:tc>
          <w:tcPr>
            <w:tcW w:w="1634" w:type="pct"/>
          </w:tcPr>
          <w:p w14:paraId="6BB96CE2" w14:textId="77777777" w:rsidR="007F3542" w:rsidRPr="005C252D" w:rsidRDefault="007F3542" w:rsidP="00987BFC">
            <w:pPr>
              <w:pStyle w:val="Tablecolhead"/>
              <w:rPr>
                <w:sz w:val="24"/>
                <w:szCs w:val="24"/>
              </w:rPr>
            </w:pPr>
            <w:r w:rsidRPr="005C252D">
              <w:rPr>
                <w:sz w:val="24"/>
                <w:szCs w:val="24"/>
              </w:rPr>
              <w:t>Capability description</w:t>
            </w:r>
          </w:p>
        </w:tc>
        <w:tc>
          <w:tcPr>
            <w:tcW w:w="1122" w:type="pct"/>
          </w:tcPr>
          <w:p w14:paraId="43931BCD" w14:textId="77777777" w:rsidR="007F3542" w:rsidRPr="005C252D" w:rsidRDefault="007F3542" w:rsidP="00006AA1">
            <w:pPr>
              <w:pStyle w:val="Tablecolhead"/>
              <w:rPr>
                <w:sz w:val="24"/>
                <w:szCs w:val="24"/>
              </w:rPr>
            </w:pPr>
            <w:r w:rsidRPr="005C252D">
              <w:rPr>
                <w:sz w:val="24"/>
                <w:szCs w:val="24"/>
              </w:rPr>
              <w:t>Foundational</w:t>
            </w:r>
          </w:p>
        </w:tc>
        <w:tc>
          <w:tcPr>
            <w:tcW w:w="1122" w:type="pct"/>
          </w:tcPr>
          <w:p w14:paraId="7D9E717E" w14:textId="77777777" w:rsidR="007F3542" w:rsidRPr="005C252D" w:rsidRDefault="007F3542" w:rsidP="00006AA1">
            <w:pPr>
              <w:pStyle w:val="Tablecolhead"/>
              <w:rPr>
                <w:sz w:val="24"/>
                <w:szCs w:val="24"/>
              </w:rPr>
            </w:pPr>
            <w:r w:rsidRPr="005C252D">
              <w:rPr>
                <w:sz w:val="24"/>
                <w:szCs w:val="24"/>
              </w:rPr>
              <w:t>Proficient</w:t>
            </w:r>
          </w:p>
        </w:tc>
        <w:tc>
          <w:tcPr>
            <w:tcW w:w="1122" w:type="pct"/>
          </w:tcPr>
          <w:p w14:paraId="4274EFCD" w14:textId="77777777" w:rsidR="007F3542" w:rsidRPr="005C252D" w:rsidRDefault="007F3542" w:rsidP="00006AA1">
            <w:pPr>
              <w:pStyle w:val="Tablecolhead"/>
              <w:rPr>
                <w:sz w:val="24"/>
                <w:szCs w:val="24"/>
              </w:rPr>
            </w:pPr>
            <w:r w:rsidRPr="005C252D">
              <w:rPr>
                <w:sz w:val="24"/>
                <w:szCs w:val="24"/>
              </w:rPr>
              <w:t>Advanced</w:t>
            </w:r>
          </w:p>
        </w:tc>
      </w:tr>
      <w:tr w:rsidR="007F3542" w:rsidRPr="00CC4853" w14:paraId="29D26FC8" w14:textId="77777777" w:rsidTr="00006AA1">
        <w:tc>
          <w:tcPr>
            <w:tcW w:w="1634" w:type="pct"/>
          </w:tcPr>
          <w:p w14:paraId="43A50DB4" w14:textId="10993016" w:rsidR="007F3542" w:rsidRDefault="007F3542" w:rsidP="007F3542">
            <w:pPr>
              <w:numPr>
                <w:ilvl w:val="0"/>
                <w:numId w:val="15"/>
              </w:numPr>
              <w:spacing w:before="80" w:line="240" w:lineRule="auto"/>
              <w:ind w:left="426" w:hanging="426"/>
              <w:rPr>
                <w:rFonts w:eastAsia="Times"/>
                <w:szCs w:val="21"/>
              </w:rPr>
            </w:pPr>
            <w:r>
              <w:rPr>
                <w:rFonts w:eastAsia="Times"/>
                <w:szCs w:val="21"/>
              </w:rPr>
              <w:t>Experience</w:t>
            </w:r>
            <w:r w:rsidRPr="00607912">
              <w:rPr>
                <w:rFonts w:eastAsia="Times"/>
                <w:szCs w:val="21"/>
              </w:rPr>
              <w:t xml:space="preserve"> in managing information and communications technology</w:t>
            </w:r>
            <w:r w:rsidR="00230BDE">
              <w:rPr>
                <w:rFonts w:eastAsia="Times"/>
                <w:szCs w:val="21"/>
              </w:rPr>
              <w:t xml:space="preserve"> (ICT)</w:t>
            </w:r>
            <w:r w:rsidRPr="00607912">
              <w:rPr>
                <w:rFonts w:eastAsia="Times"/>
                <w:szCs w:val="21"/>
              </w:rPr>
              <w:t xml:space="preserve">, </w:t>
            </w:r>
            <w:r>
              <w:rPr>
                <w:rFonts w:eastAsia="Times"/>
                <w:szCs w:val="21"/>
              </w:rPr>
              <w:t xml:space="preserve">including </w:t>
            </w:r>
            <w:r w:rsidRPr="00607912">
              <w:rPr>
                <w:rFonts w:eastAsia="Times"/>
                <w:szCs w:val="21"/>
              </w:rPr>
              <w:t xml:space="preserve">oversight of </w:t>
            </w:r>
            <w:r>
              <w:rPr>
                <w:rFonts w:eastAsia="Times"/>
                <w:szCs w:val="21"/>
              </w:rPr>
              <w:t xml:space="preserve">major </w:t>
            </w:r>
            <w:r w:rsidRPr="00607912">
              <w:rPr>
                <w:rFonts w:eastAsia="Times"/>
                <w:szCs w:val="21"/>
              </w:rPr>
              <w:t>programmes</w:t>
            </w:r>
            <w:r>
              <w:rPr>
                <w:rFonts w:eastAsia="Times"/>
                <w:szCs w:val="21"/>
              </w:rPr>
              <w:t xml:space="preserve">. </w:t>
            </w:r>
          </w:p>
          <w:p w14:paraId="2E0B7C7F" w14:textId="243C4253" w:rsidR="007F3542" w:rsidRDefault="00230BDE" w:rsidP="007F3542">
            <w:pPr>
              <w:numPr>
                <w:ilvl w:val="0"/>
                <w:numId w:val="15"/>
              </w:numPr>
              <w:spacing w:before="80" w:line="240" w:lineRule="auto"/>
              <w:ind w:left="426" w:hanging="426"/>
              <w:rPr>
                <w:rFonts w:eastAsia="Times"/>
                <w:szCs w:val="21"/>
              </w:rPr>
            </w:pPr>
            <w:r>
              <w:rPr>
                <w:rFonts w:eastAsia="Times"/>
                <w:szCs w:val="21"/>
              </w:rPr>
              <w:t>Understands</w:t>
            </w:r>
            <w:r w:rsidR="007F3542" w:rsidRPr="00607912">
              <w:rPr>
                <w:rFonts w:eastAsia="Times"/>
                <w:szCs w:val="21"/>
              </w:rPr>
              <w:t xml:space="preserve"> </w:t>
            </w:r>
            <w:r w:rsidR="007F3542">
              <w:rPr>
                <w:rFonts w:eastAsia="Times"/>
                <w:szCs w:val="21"/>
              </w:rPr>
              <w:t>information and technology</w:t>
            </w:r>
            <w:r w:rsidR="007F3542" w:rsidRPr="00607912">
              <w:rPr>
                <w:rFonts w:eastAsia="Times"/>
                <w:szCs w:val="21"/>
              </w:rPr>
              <w:t xml:space="preserve"> governance, including privacy, data management and security (including cybersecurity).</w:t>
            </w:r>
          </w:p>
          <w:p w14:paraId="7DE5B672" w14:textId="75B03920" w:rsidR="00332C40" w:rsidRPr="00607912" w:rsidRDefault="00332C40" w:rsidP="00332C40">
            <w:pPr>
              <w:numPr>
                <w:ilvl w:val="0"/>
                <w:numId w:val="15"/>
              </w:numPr>
              <w:spacing w:before="80" w:line="240" w:lineRule="auto"/>
              <w:ind w:left="426" w:hanging="426"/>
              <w:rPr>
                <w:rFonts w:eastAsia="Times"/>
                <w:szCs w:val="21"/>
              </w:rPr>
            </w:pPr>
            <w:r>
              <w:rPr>
                <w:rFonts w:eastAsia="Times"/>
                <w:szCs w:val="21"/>
              </w:rPr>
              <w:t>Knowledge of legal, regulatory</w:t>
            </w:r>
            <w:r w:rsidR="00AD1C35">
              <w:rPr>
                <w:rFonts w:eastAsia="Times"/>
                <w:szCs w:val="21"/>
              </w:rPr>
              <w:t>,</w:t>
            </w:r>
            <w:r>
              <w:rPr>
                <w:rFonts w:eastAsia="Times"/>
                <w:szCs w:val="21"/>
              </w:rPr>
              <w:t xml:space="preserve"> and policy frameworks. </w:t>
            </w:r>
          </w:p>
          <w:p w14:paraId="09B3E044" w14:textId="77777777" w:rsidR="007F3542" w:rsidRPr="000D3FE5" w:rsidRDefault="007F3542" w:rsidP="007F3542">
            <w:pPr>
              <w:numPr>
                <w:ilvl w:val="0"/>
                <w:numId w:val="15"/>
              </w:numPr>
              <w:spacing w:before="80" w:line="240" w:lineRule="auto"/>
              <w:ind w:left="426" w:hanging="426"/>
              <w:rPr>
                <w:rFonts w:eastAsia="Times"/>
                <w:szCs w:val="21"/>
              </w:rPr>
            </w:pPr>
            <w:r w:rsidRPr="000D3FE5">
              <w:rPr>
                <w:rFonts w:eastAsia="Times"/>
                <w:szCs w:val="21"/>
              </w:rPr>
              <w:t>Desirable experience would include be</w:t>
            </w:r>
            <w:r>
              <w:rPr>
                <w:rFonts w:eastAsia="Times"/>
                <w:szCs w:val="21"/>
              </w:rPr>
              <w:t>ing</w:t>
            </w:r>
            <w:r w:rsidRPr="000D3FE5">
              <w:rPr>
                <w:rFonts w:eastAsia="Times"/>
                <w:szCs w:val="21"/>
              </w:rPr>
              <w:t xml:space="preserve"> involved in the oversight, development, rollout and/or maintenance of enterprise systems (for example relating to records management), digital strategies, and security infrastructure.</w:t>
            </w:r>
            <w:r>
              <w:rPr>
                <w:rFonts w:eastAsia="Times"/>
                <w:szCs w:val="21"/>
              </w:rPr>
              <w:t xml:space="preserve"> </w:t>
            </w:r>
          </w:p>
        </w:tc>
        <w:tc>
          <w:tcPr>
            <w:tcW w:w="1122" w:type="pct"/>
          </w:tcPr>
          <w:p w14:paraId="54AF5928" w14:textId="32AC4A02" w:rsidR="007F3542" w:rsidRPr="007577FC" w:rsidRDefault="00230BDE" w:rsidP="00006AA1">
            <w:pPr>
              <w:spacing w:before="80"/>
              <w:rPr>
                <w:rFonts w:cs="Arial"/>
                <w:szCs w:val="21"/>
              </w:rPr>
            </w:pPr>
            <w:r>
              <w:rPr>
                <w:rFonts w:cs="Arial"/>
                <w:szCs w:val="21"/>
              </w:rPr>
              <w:t>A</w:t>
            </w:r>
            <w:r w:rsidR="007F3542" w:rsidRPr="007577FC">
              <w:rPr>
                <w:rFonts w:cs="Arial"/>
                <w:szCs w:val="21"/>
              </w:rPr>
              <w:t xml:space="preserve">ble to identify the organisation’s </w:t>
            </w:r>
            <w:r>
              <w:rPr>
                <w:rFonts w:cs="Arial"/>
                <w:szCs w:val="21"/>
              </w:rPr>
              <w:t>ICT</w:t>
            </w:r>
            <w:r w:rsidRPr="007577FC">
              <w:rPr>
                <w:rFonts w:cs="Arial"/>
                <w:szCs w:val="21"/>
              </w:rPr>
              <w:t xml:space="preserve"> </w:t>
            </w:r>
            <w:r w:rsidR="007F3542" w:rsidRPr="007577FC">
              <w:rPr>
                <w:rFonts w:cs="Arial"/>
                <w:szCs w:val="21"/>
              </w:rPr>
              <w:t>risks</w:t>
            </w:r>
            <w:r>
              <w:rPr>
                <w:rFonts w:cs="Arial"/>
                <w:szCs w:val="21"/>
              </w:rPr>
              <w:t xml:space="preserve"> and opportunities</w:t>
            </w:r>
            <w:r w:rsidR="007F3542" w:rsidRPr="007577FC">
              <w:rPr>
                <w:rFonts w:cs="Arial"/>
                <w:szCs w:val="21"/>
              </w:rPr>
              <w:t>.</w:t>
            </w:r>
          </w:p>
          <w:p w14:paraId="74850992" w14:textId="612A8065" w:rsidR="007F3542" w:rsidRPr="007577FC" w:rsidRDefault="007F3542" w:rsidP="00006AA1">
            <w:pPr>
              <w:spacing w:before="80"/>
              <w:rPr>
                <w:rFonts w:cs="Arial"/>
                <w:szCs w:val="21"/>
              </w:rPr>
            </w:pPr>
            <w:r w:rsidRPr="007577FC">
              <w:rPr>
                <w:rFonts w:cs="Arial"/>
                <w:szCs w:val="21"/>
              </w:rPr>
              <w:t>Understan</w:t>
            </w:r>
            <w:r w:rsidR="00950262">
              <w:rPr>
                <w:rFonts w:cs="Arial"/>
                <w:szCs w:val="21"/>
              </w:rPr>
              <w:t>d</w:t>
            </w:r>
            <w:r w:rsidR="00CE1F98">
              <w:rPr>
                <w:rFonts w:cs="Arial"/>
                <w:szCs w:val="21"/>
              </w:rPr>
              <w:t>ing</w:t>
            </w:r>
            <w:r w:rsidRPr="007577FC">
              <w:rPr>
                <w:rFonts w:cs="Arial"/>
                <w:szCs w:val="21"/>
              </w:rPr>
              <w:t xml:space="preserve"> of the relevant enabling legislation including </w:t>
            </w:r>
            <w:r w:rsidRPr="00953138">
              <w:rPr>
                <w:rFonts w:cs="Arial"/>
                <w:i/>
                <w:iCs/>
                <w:szCs w:val="21"/>
              </w:rPr>
              <w:t>Privacy and Data Protection Act 2014</w:t>
            </w:r>
            <w:r w:rsidR="0002761A">
              <w:rPr>
                <w:rFonts w:cs="Arial"/>
                <w:i/>
                <w:iCs/>
                <w:szCs w:val="21"/>
              </w:rPr>
              <w:t xml:space="preserve"> (Vic)</w:t>
            </w:r>
            <w:r w:rsidR="00950262">
              <w:rPr>
                <w:rFonts w:cs="Arial"/>
                <w:i/>
                <w:iCs/>
                <w:szCs w:val="21"/>
              </w:rPr>
              <w:t xml:space="preserve"> </w:t>
            </w:r>
            <w:r w:rsidR="00950262" w:rsidRPr="00C064A6">
              <w:rPr>
                <w:rFonts w:cs="Arial"/>
                <w:szCs w:val="21"/>
              </w:rPr>
              <w:t>and</w:t>
            </w:r>
            <w:r w:rsidR="00950262">
              <w:rPr>
                <w:rFonts w:cs="Arial"/>
                <w:i/>
                <w:iCs/>
                <w:szCs w:val="21"/>
              </w:rPr>
              <w:t xml:space="preserve"> Health Records Act</w:t>
            </w:r>
            <w:r w:rsidR="0002761A">
              <w:rPr>
                <w:rFonts w:cs="Arial"/>
                <w:i/>
                <w:iCs/>
                <w:szCs w:val="21"/>
              </w:rPr>
              <w:t xml:space="preserve"> 2001 (Vic)</w:t>
            </w:r>
          </w:p>
          <w:p w14:paraId="0AEE3C24" w14:textId="2940F58C" w:rsidR="007F3542" w:rsidRPr="007577FC" w:rsidRDefault="007F3542" w:rsidP="00006AA1">
            <w:pPr>
              <w:spacing w:before="80"/>
              <w:rPr>
                <w:rFonts w:cs="Arial"/>
                <w:szCs w:val="21"/>
              </w:rPr>
            </w:pPr>
            <w:r w:rsidRPr="007577FC">
              <w:rPr>
                <w:rFonts w:cs="Arial"/>
                <w:szCs w:val="21"/>
              </w:rPr>
              <w:t xml:space="preserve">Awareness of the systems </w:t>
            </w:r>
            <w:r w:rsidR="00230BDE">
              <w:rPr>
                <w:rFonts w:cs="Arial"/>
                <w:szCs w:val="21"/>
              </w:rPr>
              <w:t xml:space="preserve">and processes </w:t>
            </w:r>
            <w:r w:rsidRPr="007577FC">
              <w:rPr>
                <w:rFonts w:cs="Arial"/>
                <w:szCs w:val="21"/>
              </w:rPr>
              <w:t xml:space="preserve">to protect patient </w:t>
            </w:r>
            <w:r>
              <w:rPr>
                <w:rFonts w:cs="Arial"/>
                <w:szCs w:val="21"/>
              </w:rPr>
              <w:t xml:space="preserve">and staff </w:t>
            </w:r>
            <w:r w:rsidRPr="007577FC">
              <w:rPr>
                <w:rFonts w:cs="Arial"/>
                <w:szCs w:val="21"/>
              </w:rPr>
              <w:t xml:space="preserve">privacy and </w:t>
            </w:r>
            <w:r w:rsidR="00230BDE">
              <w:rPr>
                <w:rFonts w:cs="Arial"/>
                <w:szCs w:val="21"/>
              </w:rPr>
              <w:t>confidentiality</w:t>
            </w:r>
            <w:r w:rsidRPr="007577FC">
              <w:rPr>
                <w:rFonts w:cs="Arial"/>
                <w:szCs w:val="21"/>
              </w:rPr>
              <w:t>.</w:t>
            </w:r>
            <w:r w:rsidR="00230BDE">
              <w:rPr>
                <w:rFonts w:cs="Arial"/>
                <w:szCs w:val="21"/>
              </w:rPr>
              <w:t xml:space="preserve"> </w:t>
            </w:r>
          </w:p>
          <w:p w14:paraId="7085D963" w14:textId="77777777" w:rsidR="007F3542" w:rsidRPr="00556670" w:rsidRDefault="007F3542" w:rsidP="00006AA1">
            <w:pPr>
              <w:spacing w:before="80"/>
              <w:rPr>
                <w:szCs w:val="21"/>
              </w:rPr>
            </w:pPr>
          </w:p>
        </w:tc>
        <w:tc>
          <w:tcPr>
            <w:tcW w:w="1122" w:type="pct"/>
          </w:tcPr>
          <w:p w14:paraId="59F1A087" w14:textId="3C18BD46" w:rsidR="007F3542" w:rsidRPr="007577FC" w:rsidRDefault="007F3542" w:rsidP="00006AA1">
            <w:pPr>
              <w:spacing w:before="80"/>
              <w:rPr>
                <w:rFonts w:cs="Arial"/>
                <w:szCs w:val="21"/>
              </w:rPr>
            </w:pPr>
            <w:r>
              <w:rPr>
                <w:rFonts w:cs="Arial"/>
                <w:szCs w:val="21"/>
              </w:rPr>
              <w:t>Experience</w:t>
            </w:r>
            <w:r w:rsidRPr="007577FC">
              <w:rPr>
                <w:rFonts w:cs="Arial"/>
                <w:szCs w:val="21"/>
              </w:rPr>
              <w:t xml:space="preserve"> in</w:t>
            </w:r>
            <w:r>
              <w:rPr>
                <w:rFonts w:cs="Arial"/>
                <w:szCs w:val="21"/>
              </w:rPr>
              <w:t xml:space="preserve"> leading</w:t>
            </w:r>
            <w:r w:rsidRPr="007577FC">
              <w:rPr>
                <w:rFonts w:cs="Arial"/>
                <w:szCs w:val="21"/>
              </w:rPr>
              <w:t xml:space="preserve"> </w:t>
            </w:r>
            <w:r>
              <w:rPr>
                <w:rFonts w:cs="Arial"/>
                <w:szCs w:val="21"/>
              </w:rPr>
              <w:t xml:space="preserve">major </w:t>
            </w:r>
            <w:r w:rsidRPr="007577FC">
              <w:rPr>
                <w:rFonts w:cs="Arial"/>
                <w:szCs w:val="21"/>
              </w:rPr>
              <w:t>ICT projects</w:t>
            </w:r>
            <w:r w:rsidR="00332C40">
              <w:rPr>
                <w:rFonts w:cs="Arial"/>
                <w:szCs w:val="21"/>
              </w:rPr>
              <w:t xml:space="preserve">. </w:t>
            </w:r>
            <w:r w:rsidRPr="007577FC">
              <w:rPr>
                <w:rFonts w:cs="Arial"/>
                <w:szCs w:val="21"/>
              </w:rPr>
              <w:t xml:space="preserve"> </w:t>
            </w:r>
          </w:p>
          <w:p w14:paraId="40FBD408" w14:textId="36C93681" w:rsidR="007F3542" w:rsidRPr="007577FC" w:rsidRDefault="00332C40" w:rsidP="00006AA1">
            <w:pPr>
              <w:spacing w:before="80"/>
              <w:rPr>
                <w:rFonts w:cs="Arial"/>
                <w:szCs w:val="21"/>
              </w:rPr>
            </w:pPr>
            <w:r>
              <w:rPr>
                <w:rFonts w:cs="Arial"/>
                <w:szCs w:val="21"/>
              </w:rPr>
              <w:t>U</w:t>
            </w:r>
            <w:r w:rsidR="007F3542">
              <w:rPr>
                <w:rFonts w:cs="Arial"/>
                <w:szCs w:val="21"/>
              </w:rPr>
              <w:t>nderstand</w:t>
            </w:r>
            <w:r>
              <w:rPr>
                <w:rFonts w:cs="Arial"/>
                <w:szCs w:val="21"/>
              </w:rPr>
              <w:t>s</w:t>
            </w:r>
            <w:r w:rsidR="007F3542">
              <w:rPr>
                <w:rFonts w:cs="Arial"/>
                <w:szCs w:val="21"/>
              </w:rPr>
              <w:t xml:space="preserve"> health</w:t>
            </w:r>
            <w:r w:rsidR="00AD3EF5">
              <w:rPr>
                <w:rFonts w:cs="Arial"/>
                <w:szCs w:val="21"/>
              </w:rPr>
              <w:t>-</w:t>
            </w:r>
            <w:r w:rsidR="007F3542">
              <w:rPr>
                <w:rFonts w:cs="Arial"/>
                <w:szCs w:val="21"/>
              </w:rPr>
              <w:t>related IT systems</w:t>
            </w:r>
            <w:r>
              <w:rPr>
                <w:rFonts w:cs="Arial"/>
                <w:szCs w:val="21"/>
              </w:rPr>
              <w:t>,</w:t>
            </w:r>
            <w:r w:rsidR="007F3542">
              <w:rPr>
                <w:rFonts w:cs="Arial"/>
                <w:szCs w:val="21"/>
              </w:rPr>
              <w:t xml:space="preserve"> such </w:t>
            </w:r>
            <w:r>
              <w:rPr>
                <w:rFonts w:cs="Arial"/>
                <w:szCs w:val="21"/>
              </w:rPr>
              <w:t xml:space="preserve">as </w:t>
            </w:r>
            <w:r w:rsidR="007F3542">
              <w:rPr>
                <w:rFonts w:cs="Arial"/>
                <w:szCs w:val="21"/>
              </w:rPr>
              <w:t xml:space="preserve">electronic medical records and telemedicine. </w:t>
            </w:r>
          </w:p>
          <w:p w14:paraId="2374339C" w14:textId="32D73BB7" w:rsidR="007F3542" w:rsidRDefault="00332C40" w:rsidP="00006AA1">
            <w:pPr>
              <w:spacing w:before="80"/>
              <w:rPr>
                <w:rFonts w:cs="Arial"/>
                <w:szCs w:val="21"/>
              </w:rPr>
            </w:pPr>
            <w:r>
              <w:rPr>
                <w:rFonts w:cs="Arial"/>
                <w:szCs w:val="21"/>
              </w:rPr>
              <w:t>Knowledge</w:t>
            </w:r>
            <w:r w:rsidR="007F3542" w:rsidRPr="007577FC">
              <w:rPr>
                <w:rFonts w:cs="Arial"/>
                <w:szCs w:val="21"/>
              </w:rPr>
              <w:t xml:space="preserve"> of national and </w:t>
            </w:r>
            <w:r>
              <w:rPr>
                <w:rFonts w:cs="Arial"/>
                <w:szCs w:val="21"/>
              </w:rPr>
              <w:t>Victorian</w:t>
            </w:r>
            <w:r w:rsidRPr="007577FC">
              <w:rPr>
                <w:rFonts w:cs="Arial"/>
                <w:szCs w:val="21"/>
              </w:rPr>
              <w:t xml:space="preserve"> </w:t>
            </w:r>
            <w:r w:rsidR="007F3542" w:rsidRPr="007577FC">
              <w:rPr>
                <w:rFonts w:cs="Arial"/>
                <w:szCs w:val="21"/>
              </w:rPr>
              <w:t>digital health polic</w:t>
            </w:r>
            <w:r>
              <w:rPr>
                <w:rFonts w:cs="Arial"/>
                <w:szCs w:val="21"/>
              </w:rPr>
              <w:t>i</w:t>
            </w:r>
            <w:r w:rsidR="007F3542" w:rsidRPr="007577FC">
              <w:rPr>
                <w:rFonts w:cs="Arial"/>
                <w:szCs w:val="21"/>
              </w:rPr>
              <w:t xml:space="preserve">es and </w:t>
            </w:r>
            <w:r>
              <w:rPr>
                <w:rFonts w:cs="Arial"/>
                <w:szCs w:val="21"/>
              </w:rPr>
              <w:t>regulatory frameworks</w:t>
            </w:r>
            <w:r w:rsidR="007F3542" w:rsidRPr="007577FC">
              <w:rPr>
                <w:rFonts w:cs="Arial"/>
                <w:szCs w:val="21"/>
              </w:rPr>
              <w:t>.</w:t>
            </w:r>
          </w:p>
          <w:p w14:paraId="340581D2" w14:textId="2542F314" w:rsidR="00332C40" w:rsidRPr="007577FC" w:rsidRDefault="00332C40" w:rsidP="00006AA1">
            <w:pPr>
              <w:spacing w:before="80"/>
              <w:rPr>
                <w:rFonts w:cs="Arial"/>
                <w:szCs w:val="21"/>
              </w:rPr>
            </w:pPr>
            <w:r>
              <w:rPr>
                <w:rFonts w:cs="Arial"/>
                <w:szCs w:val="21"/>
              </w:rPr>
              <w:t xml:space="preserve">Experience applying organisational </w:t>
            </w:r>
            <w:r w:rsidRPr="007577FC">
              <w:rPr>
                <w:rFonts w:cs="Arial"/>
                <w:szCs w:val="21"/>
              </w:rPr>
              <w:t>digital health</w:t>
            </w:r>
            <w:r>
              <w:rPr>
                <w:rFonts w:cs="Arial"/>
                <w:szCs w:val="21"/>
              </w:rPr>
              <w:t xml:space="preserve"> policies. </w:t>
            </w:r>
          </w:p>
          <w:p w14:paraId="03BA5C6C" w14:textId="180D00FD" w:rsidR="007F3542" w:rsidRPr="007577FC" w:rsidRDefault="007F3542" w:rsidP="00006AA1">
            <w:pPr>
              <w:spacing w:before="80"/>
              <w:rPr>
                <w:rFonts w:cs="Arial"/>
                <w:szCs w:val="21"/>
              </w:rPr>
            </w:pPr>
            <w:r w:rsidRPr="007577FC">
              <w:rPr>
                <w:rFonts w:cs="Arial"/>
                <w:szCs w:val="21"/>
              </w:rPr>
              <w:t>Diploma or undergraduate degree in computer science, IT or equivalent</w:t>
            </w:r>
            <w:r>
              <w:rPr>
                <w:rFonts w:cs="Arial"/>
                <w:szCs w:val="21"/>
              </w:rPr>
              <w:t xml:space="preserve"> </w:t>
            </w:r>
            <w:r w:rsidR="004332C4">
              <w:rPr>
                <w:rFonts w:cs="Arial"/>
                <w:szCs w:val="21"/>
              </w:rPr>
              <w:t xml:space="preserve">is </w:t>
            </w:r>
            <w:r>
              <w:rPr>
                <w:rFonts w:cs="Arial"/>
                <w:szCs w:val="21"/>
              </w:rPr>
              <w:t>desirable</w:t>
            </w:r>
            <w:r w:rsidRPr="007577FC">
              <w:rPr>
                <w:rFonts w:cs="Arial"/>
                <w:szCs w:val="21"/>
              </w:rPr>
              <w:t xml:space="preserve">. </w:t>
            </w:r>
          </w:p>
          <w:p w14:paraId="1F785202" w14:textId="77777777" w:rsidR="007F3542" w:rsidRPr="00556670" w:rsidRDefault="007F3542" w:rsidP="00006AA1">
            <w:pPr>
              <w:spacing w:before="80"/>
              <w:rPr>
                <w:szCs w:val="21"/>
              </w:rPr>
            </w:pPr>
          </w:p>
        </w:tc>
        <w:tc>
          <w:tcPr>
            <w:tcW w:w="1122" w:type="pct"/>
          </w:tcPr>
          <w:p w14:paraId="65EEE819" w14:textId="45EB9B10" w:rsidR="007F3542" w:rsidRPr="007577FC" w:rsidRDefault="00332C40" w:rsidP="00006AA1">
            <w:pPr>
              <w:spacing w:before="80"/>
              <w:rPr>
                <w:rFonts w:cs="Arial"/>
                <w:szCs w:val="21"/>
              </w:rPr>
            </w:pPr>
            <w:r>
              <w:rPr>
                <w:rFonts w:cs="Arial"/>
                <w:szCs w:val="21"/>
              </w:rPr>
              <w:t xml:space="preserve">Experience in leading </w:t>
            </w:r>
            <w:r w:rsidR="007F3542">
              <w:rPr>
                <w:rFonts w:cs="Arial"/>
                <w:szCs w:val="21"/>
              </w:rPr>
              <w:t xml:space="preserve">complex </w:t>
            </w:r>
            <w:r w:rsidR="007F3542" w:rsidRPr="007577FC">
              <w:rPr>
                <w:rFonts w:cs="Arial"/>
                <w:szCs w:val="21"/>
              </w:rPr>
              <w:t>ICT projects with a health</w:t>
            </w:r>
            <w:r w:rsidR="00C525B9">
              <w:rPr>
                <w:rFonts w:cs="Arial"/>
                <w:szCs w:val="21"/>
              </w:rPr>
              <w:t xml:space="preserve"> </w:t>
            </w:r>
            <w:r w:rsidR="007F3542" w:rsidRPr="007577FC">
              <w:rPr>
                <w:rFonts w:cs="Arial"/>
                <w:szCs w:val="21"/>
              </w:rPr>
              <w:t>focus</w:t>
            </w:r>
            <w:r w:rsidR="007F3542">
              <w:rPr>
                <w:rFonts w:cs="Arial"/>
                <w:szCs w:val="21"/>
              </w:rPr>
              <w:t xml:space="preserve"> such as </w:t>
            </w:r>
            <w:r w:rsidR="007F3542" w:rsidRPr="007577FC">
              <w:rPr>
                <w:rFonts w:cs="Arial"/>
                <w:szCs w:val="21"/>
              </w:rPr>
              <w:t xml:space="preserve">electronic medical records system, digital health interoperability. </w:t>
            </w:r>
          </w:p>
          <w:p w14:paraId="6A24BE13" w14:textId="61620F55" w:rsidR="007F3542" w:rsidRPr="007577FC" w:rsidRDefault="00332C40" w:rsidP="00332C40">
            <w:pPr>
              <w:spacing w:before="80"/>
              <w:rPr>
                <w:rFonts w:cs="Arial"/>
                <w:szCs w:val="21"/>
              </w:rPr>
            </w:pPr>
            <w:r>
              <w:rPr>
                <w:rFonts w:cs="Arial"/>
                <w:szCs w:val="21"/>
              </w:rPr>
              <w:t xml:space="preserve">Experience </w:t>
            </w:r>
            <w:r w:rsidR="007F3542">
              <w:rPr>
                <w:rFonts w:cs="Arial"/>
                <w:szCs w:val="21"/>
              </w:rPr>
              <w:t>manag</w:t>
            </w:r>
            <w:r>
              <w:rPr>
                <w:rFonts w:cs="Arial"/>
                <w:szCs w:val="21"/>
              </w:rPr>
              <w:t xml:space="preserve">ing </w:t>
            </w:r>
            <w:r w:rsidR="007F3542" w:rsidRPr="007577FC">
              <w:rPr>
                <w:rFonts w:cs="Arial"/>
                <w:szCs w:val="21"/>
              </w:rPr>
              <w:t xml:space="preserve">investment in alignment to the digital health strategy. </w:t>
            </w:r>
          </w:p>
          <w:p w14:paraId="00D1FB62" w14:textId="20158ED5" w:rsidR="007F3542" w:rsidRPr="007577FC" w:rsidRDefault="00332C40" w:rsidP="00006AA1">
            <w:pPr>
              <w:spacing w:before="80"/>
              <w:rPr>
                <w:rFonts w:cs="Arial"/>
                <w:szCs w:val="21"/>
              </w:rPr>
            </w:pPr>
            <w:r>
              <w:rPr>
                <w:rFonts w:cs="Arial"/>
                <w:szCs w:val="21"/>
              </w:rPr>
              <w:t>Able to assess and respond t</w:t>
            </w:r>
            <w:r w:rsidR="007F3542" w:rsidRPr="007577FC">
              <w:rPr>
                <w:rFonts w:cs="Arial"/>
                <w:szCs w:val="21"/>
              </w:rPr>
              <w:t xml:space="preserve">o ICT </w:t>
            </w:r>
            <w:r>
              <w:rPr>
                <w:rFonts w:cs="Arial"/>
                <w:szCs w:val="21"/>
              </w:rPr>
              <w:t>s</w:t>
            </w:r>
            <w:r w:rsidR="007F3542" w:rsidRPr="007577FC">
              <w:rPr>
                <w:rFonts w:cs="Arial"/>
                <w:szCs w:val="21"/>
              </w:rPr>
              <w:t xml:space="preserve">trategy and </w:t>
            </w:r>
            <w:r>
              <w:rPr>
                <w:rFonts w:cs="Arial"/>
                <w:szCs w:val="21"/>
              </w:rPr>
              <w:t>g</w:t>
            </w:r>
            <w:r w:rsidR="007F3542" w:rsidRPr="007577FC">
              <w:rPr>
                <w:rFonts w:cs="Arial"/>
                <w:szCs w:val="21"/>
              </w:rPr>
              <w:t>overnance</w:t>
            </w:r>
            <w:r>
              <w:rPr>
                <w:rFonts w:cs="Arial"/>
                <w:szCs w:val="21"/>
              </w:rPr>
              <w:t xml:space="preserve"> issues</w:t>
            </w:r>
            <w:r w:rsidR="007F3542" w:rsidRPr="007577FC">
              <w:rPr>
                <w:rFonts w:cs="Arial"/>
                <w:szCs w:val="21"/>
              </w:rPr>
              <w:t>.</w:t>
            </w:r>
            <w:r>
              <w:rPr>
                <w:rFonts w:cs="Arial"/>
                <w:szCs w:val="21"/>
              </w:rPr>
              <w:t xml:space="preserve"> </w:t>
            </w:r>
          </w:p>
          <w:p w14:paraId="76CA84F3" w14:textId="74A026FA" w:rsidR="007F3542" w:rsidRDefault="00332C40" w:rsidP="00006AA1">
            <w:pPr>
              <w:spacing w:before="80"/>
              <w:rPr>
                <w:rFonts w:cs="Arial"/>
                <w:szCs w:val="21"/>
              </w:rPr>
            </w:pPr>
            <w:r>
              <w:rPr>
                <w:rFonts w:cs="Arial"/>
                <w:szCs w:val="21"/>
              </w:rPr>
              <w:t>Experience in l</w:t>
            </w:r>
            <w:r w:rsidR="007F3542" w:rsidRPr="007577FC">
              <w:rPr>
                <w:rFonts w:cs="Arial"/>
                <w:szCs w:val="21"/>
              </w:rPr>
              <w:t>ead</w:t>
            </w:r>
            <w:r>
              <w:rPr>
                <w:rFonts w:cs="Arial"/>
                <w:szCs w:val="21"/>
              </w:rPr>
              <w:t xml:space="preserve">ing the </w:t>
            </w:r>
            <w:r w:rsidR="007F3542" w:rsidRPr="007577FC">
              <w:rPr>
                <w:rFonts w:cs="Arial"/>
                <w:szCs w:val="21"/>
              </w:rPr>
              <w:t>develop</w:t>
            </w:r>
            <w:r>
              <w:rPr>
                <w:rFonts w:cs="Arial"/>
                <w:szCs w:val="21"/>
              </w:rPr>
              <w:t>ment and implementation of</w:t>
            </w:r>
            <w:r w:rsidR="007F3542" w:rsidRPr="007577FC">
              <w:rPr>
                <w:rFonts w:cs="Arial"/>
                <w:szCs w:val="21"/>
              </w:rPr>
              <w:t xml:space="preserve"> </w:t>
            </w:r>
            <w:r w:rsidR="007F3542">
              <w:rPr>
                <w:rFonts w:cs="Arial"/>
                <w:szCs w:val="21"/>
              </w:rPr>
              <w:t xml:space="preserve">organisational </w:t>
            </w:r>
            <w:r w:rsidR="007F3542" w:rsidRPr="007577FC">
              <w:rPr>
                <w:rFonts w:cs="Arial"/>
                <w:szCs w:val="21"/>
              </w:rPr>
              <w:t xml:space="preserve">digital health </w:t>
            </w:r>
            <w:r>
              <w:rPr>
                <w:rFonts w:cs="Arial"/>
                <w:szCs w:val="21"/>
              </w:rPr>
              <w:t>strategy</w:t>
            </w:r>
            <w:r w:rsidR="007F3542" w:rsidRPr="007577FC">
              <w:rPr>
                <w:rFonts w:cs="Arial"/>
                <w:szCs w:val="21"/>
              </w:rPr>
              <w:t>.</w:t>
            </w:r>
          </w:p>
          <w:p w14:paraId="166B34BA" w14:textId="77777777" w:rsidR="007F3542" w:rsidRPr="00CC4853" w:rsidRDefault="007F3542" w:rsidP="00006AA1">
            <w:pPr>
              <w:spacing w:before="80"/>
              <w:rPr>
                <w:szCs w:val="21"/>
              </w:rPr>
            </w:pPr>
            <w:r w:rsidRPr="007577FC">
              <w:rPr>
                <w:rFonts w:cs="Arial"/>
                <w:szCs w:val="21"/>
              </w:rPr>
              <w:t>Post-graduate qualifications in computer science, IT or equivalent.</w:t>
            </w:r>
          </w:p>
        </w:tc>
      </w:tr>
    </w:tbl>
    <w:p w14:paraId="7B69723C" w14:textId="77777777" w:rsidR="0062772E" w:rsidRDefault="0062772E" w:rsidP="007F3542">
      <w:pPr>
        <w:pStyle w:val="Heading1"/>
        <w:spacing w:before="0"/>
        <w:sectPr w:rsidR="0062772E" w:rsidSect="007F3542">
          <w:pgSz w:w="16838" w:h="11906" w:orient="landscape" w:code="9"/>
          <w:pgMar w:top="1304" w:right="1418" w:bottom="1304" w:left="1134" w:header="680" w:footer="851" w:gutter="0"/>
          <w:cols w:space="340"/>
          <w:titlePg/>
          <w:docGrid w:linePitch="360"/>
        </w:sectPr>
      </w:pPr>
    </w:p>
    <w:p w14:paraId="42DFABE3" w14:textId="556DA5AF" w:rsidR="00D43B18" w:rsidRDefault="007F3542" w:rsidP="007F3542">
      <w:pPr>
        <w:pStyle w:val="Heading1"/>
        <w:spacing w:before="0"/>
      </w:pPr>
      <w:bookmarkStart w:id="75" w:name="_Toc149149824"/>
      <w:r w:rsidRPr="00F8557A">
        <w:lastRenderedPageBreak/>
        <w:t>Appendix</w:t>
      </w:r>
      <w:bookmarkEnd w:id="75"/>
    </w:p>
    <w:p w14:paraId="122DAC10" w14:textId="77777777" w:rsidR="008E67E3" w:rsidRPr="00A71CE4" w:rsidRDefault="008E67E3" w:rsidP="008E67E3">
      <w:pPr>
        <w:pStyle w:val="Heading2"/>
      </w:pPr>
      <w:bookmarkStart w:id="76" w:name="_Toc149149825"/>
      <w:r w:rsidRPr="00F8557A">
        <w:t>How the Framework was developed</w:t>
      </w:r>
      <w:bookmarkEnd w:id="76"/>
    </w:p>
    <w:p w14:paraId="7D2E9BA7" w14:textId="7AA894A4" w:rsidR="008E67E3" w:rsidRDefault="008E67E3" w:rsidP="008E67E3">
      <w:r>
        <w:t xml:space="preserve">The Board Director Capability Framework (the </w:t>
      </w:r>
      <w:r w:rsidR="009502E8">
        <w:t>F</w:t>
      </w:r>
      <w:r>
        <w:t xml:space="preserve">ramework) was initially drafted through various brainstorming sessions. It has been developed through desktop research and a review of other frameworks, including, but not limited to: </w:t>
      </w:r>
    </w:p>
    <w:p w14:paraId="00165E91" w14:textId="77777777" w:rsidR="008E67E3" w:rsidRPr="00400FC6" w:rsidRDefault="008E67E3" w:rsidP="00987BFC">
      <w:pPr>
        <w:pStyle w:val="ListParagraph"/>
        <w:numPr>
          <w:ilvl w:val="0"/>
          <w:numId w:val="25"/>
        </w:numPr>
        <w:rPr>
          <w:rFonts w:ascii="Arial" w:eastAsia="Times New Roman" w:hAnsi="Arial" w:cs="Times New Roman"/>
          <w:sz w:val="21"/>
          <w:szCs w:val="20"/>
        </w:rPr>
      </w:pPr>
      <w:r w:rsidRPr="00400FC6">
        <w:rPr>
          <w:rFonts w:ascii="Arial" w:eastAsia="Times New Roman" w:hAnsi="Arial" w:cs="Times New Roman"/>
          <w:sz w:val="21"/>
          <w:szCs w:val="20"/>
        </w:rPr>
        <w:t>Department of Health and Human Services 2012, Community Sector Governance Capability Framework, State Government of Victoria, Melbourne.</w:t>
      </w:r>
    </w:p>
    <w:p w14:paraId="75368EC1" w14:textId="77777777" w:rsidR="008E67E3" w:rsidRPr="00400FC6" w:rsidRDefault="008E67E3" w:rsidP="00987BFC">
      <w:pPr>
        <w:pStyle w:val="ListParagraph"/>
        <w:numPr>
          <w:ilvl w:val="0"/>
          <w:numId w:val="25"/>
        </w:numPr>
        <w:rPr>
          <w:rFonts w:ascii="Arial" w:eastAsia="Times New Roman" w:hAnsi="Arial" w:cs="Times New Roman"/>
          <w:sz w:val="21"/>
          <w:szCs w:val="20"/>
        </w:rPr>
      </w:pPr>
      <w:r w:rsidRPr="00400FC6">
        <w:rPr>
          <w:rFonts w:ascii="Arial" w:eastAsia="Times New Roman" w:hAnsi="Arial" w:cs="Times New Roman"/>
          <w:sz w:val="21"/>
          <w:szCs w:val="20"/>
        </w:rPr>
        <w:t xml:space="preserve">Local Government New South Wales 2017, Local Government Capability Framework, Local Government New South Wales, Sydney. </w:t>
      </w:r>
    </w:p>
    <w:p w14:paraId="490F7727" w14:textId="77777777" w:rsidR="008E67E3" w:rsidRPr="00400FC6" w:rsidRDefault="008E67E3" w:rsidP="00987BFC">
      <w:pPr>
        <w:pStyle w:val="ListParagraph"/>
        <w:numPr>
          <w:ilvl w:val="0"/>
          <w:numId w:val="25"/>
        </w:numPr>
        <w:rPr>
          <w:rFonts w:ascii="Arial" w:eastAsia="Times New Roman" w:hAnsi="Arial" w:cs="Times New Roman"/>
          <w:sz w:val="21"/>
          <w:szCs w:val="20"/>
        </w:rPr>
      </w:pPr>
      <w:r w:rsidRPr="00400FC6">
        <w:rPr>
          <w:rFonts w:ascii="Arial" w:eastAsia="Times New Roman" w:hAnsi="Arial" w:cs="Times New Roman"/>
          <w:sz w:val="21"/>
          <w:szCs w:val="20"/>
        </w:rPr>
        <w:t xml:space="preserve">NHS 2013, Healthcare Leadership Model, NHS Leadership Academy, West Yorkshire, England. </w:t>
      </w:r>
    </w:p>
    <w:p w14:paraId="715AF027" w14:textId="77777777" w:rsidR="008E67E3" w:rsidRPr="00400FC6" w:rsidRDefault="008E67E3" w:rsidP="00987BFC">
      <w:pPr>
        <w:pStyle w:val="ListParagraph"/>
        <w:numPr>
          <w:ilvl w:val="0"/>
          <w:numId w:val="25"/>
        </w:numPr>
        <w:rPr>
          <w:rFonts w:ascii="Arial" w:eastAsia="Times New Roman" w:hAnsi="Arial" w:cs="Times New Roman"/>
          <w:sz w:val="21"/>
          <w:szCs w:val="20"/>
        </w:rPr>
      </w:pPr>
      <w:r w:rsidRPr="00400FC6">
        <w:rPr>
          <w:rFonts w:ascii="Arial" w:eastAsia="Times New Roman" w:hAnsi="Arial" w:cs="Times New Roman"/>
          <w:sz w:val="21"/>
          <w:szCs w:val="20"/>
        </w:rPr>
        <w:t>Department of Health and Human Services 2019, CEO leadership capability framework, State Government of Victoria, Melbourne.</w:t>
      </w:r>
    </w:p>
    <w:p w14:paraId="48BBF1F7" w14:textId="77777777" w:rsidR="008E67E3" w:rsidRPr="00400FC6" w:rsidRDefault="008E67E3" w:rsidP="00987BFC">
      <w:pPr>
        <w:pStyle w:val="ListParagraph"/>
        <w:numPr>
          <w:ilvl w:val="0"/>
          <w:numId w:val="25"/>
        </w:numPr>
        <w:rPr>
          <w:rFonts w:ascii="Arial" w:eastAsia="Times New Roman" w:hAnsi="Arial" w:cs="Times New Roman"/>
          <w:sz w:val="21"/>
          <w:szCs w:val="20"/>
        </w:rPr>
      </w:pPr>
      <w:r w:rsidRPr="00400FC6">
        <w:rPr>
          <w:rFonts w:ascii="Arial" w:eastAsia="Times New Roman" w:hAnsi="Arial" w:cs="Times New Roman"/>
          <w:sz w:val="21"/>
          <w:szCs w:val="20"/>
        </w:rPr>
        <w:t>Department of Health 2012, Building board capability: A strategic framework to enable the effectiveness of boards of Victorian health services, State Government of Victoria, Melbourne</w:t>
      </w:r>
    </w:p>
    <w:p w14:paraId="6D3E7CD9" w14:textId="1DF4F5C1" w:rsidR="008E67E3" w:rsidRDefault="008E67E3" w:rsidP="008E67E3">
      <w:r>
        <w:t xml:space="preserve">A collaborative process has been followed. Internal stakeholder groups from the Department of Health have been consulted on each specific capability. Advice and feedback </w:t>
      </w:r>
      <w:r w:rsidR="008A1EC5">
        <w:t>have</w:t>
      </w:r>
      <w:r>
        <w:t xml:space="preserve"> been provided to ensure the information in the framework is accurate and useful. </w:t>
      </w:r>
    </w:p>
    <w:p w14:paraId="11489529" w14:textId="77777777" w:rsidR="008E67E3" w:rsidRDefault="008E67E3" w:rsidP="008E67E3">
      <w:r>
        <w:t xml:space="preserve">Widespread consultation took place with the sector into the development of the framework. </w:t>
      </w:r>
      <w:r w:rsidRPr="008D0C7A">
        <w:t>Thank you to everyone who has provided feedback on the framework.</w:t>
      </w:r>
    </w:p>
    <w:p w14:paraId="288EF0FB" w14:textId="77777777" w:rsidR="008E67E3" w:rsidRDefault="008E67E3" w:rsidP="008E67E3">
      <w:r>
        <w:t xml:space="preserve">The various stakeholder groups included: </w:t>
      </w:r>
    </w:p>
    <w:p w14:paraId="0EBF91AC" w14:textId="77777777" w:rsidR="008E67E3" w:rsidRPr="00A74CDE" w:rsidRDefault="008E67E3" w:rsidP="008E67E3">
      <w:pPr>
        <w:pStyle w:val="ListParagraph"/>
        <w:numPr>
          <w:ilvl w:val="0"/>
          <w:numId w:val="21"/>
        </w:numPr>
        <w:rPr>
          <w:rFonts w:ascii="Arial" w:hAnsi="Arial" w:cs="Arial"/>
          <w:sz w:val="21"/>
          <w:szCs w:val="21"/>
        </w:rPr>
      </w:pPr>
      <w:r w:rsidRPr="00A74CDE">
        <w:rPr>
          <w:rFonts w:ascii="Arial" w:hAnsi="Arial" w:cs="Arial"/>
          <w:sz w:val="21"/>
          <w:szCs w:val="21"/>
        </w:rPr>
        <w:t>Council of Board Chairs</w:t>
      </w:r>
    </w:p>
    <w:p w14:paraId="664427B5" w14:textId="77777777" w:rsidR="008E67E3" w:rsidRPr="00A74CDE" w:rsidRDefault="008E67E3" w:rsidP="008E67E3">
      <w:pPr>
        <w:pStyle w:val="ListParagraph"/>
        <w:numPr>
          <w:ilvl w:val="0"/>
          <w:numId w:val="21"/>
        </w:numPr>
        <w:rPr>
          <w:rFonts w:ascii="Arial" w:hAnsi="Arial" w:cs="Arial"/>
          <w:sz w:val="21"/>
          <w:szCs w:val="21"/>
        </w:rPr>
      </w:pPr>
      <w:r w:rsidRPr="00A74CDE">
        <w:rPr>
          <w:rFonts w:ascii="Arial" w:hAnsi="Arial" w:cs="Arial"/>
          <w:sz w:val="21"/>
          <w:szCs w:val="21"/>
        </w:rPr>
        <w:t xml:space="preserve">Barwon Boards Chairs Forum </w:t>
      </w:r>
    </w:p>
    <w:p w14:paraId="5FB43BBF" w14:textId="77777777" w:rsidR="008E67E3" w:rsidRPr="00A74CDE" w:rsidRDefault="008E67E3" w:rsidP="008E67E3">
      <w:pPr>
        <w:pStyle w:val="ListParagraph"/>
        <w:numPr>
          <w:ilvl w:val="0"/>
          <w:numId w:val="21"/>
        </w:numPr>
        <w:rPr>
          <w:rFonts w:ascii="Arial" w:hAnsi="Arial" w:cs="Arial"/>
          <w:sz w:val="21"/>
          <w:szCs w:val="21"/>
        </w:rPr>
      </w:pPr>
      <w:r w:rsidRPr="00A74CDE">
        <w:rPr>
          <w:rFonts w:ascii="Arial" w:hAnsi="Arial" w:cs="Arial"/>
          <w:sz w:val="21"/>
          <w:szCs w:val="21"/>
        </w:rPr>
        <w:t>Gippsland Board Chairs Forum</w:t>
      </w:r>
    </w:p>
    <w:p w14:paraId="2064E4EE" w14:textId="77777777" w:rsidR="008E67E3" w:rsidRDefault="008E67E3" w:rsidP="008E67E3">
      <w:pPr>
        <w:pStyle w:val="ListParagraph"/>
        <w:numPr>
          <w:ilvl w:val="0"/>
          <w:numId w:val="21"/>
        </w:numPr>
        <w:rPr>
          <w:rFonts w:ascii="Arial" w:hAnsi="Arial" w:cs="Arial"/>
          <w:sz w:val="21"/>
          <w:szCs w:val="21"/>
        </w:rPr>
      </w:pPr>
      <w:r>
        <w:rPr>
          <w:rFonts w:ascii="Arial" w:hAnsi="Arial" w:cs="Arial"/>
          <w:sz w:val="21"/>
          <w:szCs w:val="21"/>
        </w:rPr>
        <w:t>Grampians Board Chair Forum</w:t>
      </w:r>
    </w:p>
    <w:p w14:paraId="59AF506E" w14:textId="77777777" w:rsidR="008E67E3" w:rsidRPr="00A74CDE" w:rsidRDefault="008E67E3" w:rsidP="008E67E3">
      <w:pPr>
        <w:pStyle w:val="ListParagraph"/>
        <w:numPr>
          <w:ilvl w:val="0"/>
          <w:numId w:val="21"/>
        </w:numPr>
        <w:rPr>
          <w:rFonts w:ascii="Arial" w:hAnsi="Arial" w:cs="Arial"/>
          <w:sz w:val="21"/>
          <w:szCs w:val="21"/>
        </w:rPr>
      </w:pPr>
      <w:r w:rsidRPr="00A74CDE">
        <w:rPr>
          <w:rFonts w:ascii="Arial" w:hAnsi="Arial" w:cs="Arial"/>
          <w:sz w:val="21"/>
          <w:szCs w:val="21"/>
        </w:rPr>
        <w:t>Hume Board Chairs Forum</w:t>
      </w:r>
    </w:p>
    <w:p w14:paraId="35AD813A" w14:textId="77777777" w:rsidR="008E67E3" w:rsidRPr="006E4C3B" w:rsidRDefault="008E67E3" w:rsidP="008E67E3">
      <w:pPr>
        <w:pStyle w:val="ListParagraph"/>
        <w:numPr>
          <w:ilvl w:val="0"/>
          <w:numId w:val="21"/>
        </w:numPr>
        <w:rPr>
          <w:rFonts w:ascii="Arial" w:hAnsi="Arial" w:cs="Arial"/>
          <w:sz w:val="21"/>
          <w:szCs w:val="21"/>
        </w:rPr>
      </w:pPr>
      <w:r w:rsidRPr="00A74CDE">
        <w:rPr>
          <w:rFonts w:ascii="Arial" w:hAnsi="Arial" w:cs="Arial"/>
          <w:sz w:val="21"/>
          <w:szCs w:val="21"/>
        </w:rPr>
        <w:t>Loddon Mallee Board Chairs Forum</w:t>
      </w:r>
      <w:r w:rsidRPr="00A74CDE">
        <w:rPr>
          <w:rFonts w:ascii="Arial" w:eastAsia="Times" w:hAnsi="Arial" w:cs="Arial"/>
          <w:noProof/>
          <w:sz w:val="21"/>
          <w:szCs w:val="21"/>
          <w:lang w:eastAsia="en-AU"/>
        </w:rPr>
        <w:t xml:space="preserve"> </w:t>
      </w:r>
    </w:p>
    <w:p w14:paraId="5C434BCF" w14:textId="368C8D3E" w:rsidR="008E67E3" w:rsidRDefault="008E67E3" w:rsidP="008E67E3">
      <w:pPr>
        <w:rPr>
          <w:rFonts w:cs="Arial"/>
          <w:szCs w:val="21"/>
        </w:rPr>
      </w:pPr>
      <w:r>
        <w:rPr>
          <w:rFonts w:cs="Arial"/>
          <w:szCs w:val="21"/>
        </w:rPr>
        <w:t>The 202</w:t>
      </w:r>
      <w:r w:rsidR="007F69B4">
        <w:rPr>
          <w:rFonts w:cs="Arial"/>
          <w:szCs w:val="21"/>
        </w:rPr>
        <w:t>3</w:t>
      </w:r>
      <w:r>
        <w:rPr>
          <w:rFonts w:cs="Arial"/>
          <w:szCs w:val="21"/>
        </w:rPr>
        <w:t xml:space="preserve"> version </w:t>
      </w:r>
      <w:r w:rsidR="00A011B6">
        <w:rPr>
          <w:rFonts w:cs="Arial"/>
          <w:szCs w:val="21"/>
        </w:rPr>
        <w:t xml:space="preserve">was revised </w:t>
      </w:r>
      <w:r w:rsidR="00F653F6">
        <w:rPr>
          <w:rFonts w:cs="Arial"/>
          <w:szCs w:val="21"/>
        </w:rPr>
        <w:t>to</w:t>
      </w:r>
      <w:r w:rsidR="00A011B6">
        <w:rPr>
          <w:rFonts w:cs="Arial"/>
          <w:szCs w:val="21"/>
        </w:rPr>
        <w:t xml:space="preserve"> </w:t>
      </w:r>
      <w:r>
        <w:rPr>
          <w:rFonts w:cs="Arial"/>
          <w:szCs w:val="21"/>
        </w:rPr>
        <w:t xml:space="preserve">align with the </w:t>
      </w:r>
      <w:r w:rsidR="00F653F6">
        <w:rPr>
          <w:rFonts w:cs="Arial"/>
          <w:szCs w:val="21"/>
        </w:rPr>
        <w:t xml:space="preserve">Victorian Public Sector Commission (VPSC) </w:t>
      </w:r>
      <w:r w:rsidR="00D67BE9">
        <w:rPr>
          <w:rFonts w:cs="Arial"/>
          <w:szCs w:val="21"/>
        </w:rPr>
        <w:t xml:space="preserve">resources for government board directors </w:t>
      </w:r>
      <w:r w:rsidR="006D082F">
        <w:rPr>
          <w:rFonts w:cs="Arial"/>
          <w:szCs w:val="21"/>
        </w:rPr>
        <w:t xml:space="preserve">and the </w:t>
      </w:r>
      <w:r>
        <w:rPr>
          <w:rFonts w:cs="Arial"/>
          <w:szCs w:val="21"/>
        </w:rPr>
        <w:t>Victorian Government’s commitment that government boards must consider</w:t>
      </w:r>
      <w:r w:rsidRPr="005653F9">
        <w:rPr>
          <w:rFonts w:cs="Arial"/>
          <w:szCs w:val="21"/>
        </w:rPr>
        <w:t xml:space="preserve"> the mix of skills and expertise, lived experience, personal qualities, </w:t>
      </w:r>
      <w:r w:rsidR="00905E8E" w:rsidRPr="005653F9">
        <w:rPr>
          <w:rFonts w:cs="Arial"/>
          <w:szCs w:val="21"/>
        </w:rPr>
        <w:t>diversity,</w:t>
      </w:r>
      <w:r w:rsidRPr="005653F9">
        <w:rPr>
          <w:rFonts w:cs="Arial"/>
          <w:szCs w:val="21"/>
        </w:rPr>
        <w:t xml:space="preserve"> and gender balance of existing board members.</w:t>
      </w:r>
      <w:r>
        <w:rPr>
          <w:rFonts w:cs="Arial"/>
          <w:szCs w:val="21"/>
        </w:rPr>
        <w:t xml:space="preserve"> </w:t>
      </w:r>
    </w:p>
    <w:p w14:paraId="1CC037D1" w14:textId="5DF2F378" w:rsidR="008E67E3" w:rsidRDefault="008E67E3" w:rsidP="008E67E3">
      <w:pPr>
        <w:rPr>
          <w:rFonts w:cs="Arial"/>
          <w:szCs w:val="21"/>
        </w:rPr>
      </w:pPr>
      <w:r>
        <w:rPr>
          <w:rFonts w:cs="Arial"/>
          <w:szCs w:val="21"/>
        </w:rPr>
        <w:t>This Framework also sits alongside the</w:t>
      </w:r>
      <w:r w:rsidRPr="00C645F2">
        <w:rPr>
          <w:rFonts w:cs="Arial"/>
          <w:szCs w:val="21"/>
        </w:rPr>
        <w:t xml:space="preserve"> department’s </w:t>
      </w:r>
      <w:r w:rsidR="00F84C12">
        <w:rPr>
          <w:rFonts w:cs="Arial"/>
          <w:szCs w:val="21"/>
        </w:rPr>
        <w:t xml:space="preserve">efforts to </w:t>
      </w:r>
      <w:r w:rsidR="00F33F3C">
        <w:rPr>
          <w:rFonts w:cs="Arial"/>
          <w:szCs w:val="21"/>
        </w:rPr>
        <w:t>imp</w:t>
      </w:r>
      <w:r w:rsidR="006D082F">
        <w:rPr>
          <w:rFonts w:cs="Arial"/>
          <w:szCs w:val="21"/>
        </w:rPr>
        <w:t xml:space="preserve">rove </w:t>
      </w:r>
      <w:r w:rsidRPr="00C645F2">
        <w:rPr>
          <w:rFonts w:cs="Arial"/>
          <w:szCs w:val="21"/>
        </w:rPr>
        <w:t xml:space="preserve">health equity across many aspects of </w:t>
      </w:r>
      <w:r>
        <w:rPr>
          <w:rFonts w:cs="Arial"/>
          <w:szCs w:val="21"/>
        </w:rPr>
        <w:t>the department’s</w:t>
      </w:r>
      <w:r w:rsidRPr="00C645F2">
        <w:rPr>
          <w:rFonts w:cs="Arial"/>
          <w:szCs w:val="21"/>
        </w:rPr>
        <w:t xml:space="preserve"> work</w:t>
      </w:r>
      <w:r>
        <w:rPr>
          <w:rFonts w:cs="Arial"/>
          <w:szCs w:val="21"/>
        </w:rPr>
        <w:t>, including board appointments</w:t>
      </w:r>
      <w:r w:rsidRPr="00C645F2">
        <w:rPr>
          <w:rFonts w:cs="Arial"/>
          <w:szCs w:val="21"/>
        </w:rPr>
        <w:t>.</w:t>
      </w:r>
      <w:r>
        <w:rPr>
          <w:rFonts w:cs="Arial"/>
          <w:szCs w:val="21"/>
        </w:rPr>
        <w:t xml:space="preserve"> </w:t>
      </w:r>
    </w:p>
    <w:p w14:paraId="11C3E37C" w14:textId="420EAE98" w:rsidR="007F69B4" w:rsidRPr="00C645F2" w:rsidRDefault="007F69B4" w:rsidP="008E67E3">
      <w:pPr>
        <w:rPr>
          <w:rFonts w:cs="Arial"/>
          <w:szCs w:val="21"/>
        </w:rPr>
      </w:pPr>
      <w:r>
        <w:rPr>
          <w:rFonts w:cs="Arial"/>
          <w:szCs w:val="21"/>
        </w:rPr>
        <w:t xml:space="preserve">The 2024 version of the Framework </w:t>
      </w:r>
      <w:r w:rsidR="00EB6D32">
        <w:rPr>
          <w:rFonts w:cs="Arial"/>
          <w:szCs w:val="21"/>
        </w:rPr>
        <w:t>is an annual revision to ensure the information is up-to-date an</w:t>
      </w:r>
      <w:r w:rsidR="00176E11">
        <w:rPr>
          <w:rFonts w:cs="Arial"/>
          <w:szCs w:val="21"/>
        </w:rPr>
        <w:t>d</w:t>
      </w:r>
      <w:r w:rsidR="00EB6D32">
        <w:rPr>
          <w:rFonts w:cs="Arial"/>
          <w:szCs w:val="21"/>
        </w:rPr>
        <w:t xml:space="preserve"> accurate</w:t>
      </w:r>
      <w:r w:rsidR="00352CE9">
        <w:rPr>
          <w:rFonts w:cs="Arial"/>
          <w:szCs w:val="21"/>
        </w:rPr>
        <w:t>.</w:t>
      </w:r>
    </w:p>
    <w:p w14:paraId="1F216734" w14:textId="77777777" w:rsidR="008E67E3" w:rsidRDefault="008E67E3">
      <w:pPr>
        <w:spacing w:after="0" w:line="240" w:lineRule="auto"/>
        <w:rPr>
          <w:b/>
          <w:color w:val="53565A"/>
          <w:sz w:val="32"/>
          <w:szCs w:val="28"/>
        </w:rPr>
      </w:pPr>
      <w:r>
        <w:br w:type="page"/>
      </w:r>
    </w:p>
    <w:p w14:paraId="286677CA" w14:textId="35D7493D" w:rsidR="00811CE8" w:rsidRPr="00840E34" w:rsidRDefault="00811CE8" w:rsidP="00987BFC">
      <w:pPr>
        <w:pStyle w:val="Heading2"/>
      </w:pPr>
      <w:bookmarkStart w:id="77" w:name="_Toc149149826"/>
      <w:r w:rsidRPr="00840E34">
        <w:lastRenderedPageBreak/>
        <w:t>Definitions</w:t>
      </w:r>
      <w:bookmarkEnd w:id="77"/>
      <w:r w:rsidRPr="00840E34">
        <w:t xml:space="preserve"> </w:t>
      </w:r>
    </w:p>
    <w:p w14:paraId="7E0E3FB2" w14:textId="4913423D" w:rsidR="00811CE8" w:rsidRDefault="00811CE8" w:rsidP="00811CE8">
      <w:pPr>
        <w:pStyle w:val="DHHSmainsubheading"/>
        <w:rPr>
          <w:rFonts w:cs="Arial"/>
          <w:color w:val="auto"/>
          <w:sz w:val="21"/>
          <w:szCs w:val="21"/>
        </w:rPr>
      </w:pPr>
      <w:r w:rsidRPr="005C252D">
        <w:rPr>
          <w:rFonts w:cs="Arial"/>
          <w:b/>
          <w:bCs/>
          <w:color w:val="auto"/>
          <w:sz w:val="21"/>
          <w:szCs w:val="21"/>
        </w:rPr>
        <w:t>Capabilities</w:t>
      </w:r>
      <w:r>
        <w:rPr>
          <w:rFonts w:cs="Arial"/>
          <w:color w:val="auto"/>
          <w:sz w:val="21"/>
          <w:szCs w:val="21"/>
        </w:rPr>
        <w:t xml:space="preserve"> </w:t>
      </w:r>
      <w:r w:rsidRPr="00840E34">
        <w:rPr>
          <w:rFonts w:cs="Arial"/>
          <w:color w:val="auto"/>
          <w:sz w:val="21"/>
          <w:szCs w:val="21"/>
        </w:rPr>
        <w:t>–</w:t>
      </w:r>
      <w:r>
        <w:rPr>
          <w:rFonts w:cs="Arial"/>
          <w:color w:val="auto"/>
          <w:sz w:val="21"/>
          <w:szCs w:val="21"/>
        </w:rPr>
        <w:t xml:space="preserve"> </w:t>
      </w:r>
      <w:r w:rsidRPr="004F6798">
        <w:rPr>
          <w:rFonts w:cs="Arial"/>
          <w:color w:val="auto"/>
          <w:sz w:val="21"/>
          <w:szCs w:val="21"/>
        </w:rPr>
        <w:t xml:space="preserve">personal and professional knowledge, experience </w:t>
      </w:r>
      <w:r>
        <w:rPr>
          <w:rFonts w:cs="Arial"/>
          <w:color w:val="auto"/>
          <w:sz w:val="21"/>
          <w:szCs w:val="21"/>
        </w:rPr>
        <w:t xml:space="preserve">and skills </w:t>
      </w:r>
      <w:r w:rsidRPr="004F6798">
        <w:rPr>
          <w:rFonts w:cs="Arial"/>
          <w:color w:val="auto"/>
          <w:sz w:val="21"/>
          <w:szCs w:val="21"/>
        </w:rPr>
        <w:t xml:space="preserve">that </w:t>
      </w:r>
      <w:r w:rsidR="0078615F">
        <w:rPr>
          <w:rFonts w:cs="Arial"/>
          <w:color w:val="auto"/>
          <w:sz w:val="21"/>
          <w:szCs w:val="21"/>
        </w:rPr>
        <w:t>are</w:t>
      </w:r>
      <w:r w:rsidR="0078615F" w:rsidRPr="004F6798">
        <w:rPr>
          <w:rFonts w:cs="Arial"/>
          <w:color w:val="auto"/>
          <w:sz w:val="21"/>
          <w:szCs w:val="21"/>
        </w:rPr>
        <w:t xml:space="preserve"> </w:t>
      </w:r>
      <w:r w:rsidRPr="004F6798">
        <w:rPr>
          <w:rFonts w:cs="Arial"/>
          <w:color w:val="auto"/>
          <w:sz w:val="21"/>
          <w:szCs w:val="21"/>
        </w:rPr>
        <w:t xml:space="preserve">developed from personal and professional activities, and which will continue to </w:t>
      </w:r>
      <w:r>
        <w:rPr>
          <w:rFonts w:cs="Arial"/>
          <w:color w:val="auto"/>
          <w:sz w:val="21"/>
          <w:szCs w:val="21"/>
        </w:rPr>
        <w:t xml:space="preserve">be </w:t>
      </w:r>
      <w:r w:rsidRPr="004F6798">
        <w:rPr>
          <w:rFonts w:cs="Arial"/>
          <w:color w:val="auto"/>
          <w:sz w:val="21"/>
          <w:szCs w:val="21"/>
        </w:rPr>
        <w:t>develop</w:t>
      </w:r>
      <w:r>
        <w:rPr>
          <w:rFonts w:cs="Arial"/>
          <w:color w:val="auto"/>
          <w:sz w:val="21"/>
          <w:szCs w:val="21"/>
        </w:rPr>
        <w:t>ed</w:t>
      </w:r>
      <w:r w:rsidRPr="004F6798">
        <w:rPr>
          <w:rFonts w:cs="Arial"/>
          <w:color w:val="auto"/>
          <w:sz w:val="21"/>
          <w:szCs w:val="21"/>
        </w:rPr>
        <w:t xml:space="preserve"> while on the board</w:t>
      </w:r>
      <w:r>
        <w:rPr>
          <w:rFonts w:cs="Arial"/>
          <w:color w:val="auto"/>
          <w:sz w:val="21"/>
          <w:szCs w:val="21"/>
        </w:rPr>
        <w:t xml:space="preserve">. </w:t>
      </w:r>
      <w:r w:rsidR="00912E2F" w:rsidRPr="005F5C71">
        <w:rPr>
          <w:rFonts w:eastAsia="Times"/>
          <w:color w:val="auto"/>
          <w:sz w:val="21"/>
          <w:szCs w:val="21"/>
        </w:rPr>
        <w:t xml:space="preserve">While Victorian public health boards are based on capabilities, these capabilities </w:t>
      </w:r>
      <w:r w:rsidR="008E67E3">
        <w:rPr>
          <w:rFonts w:eastAsia="Times"/>
          <w:color w:val="auto"/>
          <w:sz w:val="21"/>
          <w:szCs w:val="21"/>
        </w:rPr>
        <w:t>are expected to also</w:t>
      </w:r>
      <w:r w:rsidR="00912E2F" w:rsidRPr="005F5C71">
        <w:rPr>
          <w:rFonts w:eastAsia="Times"/>
          <w:color w:val="auto"/>
          <w:sz w:val="21"/>
          <w:szCs w:val="21"/>
        </w:rPr>
        <w:t xml:space="preserve"> represent the breadth and richness of the diverse voices of Victorian communities.</w:t>
      </w:r>
    </w:p>
    <w:p w14:paraId="03AE7C2A" w14:textId="77777777" w:rsidR="00811CE8" w:rsidRPr="004F6798" w:rsidRDefault="00811CE8" w:rsidP="00811CE8">
      <w:pPr>
        <w:pStyle w:val="DHHSmainsubheading"/>
        <w:rPr>
          <w:rFonts w:cs="Arial"/>
          <w:color w:val="auto"/>
          <w:sz w:val="21"/>
          <w:szCs w:val="21"/>
        </w:rPr>
      </w:pPr>
    </w:p>
    <w:p w14:paraId="57DE0B55"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 xml:space="preserve">Tier 1 </w:t>
      </w:r>
      <w:r>
        <w:rPr>
          <w:rFonts w:cs="Arial"/>
          <w:b/>
          <w:bCs/>
          <w:color w:val="auto"/>
          <w:sz w:val="21"/>
          <w:szCs w:val="21"/>
        </w:rPr>
        <w:t>Capability</w:t>
      </w:r>
      <w:r w:rsidRPr="00840E34">
        <w:rPr>
          <w:rFonts w:cs="Arial"/>
          <w:color w:val="auto"/>
          <w:sz w:val="21"/>
          <w:szCs w:val="21"/>
        </w:rPr>
        <w:t xml:space="preserve"> –</w:t>
      </w:r>
      <w:r>
        <w:rPr>
          <w:rFonts w:cs="Arial"/>
          <w:color w:val="auto"/>
          <w:sz w:val="21"/>
          <w:szCs w:val="21"/>
        </w:rPr>
        <w:t xml:space="preserve">Tier 1 capabilities are </w:t>
      </w:r>
      <w:r w:rsidRPr="00380BC0">
        <w:rPr>
          <w:rFonts w:cs="Arial"/>
          <w:color w:val="auto"/>
          <w:sz w:val="21"/>
          <w:szCs w:val="21"/>
        </w:rPr>
        <w:t xml:space="preserve">the necessary capabilities that a board requires to set the strategic priorities that a Victorian </w:t>
      </w:r>
      <w:r>
        <w:rPr>
          <w:rFonts w:cs="Arial"/>
          <w:color w:val="auto"/>
          <w:sz w:val="21"/>
          <w:szCs w:val="21"/>
        </w:rPr>
        <w:t xml:space="preserve">public </w:t>
      </w:r>
      <w:r w:rsidRPr="00380BC0">
        <w:rPr>
          <w:rFonts w:cs="Arial"/>
          <w:color w:val="auto"/>
          <w:sz w:val="21"/>
          <w:szCs w:val="21"/>
        </w:rPr>
        <w:t xml:space="preserve">health </w:t>
      </w:r>
      <w:r>
        <w:rPr>
          <w:rFonts w:cs="Arial"/>
          <w:color w:val="auto"/>
          <w:sz w:val="21"/>
          <w:szCs w:val="21"/>
        </w:rPr>
        <w:t xml:space="preserve">service </w:t>
      </w:r>
      <w:r w:rsidRPr="00380BC0">
        <w:rPr>
          <w:rFonts w:cs="Arial"/>
          <w:color w:val="auto"/>
          <w:sz w:val="21"/>
          <w:szCs w:val="21"/>
        </w:rPr>
        <w:t>board would be expected to address in the normal course of its duties</w:t>
      </w:r>
      <w:r>
        <w:rPr>
          <w:rFonts w:cs="Arial"/>
          <w:color w:val="auto"/>
          <w:sz w:val="21"/>
          <w:szCs w:val="21"/>
        </w:rPr>
        <w:t xml:space="preserve">. </w:t>
      </w:r>
    </w:p>
    <w:p w14:paraId="7C659EEE" w14:textId="77777777" w:rsidR="00811CE8" w:rsidRPr="00840E34" w:rsidRDefault="00811CE8" w:rsidP="00811CE8">
      <w:pPr>
        <w:pStyle w:val="DHHSmainsubheading"/>
        <w:ind w:left="567"/>
        <w:rPr>
          <w:rFonts w:cs="Arial"/>
          <w:color w:val="auto"/>
          <w:sz w:val="21"/>
          <w:szCs w:val="21"/>
        </w:rPr>
      </w:pPr>
    </w:p>
    <w:p w14:paraId="618F159B" w14:textId="77777777" w:rsidR="00811CE8" w:rsidRDefault="00811CE8" w:rsidP="00811CE8">
      <w:pPr>
        <w:pStyle w:val="DHHSmainsubheading"/>
        <w:rPr>
          <w:rFonts w:cs="Arial"/>
          <w:color w:val="auto"/>
          <w:sz w:val="21"/>
          <w:szCs w:val="21"/>
        </w:rPr>
      </w:pPr>
      <w:r w:rsidRPr="00840E34">
        <w:rPr>
          <w:rFonts w:cs="Arial"/>
          <w:b/>
          <w:bCs/>
          <w:color w:val="auto"/>
          <w:sz w:val="21"/>
          <w:szCs w:val="21"/>
        </w:rPr>
        <w:t xml:space="preserve">Tier 2 </w:t>
      </w:r>
      <w:r>
        <w:rPr>
          <w:rFonts w:cs="Arial"/>
          <w:b/>
          <w:bCs/>
          <w:color w:val="auto"/>
          <w:sz w:val="21"/>
          <w:szCs w:val="21"/>
        </w:rPr>
        <w:t>Capability</w:t>
      </w:r>
      <w:r w:rsidRPr="00840E34">
        <w:rPr>
          <w:rFonts w:cs="Arial"/>
          <w:color w:val="auto"/>
          <w:sz w:val="21"/>
          <w:szCs w:val="21"/>
        </w:rPr>
        <w:t xml:space="preserve"> – Tier 2 </w:t>
      </w:r>
      <w:r>
        <w:rPr>
          <w:rFonts w:cs="Arial"/>
          <w:color w:val="auto"/>
          <w:sz w:val="21"/>
          <w:szCs w:val="21"/>
        </w:rPr>
        <w:t>capabilities</w:t>
      </w:r>
      <w:r w:rsidRPr="00840E34">
        <w:rPr>
          <w:rFonts w:cs="Arial"/>
          <w:color w:val="auto"/>
          <w:sz w:val="21"/>
          <w:szCs w:val="21"/>
        </w:rPr>
        <w:t xml:space="preserve"> are important </w:t>
      </w:r>
      <w:r>
        <w:rPr>
          <w:rFonts w:cs="Arial"/>
          <w:color w:val="auto"/>
          <w:sz w:val="21"/>
          <w:szCs w:val="21"/>
        </w:rPr>
        <w:t>capabilities</w:t>
      </w:r>
      <w:r w:rsidRPr="00840E34">
        <w:rPr>
          <w:rFonts w:cs="Arial"/>
          <w:color w:val="auto"/>
          <w:sz w:val="21"/>
          <w:szCs w:val="21"/>
        </w:rPr>
        <w:t xml:space="preserve"> that are desirable for a board, and the extent of the requirement </w:t>
      </w:r>
      <w:r>
        <w:rPr>
          <w:rFonts w:cs="Arial"/>
          <w:color w:val="auto"/>
          <w:sz w:val="21"/>
          <w:szCs w:val="21"/>
        </w:rPr>
        <w:t>may</w:t>
      </w:r>
      <w:r w:rsidRPr="00840E34">
        <w:rPr>
          <w:rFonts w:cs="Arial"/>
          <w:color w:val="auto"/>
          <w:sz w:val="21"/>
          <w:szCs w:val="21"/>
        </w:rPr>
        <w:t xml:space="preserve"> be dependent on the strategic plan of the entity.</w:t>
      </w:r>
      <w:r>
        <w:rPr>
          <w:rFonts w:cs="Arial"/>
          <w:color w:val="auto"/>
          <w:sz w:val="21"/>
          <w:szCs w:val="21"/>
        </w:rPr>
        <w:t xml:space="preserve"> </w:t>
      </w:r>
    </w:p>
    <w:p w14:paraId="493CD2F8" w14:textId="77777777" w:rsidR="00811CE8" w:rsidRDefault="00811CE8" w:rsidP="00811CE8">
      <w:pPr>
        <w:pStyle w:val="DHHSmainsubheading"/>
        <w:rPr>
          <w:rFonts w:cs="Arial"/>
          <w:color w:val="auto"/>
          <w:sz w:val="21"/>
          <w:szCs w:val="21"/>
        </w:rPr>
      </w:pPr>
    </w:p>
    <w:p w14:paraId="3D765101"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 xml:space="preserve">Primary </w:t>
      </w:r>
      <w:r w:rsidRPr="004F6798">
        <w:rPr>
          <w:rFonts w:cs="Arial"/>
          <w:b/>
          <w:bCs/>
          <w:color w:val="auto"/>
          <w:sz w:val="21"/>
          <w:szCs w:val="21"/>
        </w:rPr>
        <w:t>Capability</w:t>
      </w:r>
      <w:r>
        <w:rPr>
          <w:rFonts w:cs="Arial"/>
          <w:b/>
          <w:bCs/>
          <w:color w:val="auto"/>
          <w:sz w:val="21"/>
          <w:szCs w:val="21"/>
        </w:rPr>
        <w:t xml:space="preserve"> </w:t>
      </w:r>
      <w:r w:rsidRPr="00840E34">
        <w:rPr>
          <w:rFonts w:cs="Arial"/>
          <w:color w:val="auto"/>
          <w:sz w:val="21"/>
          <w:szCs w:val="21"/>
        </w:rPr>
        <w:t xml:space="preserve">– A primary </w:t>
      </w:r>
      <w:r>
        <w:rPr>
          <w:rFonts w:cs="Arial"/>
          <w:color w:val="auto"/>
          <w:sz w:val="21"/>
          <w:szCs w:val="21"/>
        </w:rPr>
        <w:t xml:space="preserve">capability </w:t>
      </w:r>
      <w:r w:rsidRPr="00840E34">
        <w:rPr>
          <w:rFonts w:cs="Arial"/>
          <w:color w:val="auto"/>
          <w:sz w:val="21"/>
          <w:szCs w:val="21"/>
        </w:rPr>
        <w:t xml:space="preserve">is one of the three main </w:t>
      </w:r>
      <w:r>
        <w:rPr>
          <w:rFonts w:cs="Arial"/>
          <w:color w:val="auto"/>
          <w:sz w:val="21"/>
          <w:szCs w:val="21"/>
        </w:rPr>
        <w:t>capabilities</w:t>
      </w:r>
      <w:r w:rsidRPr="00840E34">
        <w:rPr>
          <w:rFonts w:cs="Arial"/>
          <w:color w:val="auto"/>
          <w:sz w:val="21"/>
          <w:szCs w:val="21"/>
        </w:rPr>
        <w:t xml:space="preserve"> a</w:t>
      </w:r>
      <w:r>
        <w:rPr>
          <w:rFonts w:cs="Arial"/>
          <w:color w:val="auto"/>
          <w:sz w:val="21"/>
          <w:szCs w:val="21"/>
        </w:rPr>
        <w:t>n</w:t>
      </w:r>
      <w:r w:rsidRPr="00840E34">
        <w:rPr>
          <w:rFonts w:cs="Arial"/>
          <w:color w:val="auto"/>
          <w:sz w:val="21"/>
          <w:szCs w:val="21"/>
        </w:rPr>
        <w:t xml:space="preserve"> </w:t>
      </w:r>
      <w:r>
        <w:rPr>
          <w:rFonts w:cs="Arial"/>
          <w:color w:val="auto"/>
          <w:sz w:val="21"/>
          <w:szCs w:val="21"/>
        </w:rPr>
        <w:t>applicant</w:t>
      </w:r>
      <w:r w:rsidRPr="00840E34">
        <w:rPr>
          <w:rFonts w:cs="Arial"/>
          <w:color w:val="auto"/>
          <w:sz w:val="21"/>
          <w:szCs w:val="21"/>
        </w:rPr>
        <w:t xml:space="preserve"> nominates on </w:t>
      </w:r>
      <w:r>
        <w:rPr>
          <w:rFonts w:cs="Arial"/>
          <w:color w:val="auto"/>
          <w:sz w:val="21"/>
          <w:szCs w:val="21"/>
        </w:rPr>
        <w:t xml:space="preserve">their </w:t>
      </w:r>
      <w:r w:rsidRPr="00840E34">
        <w:rPr>
          <w:rFonts w:cs="Arial"/>
          <w:color w:val="auto"/>
          <w:sz w:val="21"/>
          <w:szCs w:val="21"/>
        </w:rPr>
        <w:t xml:space="preserve">application and </w:t>
      </w:r>
      <w:r>
        <w:rPr>
          <w:rFonts w:cs="Arial"/>
          <w:color w:val="auto"/>
          <w:sz w:val="21"/>
          <w:szCs w:val="21"/>
        </w:rPr>
        <w:t xml:space="preserve">on which </w:t>
      </w:r>
      <w:r w:rsidRPr="00840E34">
        <w:rPr>
          <w:rFonts w:cs="Arial"/>
          <w:color w:val="auto"/>
          <w:sz w:val="21"/>
          <w:szCs w:val="21"/>
        </w:rPr>
        <w:t>the</w:t>
      </w:r>
      <w:r>
        <w:rPr>
          <w:rFonts w:cs="Arial"/>
          <w:color w:val="auto"/>
          <w:sz w:val="21"/>
          <w:szCs w:val="21"/>
        </w:rPr>
        <w:t xml:space="preserve">ir application is </w:t>
      </w:r>
      <w:r w:rsidRPr="00840E34">
        <w:rPr>
          <w:rFonts w:cs="Arial"/>
          <w:color w:val="auto"/>
          <w:sz w:val="21"/>
          <w:szCs w:val="21"/>
        </w:rPr>
        <w:t xml:space="preserve">assessed. Once appointed, directors are expected to maintain </w:t>
      </w:r>
      <w:r>
        <w:rPr>
          <w:rFonts w:cs="Arial"/>
          <w:color w:val="auto"/>
          <w:sz w:val="21"/>
          <w:szCs w:val="21"/>
        </w:rPr>
        <w:t>or work towards being</w:t>
      </w:r>
      <w:r w:rsidRPr="00840E34">
        <w:rPr>
          <w:rFonts w:cs="Arial"/>
          <w:color w:val="auto"/>
          <w:sz w:val="21"/>
          <w:szCs w:val="21"/>
        </w:rPr>
        <w:t xml:space="preserve"> proficien</w:t>
      </w:r>
      <w:r>
        <w:rPr>
          <w:rFonts w:cs="Arial"/>
          <w:color w:val="auto"/>
          <w:sz w:val="21"/>
          <w:szCs w:val="21"/>
        </w:rPr>
        <w:t>t</w:t>
      </w:r>
      <w:r w:rsidRPr="00840E34">
        <w:rPr>
          <w:rFonts w:cs="Arial"/>
          <w:color w:val="auto"/>
          <w:sz w:val="21"/>
          <w:szCs w:val="21"/>
        </w:rPr>
        <w:t xml:space="preserve"> in their </w:t>
      </w:r>
      <w:r>
        <w:rPr>
          <w:rFonts w:cs="Arial"/>
          <w:color w:val="auto"/>
          <w:sz w:val="21"/>
          <w:szCs w:val="21"/>
        </w:rPr>
        <w:t>nominated</w:t>
      </w:r>
      <w:r w:rsidRPr="00840E34">
        <w:rPr>
          <w:rFonts w:cs="Arial"/>
          <w:color w:val="auto"/>
          <w:sz w:val="21"/>
          <w:szCs w:val="21"/>
        </w:rPr>
        <w:t xml:space="preserve"> </w:t>
      </w:r>
      <w:r>
        <w:rPr>
          <w:rFonts w:cs="Arial"/>
          <w:color w:val="auto"/>
          <w:sz w:val="21"/>
          <w:szCs w:val="21"/>
        </w:rPr>
        <w:t>capabilities</w:t>
      </w:r>
      <w:r w:rsidRPr="00840E34">
        <w:rPr>
          <w:rFonts w:cs="Arial"/>
          <w:color w:val="auto"/>
          <w:sz w:val="21"/>
          <w:szCs w:val="21"/>
        </w:rPr>
        <w:t xml:space="preserve">. </w:t>
      </w:r>
    </w:p>
    <w:p w14:paraId="7F0E7631" w14:textId="77777777" w:rsidR="00811CE8" w:rsidRPr="00840E34" w:rsidRDefault="00811CE8" w:rsidP="00811CE8">
      <w:pPr>
        <w:pStyle w:val="DHHSmainsubheading"/>
        <w:ind w:left="567"/>
        <w:rPr>
          <w:rFonts w:cs="Arial"/>
          <w:color w:val="auto"/>
          <w:sz w:val="21"/>
          <w:szCs w:val="21"/>
        </w:rPr>
      </w:pPr>
    </w:p>
    <w:p w14:paraId="68D9260B"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 xml:space="preserve">Secondary </w:t>
      </w:r>
      <w:r>
        <w:rPr>
          <w:rFonts w:cs="Arial"/>
          <w:b/>
          <w:bCs/>
          <w:color w:val="auto"/>
          <w:sz w:val="21"/>
          <w:szCs w:val="21"/>
        </w:rPr>
        <w:t>Capability</w:t>
      </w:r>
      <w:r w:rsidRPr="00840E34">
        <w:rPr>
          <w:rFonts w:cs="Arial"/>
          <w:color w:val="auto"/>
          <w:sz w:val="21"/>
          <w:szCs w:val="21"/>
        </w:rPr>
        <w:t xml:space="preserve"> – A secondary </w:t>
      </w:r>
      <w:r>
        <w:rPr>
          <w:rFonts w:cs="Arial"/>
          <w:color w:val="auto"/>
          <w:sz w:val="21"/>
          <w:szCs w:val="21"/>
        </w:rPr>
        <w:t xml:space="preserve">capability </w:t>
      </w:r>
      <w:r w:rsidRPr="00840E34">
        <w:rPr>
          <w:rFonts w:cs="Arial"/>
          <w:color w:val="auto"/>
          <w:sz w:val="21"/>
          <w:szCs w:val="21"/>
        </w:rPr>
        <w:t>is a</w:t>
      </w:r>
      <w:r>
        <w:rPr>
          <w:rFonts w:cs="Arial"/>
          <w:color w:val="auto"/>
          <w:sz w:val="21"/>
          <w:szCs w:val="21"/>
        </w:rPr>
        <w:t xml:space="preserve">n additional capability </w:t>
      </w:r>
      <w:r w:rsidRPr="00840E34">
        <w:rPr>
          <w:rFonts w:cs="Arial"/>
          <w:color w:val="auto"/>
          <w:sz w:val="21"/>
          <w:szCs w:val="21"/>
        </w:rPr>
        <w:t>that a</w:t>
      </w:r>
      <w:r>
        <w:rPr>
          <w:rFonts w:cs="Arial"/>
          <w:color w:val="auto"/>
          <w:sz w:val="21"/>
          <w:szCs w:val="21"/>
        </w:rPr>
        <w:t>n</w:t>
      </w:r>
      <w:r w:rsidRPr="00840E34">
        <w:rPr>
          <w:rFonts w:cs="Arial"/>
          <w:color w:val="auto"/>
          <w:sz w:val="21"/>
          <w:szCs w:val="21"/>
        </w:rPr>
        <w:t xml:space="preserve"> </w:t>
      </w:r>
      <w:r>
        <w:rPr>
          <w:rFonts w:cs="Arial"/>
          <w:color w:val="auto"/>
          <w:sz w:val="21"/>
          <w:szCs w:val="21"/>
        </w:rPr>
        <w:t>applicant</w:t>
      </w:r>
      <w:r w:rsidRPr="00840E34">
        <w:rPr>
          <w:rFonts w:cs="Arial"/>
          <w:color w:val="auto"/>
          <w:sz w:val="21"/>
          <w:szCs w:val="21"/>
        </w:rPr>
        <w:t xml:space="preserve"> may </w:t>
      </w:r>
      <w:r>
        <w:rPr>
          <w:rFonts w:cs="Arial"/>
          <w:color w:val="auto"/>
          <w:sz w:val="21"/>
          <w:szCs w:val="21"/>
        </w:rPr>
        <w:t>have nominated</w:t>
      </w:r>
      <w:r w:rsidRPr="00840E34">
        <w:rPr>
          <w:rFonts w:cs="Arial"/>
          <w:color w:val="auto"/>
          <w:sz w:val="21"/>
          <w:szCs w:val="21"/>
        </w:rPr>
        <w:t xml:space="preserve">. </w:t>
      </w:r>
    </w:p>
    <w:p w14:paraId="6D9551BB" w14:textId="77777777" w:rsidR="00811CE8" w:rsidRPr="00840E34" w:rsidRDefault="00811CE8" w:rsidP="00811CE8">
      <w:pPr>
        <w:pStyle w:val="DHHSmainsubheading"/>
        <w:ind w:left="567"/>
        <w:rPr>
          <w:rFonts w:cs="Arial"/>
          <w:color w:val="auto"/>
          <w:sz w:val="21"/>
          <w:szCs w:val="21"/>
        </w:rPr>
      </w:pPr>
    </w:p>
    <w:p w14:paraId="146D55B1"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AHPRA</w:t>
      </w:r>
      <w:r w:rsidRPr="00840E34">
        <w:rPr>
          <w:rFonts w:cs="Arial"/>
          <w:color w:val="auto"/>
          <w:sz w:val="21"/>
          <w:szCs w:val="21"/>
        </w:rPr>
        <w:t xml:space="preserve"> – Australian Health Practitioner Regulation Agency </w:t>
      </w:r>
    </w:p>
    <w:p w14:paraId="417D2A5D" w14:textId="77777777" w:rsidR="00811CE8" w:rsidRPr="00840E34" w:rsidRDefault="00811CE8" w:rsidP="00811CE8">
      <w:pPr>
        <w:pStyle w:val="DHHSmainsubheading"/>
        <w:ind w:left="567"/>
        <w:rPr>
          <w:rFonts w:cs="Arial"/>
          <w:b/>
          <w:bCs/>
          <w:color w:val="auto"/>
          <w:sz w:val="21"/>
          <w:szCs w:val="21"/>
        </w:rPr>
      </w:pPr>
    </w:p>
    <w:p w14:paraId="79CEFB10"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CA</w:t>
      </w:r>
      <w:r w:rsidRPr="00840E34">
        <w:rPr>
          <w:rFonts w:cs="Arial"/>
          <w:color w:val="auto"/>
          <w:sz w:val="21"/>
          <w:szCs w:val="21"/>
        </w:rPr>
        <w:t xml:space="preserve"> – Chartered Accountant </w:t>
      </w:r>
    </w:p>
    <w:p w14:paraId="14828761" w14:textId="77777777" w:rsidR="00811CE8" w:rsidRPr="00840E34" w:rsidRDefault="00811CE8" w:rsidP="00811CE8">
      <w:pPr>
        <w:pStyle w:val="DHHSmainsubheading"/>
        <w:ind w:left="567"/>
        <w:rPr>
          <w:rFonts w:cs="Arial"/>
          <w:color w:val="auto"/>
          <w:sz w:val="21"/>
          <w:szCs w:val="21"/>
        </w:rPr>
      </w:pPr>
    </w:p>
    <w:p w14:paraId="6E9063BC"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CEO</w:t>
      </w:r>
      <w:r w:rsidRPr="00840E34">
        <w:rPr>
          <w:rFonts w:cs="Arial"/>
          <w:color w:val="auto"/>
          <w:sz w:val="21"/>
          <w:szCs w:val="21"/>
        </w:rPr>
        <w:t xml:space="preserve"> – Chief Executive Officer</w:t>
      </w:r>
    </w:p>
    <w:p w14:paraId="344F18C9" w14:textId="77777777" w:rsidR="00811CE8" w:rsidRPr="00840E34" w:rsidRDefault="00811CE8" w:rsidP="00811CE8">
      <w:pPr>
        <w:pStyle w:val="DHHSmainsubheading"/>
        <w:ind w:left="567"/>
        <w:rPr>
          <w:rFonts w:cs="Arial"/>
          <w:b/>
          <w:bCs/>
          <w:color w:val="auto"/>
          <w:sz w:val="21"/>
          <w:szCs w:val="21"/>
        </w:rPr>
      </w:pPr>
    </w:p>
    <w:p w14:paraId="5976A9AA"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 xml:space="preserve">CPA </w:t>
      </w:r>
      <w:r w:rsidRPr="00840E34">
        <w:rPr>
          <w:rFonts w:cs="Arial"/>
          <w:color w:val="auto"/>
          <w:sz w:val="21"/>
          <w:szCs w:val="21"/>
        </w:rPr>
        <w:t>– Certified Practising Accountant</w:t>
      </w:r>
    </w:p>
    <w:p w14:paraId="3857C603" w14:textId="77777777" w:rsidR="00811CE8" w:rsidRPr="00840E34" w:rsidRDefault="00811CE8" w:rsidP="00811CE8">
      <w:pPr>
        <w:pStyle w:val="DHHSmainsubheading"/>
        <w:ind w:left="567"/>
        <w:rPr>
          <w:rFonts w:cs="Arial"/>
          <w:b/>
          <w:bCs/>
          <w:color w:val="auto"/>
          <w:sz w:val="21"/>
          <w:szCs w:val="21"/>
        </w:rPr>
      </w:pPr>
    </w:p>
    <w:p w14:paraId="1A54201B"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IBAC</w:t>
      </w:r>
      <w:r w:rsidRPr="00840E34">
        <w:rPr>
          <w:rFonts w:cs="Arial"/>
          <w:color w:val="auto"/>
          <w:sz w:val="21"/>
          <w:szCs w:val="21"/>
        </w:rPr>
        <w:t xml:space="preserve"> – Independent Broad-based Anti-</w:t>
      </w:r>
      <w:proofErr w:type="gramStart"/>
      <w:r w:rsidRPr="00840E34">
        <w:rPr>
          <w:rFonts w:cs="Arial"/>
          <w:color w:val="auto"/>
          <w:sz w:val="21"/>
          <w:szCs w:val="21"/>
        </w:rPr>
        <w:t>corruption</w:t>
      </w:r>
      <w:proofErr w:type="gramEnd"/>
      <w:r w:rsidRPr="00840E34">
        <w:rPr>
          <w:rFonts w:cs="Arial"/>
          <w:color w:val="auto"/>
          <w:sz w:val="21"/>
          <w:szCs w:val="21"/>
        </w:rPr>
        <w:t xml:space="preserve"> Commission</w:t>
      </w:r>
    </w:p>
    <w:p w14:paraId="28607C6F" w14:textId="77777777" w:rsidR="00811CE8" w:rsidRPr="00840E34" w:rsidRDefault="00811CE8" w:rsidP="00811CE8">
      <w:pPr>
        <w:pStyle w:val="DHHSmainsubheading"/>
        <w:ind w:left="567"/>
        <w:rPr>
          <w:rFonts w:cs="Arial"/>
          <w:color w:val="auto"/>
          <w:sz w:val="21"/>
          <w:szCs w:val="21"/>
        </w:rPr>
      </w:pPr>
    </w:p>
    <w:p w14:paraId="189272E3"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ICT</w:t>
      </w:r>
      <w:r w:rsidRPr="00840E34">
        <w:rPr>
          <w:rFonts w:cs="Arial"/>
          <w:color w:val="auto"/>
          <w:sz w:val="21"/>
          <w:szCs w:val="21"/>
        </w:rPr>
        <w:t xml:space="preserve"> – Information </w:t>
      </w:r>
      <w:r>
        <w:rPr>
          <w:rFonts w:cs="Arial"/>
          <w:color w:val="auto"/>
          <w:sz w:val="21"/>
          <w:szCs w:val="21"/>
        </w:rPr>
        <w:t xml:space="preserve">and </w:t>
      </w:r>
      <w:r w:rsidRPr="00840E34">
        <w:rPr>
          <w:rFonts w:cs="Arial"/>
          <w:color w:val="auto"/>
          <w:sz w:val="21"/>
          <w:szCs w:val="21"/>
        </w:rPr>
        <w:t>Communication Technology</w:t>
      </w:r>
    </w:p>
    <w:p w14:paraId="454E29A8" w14:textId="77777777" w:rsidR="00811CE8" w:rsidRPr="00840E34" w:rsidRDefault="00811CE8" w:rsidP="00811CE8">
      <w:pPr>
        <w:pStyle w:val="DHHSmainsubheading"/>
        <w:ind w:left="567"/>
        <w:rPr>
          <w:rFonts w:cs="Arial"/>
          <w:color w:val="auto"/>
          <w:sz w:val="21"/>
          <w:szCs w:val="21"/>
        </w:rPr>
      </w:pPr>
    </w:p>
    <w:p w14:paraId="62A0FEE6" w14:textId="77777777" w:rsidR="00811CE8" w:rsidRPr="00840E34" w:rsidRDefault="00811CE8" w:rsidP="00811CE8">
      <w:pPr>
        <w:pStyle w:val="DHHSmainsubheading"/>
        <w:rPr>
          <w:rFonts w:cs="Arial"/>
          <w:color w:val="auto"/>
          <w:sz w:val="21"/>
          <w:szCs w:val="21"/>
        </w:rPr>
      </w:pPr>
      <w:r w:rsidRPr="00840E34">
        <w:rPr>
          <w:rFonts w:cs="Arial"/>
          <w:b/>
          <w:bCs/>
          <w:color w:val="auto"/>
          <w:sz w:val="21"/>
          <w:szCs w:val="21"/>
        </w:rPr>
        <w:t>IT</w:t>
      </w:r>
      <w:r w:rsidRPr="00840E34">
        <w:rPr>
          <w:rFonts w:cs="Arial"/>
          <w:color w:val="auto"/>
          <w:sz w:val="21"/>
          <w:szCs w:val="21"/>
        </w:rPr>
        <w:t xml:space="preserve"> – Information Technology</w:t>
      </w:r>
    </w:p>
    <w:p w14:paraId="555FBAD5" w14:textId="77777777" w:rsidR="00811CE8" w:rsidRPr="00840E34" w:rsidRDefault="00811CE8" w:rsidP="00811CE8">
      <w:pPr>
        <w:pStyle w:val="DHHSmainsubheading"/>
        <w:ind w:left="567"/>
        <w:rPr>
          <w:rFonts w:cs="Arial"/>
          <w:color w:val="auto"/>
          <w:sz w:val="21"/>
          <w:szCs w:val="21"/>
        </w:rPr>
      </w:pPr>
    </w:p>
    <w:p w14:paraId="0549DC02" w14:textId="582DC9B5" w:rsidR="009D639C" w:rsidRPr="00987BFC" w:rsidRDefault="009D639C" w:rsidP="00811CE8">
      <w:pPr>
        <w:pStyle w:val="DHHSmainsubheading"/>
        <w:rPr>
          <w:rFonts w:cs="Arial"/>
          <w:color w:val="auto"/>
          <w:sz w:val="21"/>
          <w:szCs w:val="21"/>
        </w:rPr>
      </w:pPr>
      <w:r>
        <w:rPr>
          <w:rFonts w:cs="Arial"/>
          <w:b/>
          <w:bCs/>
          <w:color w:val="auto"/>
          <w:sz w:val="21"/>
          <w:szCs w:val="21"/>
        </w:rPr>
        <w:t xml:space="preserve">FMA </w:t>
      </w:r>
      <w:r w:rsidRPr="00987BFC">
        <w:rPr>
          <w:rFonts w:cs="Arial"/>
          <w:color w:val="auto"/>
          <w:sz w:val="21"/>
          <w:szCs w:val="21"/>
        </w:rPr>
        <w:t xml:space="preserve">– </w:t>
      </w:r>
      <w:r w:rsidRPr="002343DB">
        <w:rPr>
          <w:rFonts w:cs="Arial"/>
          <w:color w:val="auto"/>
          <w:sz w:val="21"/>
          <w:szCs w:val="21"/>
        </w:rPr>
        <w:t>Financial Management Act 1994</w:t>
      </w:r>
    </w:p>
    <w:p w14:paraId="5167BFA0" w14:textId="77777777" w:rsidR="009D639C" w:rsidRPr="00987BFC" w:rsidRDefault="009D639C" w:rsidP="00811CE8">
      <w:pPr>
        <w:pStyle w:val="DHHSmainsubheading"/>
        <w:rPr>
          <w:rFonts w:cs="Arial"/>
          <w:color w:val="auto"/>
          <w:sz w:val="21"/>
          <w:szCs w:val="21"/>
        </w:rPr>
      </w:pPr>
    </w:p>
    <w:p w14:paraId="548F7231" w14:textId="00B044BE" w:rsidR="00811CE8" w:rsidRDefault="00811CE8" w:rsidP="00811CE8">
      <w:pPr>
        <w:pStyle w:val="DHHSmainsubheading"/>
        <w:rPr>
          <w:rFonts w:cs="Arial"/>
          <w:color w:val="auto"/>
          <w:sz w:val="21"/>
          <w:szCs w:val="21"/>
        </w:rPr>
      </w:pPr>
      <w:r w:rsidRPr="00840E34">
        <w:rPr>
          <w:rFonts w:cs="Arial"/>
          <w:b/>
          <w:bCs/>
          <w:color w:val="auto"/>
          <w:sz w:val="21"/>
          <w:szCs w:val="21"/>
        </w:rPr>
        <w:t>SCV</w:t>
      </w:r>
      <w:r w:rsidRPr="00840E34">
        <w:rPr>
          <w:rFonts w:cs="Arial"/>
          <w:color w:val="auto"/>
          <w:sz w:val="21"/>
          <w:szCs w:val="21"/>
        </w:rPr>
        <w:t xml:space="preserve"> – Safer Care Victoria </w:t>
      </w:r>
    </w:p>
    <w:p w14:paraId="1E1CA276" w14:textId="77777777" w:rsidR="00811CE8" w:rsidRDefault="00811CE8" w:rsidP="00811CE8">
      <w:pPr>
        <w:pStyle w:val="DHHSmainsubheading"/>
        <w:rPr>
          <w:rFonts w:cs="Arial"/>
          <w:color w:val="auto"/>
          <w:sz w:val="21"/>
          <w:szCs w:val="21"/>
        </w:rPr>
      </w:pPr>
    </w:p>
    <w:p w14:paraId="6AA0E841" w14:textId="77777777" w:rsidR="00811CE8" w:rsidRDefault="00811CE8" w:rsidP="00811CE8">
      <w:pPr>
        <w:rPr>
          <w:rFonts w:cs="Arial"/>
          <w:szCs w:val="21"/>
        </w:rPr>
      </w:pPr>
      <w:r w:rsidRPr="007F3542">
        <w:rPr>
          <w:rFonts w:cs="Arial"/>
          <w:b/>
          <w:bCs/>
          <w:szCs w:val="21"/>
        </w:rPr>
        <w:t>VPSC</w:t>
      </w:r>
      <w:r w:rsidRPr="007F3542">
        <w:rPr>
          <w:rFonts w:cs="Arial"/>
          <w:szCs w:val="21"/>
        </w:rPr>
        <w:t xml:space="preserve"> – Victorian Public Sector Commission</w:t>
      </w:r>
    </w:p>
    <w:p w14:paraId="39FAEA2B" w14:textId="26EE7339" w:rsidR="00811CE8" w:rsidRDefault="00811CE8" w:rsidP="00811CE8">
      <w:pPr>
        <w:spacing w:after="0" w:line="240" w:lineRule="auto"/>
        <w:rPr>
          <w:rFonts w:cs="Arial"/>
          <w:szCs w:val="21"/>
        </w:rPr>
      </w:pPr>
    </w:p>
    <w:bookmarkEnd w:id="2"/>
    <w:p w14:paraId="12F67486" w14:textId="68922935" w:rsidR="00454A7D" w:rsidRDefault="00454A7D" w:rsidP="00987BFC">
      <w:pPr>
        <w:keepNext/>
        <w:keepLines/>
        <w:spacing w:after="240" w:line="480" w:lineRule="atLeast"/>
        <w:outlineLvl w:val="0"/>
        <w:rPr>
          <w:rFonts w:eastAsia="MS Gothic" w:cs="Arial"/>
          <w:bCs/>
          <w:color w:val="53565A"/>
          <w:kern w:val="32"/>
          <w:sz w:val="44"/>
          <w:szCs w:val="44"/>
        </w:rPr>
      </w:pPr>
    </w:p>
    <w:sectPr w:rsidR="00454A7D" w:rsidSect="00987BFC">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DDEB" w14:textId="77777777" w:rsidR="0052124B" w:rsidRDefault="0052124B">
      <w:r>
        <w:separator/>
      </w:r>
    </w:p>
    <w:p w14:paraId="3226648D" w14:textId="77777777" w:rsidR="0052124B" w:rsidRDefault="0052124B"/>
  </w:endnote>
  <w:endnote w:type="continuationSeparator" w:id="0">
    <w:p w14:paraId="54CA542F" w14:textId="77777777" w:rsidR="0052124B" w:rsidRDefault="0052124B">
      <w:r>
        <w:continuationSeparator/>
      </w:r>
    </w:p>
    <w:p w14:paraId="710C6AA2" w14:textId="77777777" w:rsidR="0052124B" w:rsidRDefault="0052124B"/>
  </w:endnote>
  <w:endnote w:type="continuationNotice" w:id="1">
    <w:p w14:paraId="02F1322A" w14:textId="77777777" w:rsidR="0052124B" w:rsidRDefault="00521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DB78"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5AAA6854" wp14:editId="179A8E2F">
              <wp:simplePos x="0" y="0"/>
              <wp:positionH relativeFrom="page">
                <wp:posOffset>0</wp:posOffset>
              </wp:positionH>
              <wp:positionV relativeFrom="page">
                <wp:posOffset>10189845</wp:posOffset>
              </wp:positionV>
              <wp:extent cx="7560310" cy="311785"/>
              <wp:effectExtent l="0" t="0" r="0" b="12065"/>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314E8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AA6854" id="_x0000_t202" coordsize="21600,21600" o:spt="202" path="m,l,21600r21600,l21600,xe">
              <v:stroke joinstyle="miter"/>
              <v:path gradientshapeok="t" o:connecttype="rect"/>
            </v:shapetype>
            <v:shape id="Text Box 7" o:spid="_x0000_s1026" type="#_x0000_t202" alt="&quot;&quot;"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9314E8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D88E" w14:textId="5E4ED0EF" w:rsidR="00431A70" w:rsidRDefault="00B23E3D">
    <w:pPr>
      <w:pStyle w:val="Footer"/>
    </w:pPr>
    <w:r>
      <w:rPr>
        <w:noProof/>
      </w:rPr>
      <mc:AlternateContent>
        <mc:Choice Requires="wps">
          <w:drawing>
            <wp:anchor distT="0" distB="0" distL="114300" distR="114300" simplePos="0" relativeHeight="251658246" behindDoc="0" locked="0" layoutInCell="0" allowOverlap="1" wp14:anchorId="10B250D8" wp14:editId="1F4D6663">
              <wp:simplePos x="0" y="0"/>
              <wp:positionH relativeFrom="page">
                <wp:align>center</wp:align>
              </wp:positionH>
              <wp:positionV relativeFrom="page">
                <wp:align>bottom</wp:align>
              </wp:positionV>
              <wp:extent cx="7772400" cy="502285"/>
              <wp:effectExtent l="0" t="0" r="0" b="1206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7ECF1" w14:textId="3422A9FC" w:rsidR="00B23E3D" w:rsidRPr="00726E55" w:rsidRDefault="00726E55" w:rsidP="00726E55">
                          <w:pPr>
                            <w:spacing w:after="0"/>
                            <w:jc w:val="center"/>
                            <w:rPr>
                              <w:rFonts w:ascii="Arial Black" w:hAnsi="Arial Black"/>
                              <w:color w:val="000000"/>
                              <w:sz w:val="20"/>
                            </w:rPr>
                          </w:pPr>
                          <w:r w:rsidRPr="00726E5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B250D8" id="_x0000_t202" coordsize="21600,21600" o:spt="202" path="m,l,21600r21600,l21600,xe">
              <v:stroke joinstyle="miter"/>
              <v:path gradientshapeok="t" o:connecttype="rect"/>
            </v:shapetype>
            <v:shape id="Text Box 1" o:spid="_x0000_s1027" type="#_x0000_t202" alt="&quot;&quot;"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9D7ECF1" w14:textId="3422A9FC" w:rsidR="00B23E3D" w:rsidRPr="00726E55" w:rsidRDefault="00726E55" w:rsidP="00726E55">
                    <w:pPr>
                      <w:spacing w:after="0"/>
                      <w:jc w:val="center"/>
                      <w:rPr>
                        <w:rFonts w:ascii="Arial Black" w:hAnsi="Arial Black"/>
                        <w:color w:val="000000"/>
                        <w:sz w:val="20"/>
                      </w:rPr>
                    </w:pPr>
                    <w:r w:rsidRPr="00726E55">
                      <w:rPr>
                        <w:rFonts w:ascii="Arial Black" w:hAnsi="Arial Black"/>
                        <w:color w:val="000000"/>
                        <w:sz w:val="20"/>
                      </w:rPr>
                      <w:t>OFFICIAL</w:t>
                    </w:r>
                  </w:p>
                </w:txbxContent>
              </v:textbox>
              <w10:wrap anchorx="page" anchory="page"/>
            </v:shape>
          </w:pict>
        </mc:Fallback>
      </mc:AlternateContent>
    </w:r>
    <w:r w:rsidR="007F3542">
      <w:rPr>
        <w:noProof/>
      </w:rPr>
      <mc:AlternateContent>
        <mc:Choice Requires="wps">
          <w:drawing>
            <wp:anchor distT="0" distB="0" distL="114300" distR="114300" simplePos="0" relativeHeight="251658243" behindDoc="0" locked="0" layoutInCell="0" allowOverlap="1" wp14:anchorId="6E3CF234" wp14:editId="775D981D">
              <wp:simplePos x="0" y="0"/>
              <wp:positionH relativeFrom="page">
                <wp:align>center</wp:align>
              </wp:positionH>
              <wp:positionV relativeFrom="page">
                <wp:align>bottom</wp:align>
              </wp:positionV>
              <wp:extent cx="7772400" cy="502285"/>
              <wp:effectExtent l="0" t="0" r="0" b="1206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34344" w14:textId="6F162292" w:rsidR="007F3542" w:rsidRPr="0007765C" w:rsidRDefault="0007765C" w:rsidP="0007765C">
                          <w:pPr>
                            <w:spacing w:after="0"/>
                            <w:jc w:val="center"/>
                            <w:rPr>
                              <w:rFonts w:ascii="Arial Black" w:hAnsi="Arial Black"/>
                              <w:color w:val="000000"/>
                              <w:sz w:val="20"/>
                            </w:rPr>
                          </w:pPr>
                          <w:r w:rsidRPr="000776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E3CF234" id="Text Box 8" o:spid="_x0000_s1028" type="#_x0000_t202" alt="&quot;&quot;"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20334344" w14:textId="6F162292" w:rsidR="007F3542" w:rsidRPr="0007765C" w:rsidRDefault="0007765C" w:rsidP="0007765C">
                    <w:pPr>
                      <w:spacing w:after="0"/>
                      <w:jc w:val="center"/>
                      <w:rPr>
                        <w:rFonts w:ascii="Arial Black" w:hAnsi="Arial Black"/>
                        <w:color w:val="000000"/>
                        <w:sz w:val="20"/>
                      </w:rPr>
                    </w:pPr>
                    <w:r w:rsidRPr="0007765C">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FFD2" w14:textId="05C68B7E" w:rsidR="00EB4BC7" w:rsidRDefault="00B23E3D">
    <w:pPr>
      <w:pStyle w:val="Footer"/>
    </w:pPr>
    <w:r>
      <w:rPr>
        <w:noProof/>
      </w:rPr>
      <mc:AlternateContent>
        <mc:Choice Requires="wps">
          <w:drawing>
            <wp:anchor distT="0" distB="0" distL="114300" distR="114300" simplePos="0" relativeHeight="251658247" behindDoc="0" locked="0" layoutInCell="0" allowOverlap="1" wp14:anchorId="2CE20FC1" wp14:editId="5CA17A8F">
              <wp:simplePos x="0" y="0"/>
              <wp:positionH relativeFrom="page">
                <wp:align>center</wp:align>
              </wp:positionH>
              <wp:positionV relativeFrom="page">
                <wp:align>bottom</wp:align>
              </wp:positionV>
              <wp:extent cx="7772400" cy="5022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46D4C2" w14:textId="18A16B1B" w:rsidR="00B23E3D" w:rsidRPr="00726E55" w:rsidRDefault="00726E55" w:rsidP="00726E55">
                          <w:pPr>
                            <w:spacing w:after="0"/>
                            <w:jc w:val="center"/>
                            <w:rPr>
                              <w:rFonts w:ascii="Arial Black" w:hAnsi="Arial Black"/>
                              <w:color w:val="000000"/>
                              <w:sz w:val="20"/>
                            </w:rPr>
                          </w:pPr>
                          <w:r w:rsidRPr="00726E5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CE20FC1" id="_x0000_t202" coordsize="21600,21600" o:spt="202" path="m,l,21600r21600,l21600,xe">
              <v:stroke joinstyle="miter"/>
              <v:path gradientshapeok="t" o:connecttype="rect"/>
            </v:shapetype>
            <v:shape id="Text Box 2" o:spid="_x0000_s1029" type="#_x0000_t202" alt="&quot;&quot;"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4146D4C2" w14:textId="18A16B1B" w:rsidR="00B23E3D" w:rsidRPr="00726E55" w:rsidRDefault="00726E55" w:rsidP="00726E55">
                    <w:pPr>
                      <w:spacing w:after="0"/>
                      <w:jc w:val="center"/>
                      <w:rPr>
                        <w:rFonts w:ascii="Arial Black" w:hAnsi="Arial Black"/>
                        <w:color w:val="000000"/>
                        <w:sz w:val="20"/>
                      </w:rPr>
                    </w:pPr>
                    <w:r w:rsidRPr="00726E55">
                      <w:rPr>
                        <w:rFonts w:ascii="Arial Black" w:hAnsi="Arial Black"/>
                        <w:color w:val="000000"/>
                        <w:sz w:val="20"/>
                      </w:rPr>
                      <w:t>OFFICIAL</w:t>
                    </w:r>
                  </w:p>
                </w:txbxContent>
              </v:textbox>
              <w10:wrap anchorx="page" anchory="page"/>
            </v:shape>
          </w:pict>
        </mc:Fallback>
      </mc:AlternateContent>
    </w:r>
    <w:r w:rsidR="007F3542">
      <w:rPr>
        <w:noProof/>
      </w:rPr>
      <mc:AlternateContent>
        <mc:Choice Requires="wps">
          <w:drawing>
            <wp:anchor distT="0" distB="0" distL="114300" distR="114300" simplePos="0" relativeHeight="251658244" behindDoc="0" locked="0" layoutInCell="0" allowOverlap="1" wp14:anchorId="2BC5BCA5" wp14:editId="39E79AB0">
              <wp:simplePos x="0" y="0"/>
              <wp:positionH relativeFrom="page">
                <wp:align>center</wp:align>
              </wp:positionH>
              <wp:positionV relativeFrom="page">
                <wp:align>bottom</wp:align>
              </wp:positionV>
              <wp:extent cx="7772400" cy="502285"/>
              <wp:effectExtent l="0" t="0" r="0" b="1206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A7593A" w14:textId="1E00DA93" w:rsidR="007F3542" w:rsidRPr="0007765C" w:rsidRDefault="0007765C" w:rsidP="0007765C">
                          <w:pPr>
                            <w:spacing w:after="0"/>
                            <w:jc w:val="center"/>
                            <w:rPr>
                              <w:rFonts w:ascii="Arial Black" w:hAnsi="Arial Black"/>
                              <w:color w:val="000000"/>
                              <w:sz w:val="20"/>
                            </w:rPr>
                          </w:pPr>
                          <w:r w:rsidRPr="000776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BC5BCA5" id="Text Box 9" o:spid="_x0000_s1030" type="#_x0000_t202" alt="&quot;&quot;"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28A7593A" w14:textId="1E00DA93" w:rsidR="007F3542" w:rsidRPr="0007765C" w:rsidRDefault="0007765C" w:rsidP="0007765C">
                    <w:pPr>
                      <w:spacing w:after="0"/>
                      <w:jc w:val="center"/>
                      <w:rPr>
                        <w:rFonts w:ascii="Arial Black" w:hAnsi="Arial Black"/>
                        <w:color w:val="000000"/>
                        <w:sz w:val="20"/>
                      </w:rPr>
                    </w:pPr>
                    <w:r w:rsidRPr="0007765C">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BBF0"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316B85C2" wp14:editId="05262A82">
              <wp:simplePos x="0" y="0"/>
              <wp:positionH relativeFrom="page">
                <wp:posOffset>0</wp:posOffset>
              </wp:positionH>
              <wp:positionV relativeFrom="page">
                <wp:posOffset>10189210</wp:posOffset>
              </wp:positionV>
              <wp:extent cx="7560310" cy="311785"/>
              <wp:effectExtent l="0" t="0" r="0" b="1206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66C13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6B85C2" id="_x0000_t202" coordsize="21600,21600" o:spt="202" path="m,l,21600r21600,l21600,xe">
              <v:stroke joinstyle="miter"/>
              <v:path gradientshapeok="t" o:connecttype="rect"/>
            </v:shapetype>
            <v:shape id="Text Box 4" o:spid="_x0000_s1031" type="#_x0000_t202" alt="&quot;&quot;"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566C13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79F2" w14:textId="61DEF819" w:rsidR="00431A70" w:rsidRDefault="007F3542">
    <w:pPr>
      <w:pStyle w:val="Footer"/>
    </w:pPr>
    <w:r>
      <w:rPr>
        <w:noProof/>
        <w:lang w:eastAsia="en-AU"/>
      </w:rPr>
      <mc:AlternateContent>
        <mc:Choice Requires="wps">
          <w:drawing>
            <wp:anchor distT="0" distB="0" distL="114300" distR="114300" simplePos="0" relativeHeight="251658245" behindDoc="0" locked="0" layoutInCell="0" allowOverlap="1" wp14:anchorId="41E0B079" wp14:editId="2439652A">
              <wp:simplePos x="0" y="0"/>
              <wp:positionH relativeFrom="page">
                <wp:align>center</wp:align>
              </wp:positionH>
              <wp:positionV relativeFrom="page">
                <wp:align>bottom</wp:align>
              </wp:positionV>
              <wp:extent cx="7772400" cy="502285"/>
              <wp:effectExtent l="0" t="0" r="0" b="1206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B36D3" w14:textId="3101C6AB" w:rsidR="007F3542" w:rsidRPr="0007765C" w:rsidRDefault="007F3542" w:rsidP="0007765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E0B079" id="_x0000_t202" coordsize="21600,21600" o:spt="202" path="m,l,21600r21600,l21600,xe">
              <v:stroke joinstyle="miter"/>
              <v:path gradientshapeok="t" o:connecttype="rect"/>
            </v:shapetype>
            <v:shape id="Text Box 10" o:spid="_x0000_s1032" type="#_x0000_t202" alt="&quot;&quot;"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784B36D3" w14:textId="3101C6AB" w:rsidR="007F3542" w:rsidRPr="0007765C" w:rsidRDefault="007F3542" w:rsidP="0007765C">
                    <w:pPr>
                      <w:spacing w:after="0"/>
                      <w:jc w:val="center"/>
                      <w:rPr>
                        <w:rFonts w:ascii="Arial Black" w:hAnsi="Arial Black"/>
                        <w:color w:val="000000"/>
                        <w:sz w:val="20"/>
                      </w:rPr>
                    </w:pP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3565D34F" wp14:editId="48EACEFA">
              <wp:simplePos x="0" y="0"/>
              <wp:positionH relativeFrom="page">
                <wp:posOffset>0</wp:posOffset>
              </wp:positionH>
              <wp:positionV relativeFrom="page">
                <wp:posOffset>10189845</wp:posOffset>
              </wp:positionV>
              <wp:extent cx="7560310" cy="311785"/>
              <wp:effectExtent l="0" t="0" r="0" b="120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47B5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565D34F" id="Text Box 11" o:spid="_x0000_s1033" type="#_x0000_t202" alt="&quot;&quot;"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72F47B5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894D" w14:textId="77777777" w:rsidR="0052124B" w:rsidRDefault="0052124B" w:rsidP="00207717">
      <w:pPr>
        <w:spacing w:before="120"/>
      </w:pPr>
      <w:r>
        <w:separator/>
      </w:r>
    </w:p>
  </w:footnote>
  <w:footnote w:type="continuationSeparator" w:id="0">
    <w:p w14:paraId="4D82FB3C" w14:textId="77777777" w:rsidR="0052124B" w:rsidRDefault="0052124B">
      <w:r>
        <w:continuationSeparator/>
      </w:r>
    </w:p>
    <w:p w14:paraId="34ED16E5" w14:textId="77777777" w:rsidR="0052124B" w:rsidRDefault="0052124B"/>
  </w:footnote>
  <w:footnote w:type="continuationNotice" w:id="1">
    <w:p w14:paraId="7E21DC20" w14:textId="77777777" w:rsidR="0052124B" w:rsidRDefault="00521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D6C4" w14:textId="77777777" w:rsidR="005A0819" w:rsidRPr="0051568D" w:rsidRDefault="005A0819" w:rsidP="005A0819">
    <w:pPr>
      <w:pStyle w:val="Header"/>
    </w:pPr>
    <w:r w:rsidRPr="0026731C">
      <w:t>Board Director Capability Framework</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8</w:t>
    </w:r>
    <w:r w:rsidRPr="00DE6C85">
      <w:rPr>
        <w:b w:val="0"/>
        <w:bCs/>
      </w:rPr>
      <w:fldChar w:fldCharType="end"/>
    </w:r>
  </w:p>
  <w:p w14:paraId="0649B397" w14:textId="77777777" w:rsidR="005A0819" w:rsidRDefault="005A0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9F3E"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E165" w14:textId="7D1D5A9C" w:rsidR="00562811" w:rsidRPr="0051568D" w:rsidRDefault="0026731C" w:rsidP="0017674D">
    <w:pPr>
      <w:pStyle w:val="Header"/>
    </w:pPr>
    <w:r w:rsidRPr="0026731C">
      <w:t>Board Director Capability Framework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C1E0AA7"/>
    <w:multiLevelType w:val="hybridMultilevel"/>
    <w:tmpl w:val="CD50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B0E50"/>
    <w:multiLevelType w:val="hybridMultilevel"/>
    <w:tmpl w:val="6B8EB1FA"/>
    <w:lvl w:ilvl="0" w:tplc="DACE98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54504"/>
    <w:multiLevelType w:val="hybridMultilevel"/>
    <w:tmpl w:val="BFC0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931DA"/>
    <w:multiLevelType w:val="hybridMultilevel"/>
    <w:tmpl w:val="5E462A86"/>
    <w:lvl w:ilvl="0" w:tplc="0C09000F">
      <w:start w:val="4"/>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F0378C"/>
    <w:multiLevelType w:val="hybridMultilevel"/>
    <w:tmpl w:val="8E52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4A22B3"/>
    <w:multiLevelType w:val="hybridMultilevel"/>
    <w:tmpl w:val="C94616A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 w15:restartNumberingAfterBreak="0">
    <w:nsid w:val="2B812354"/>
    <w:multiLevelType w:val="hybridMultilevel"/>
    <w:tmpl w:val="24CA9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3C3A4F"/>
    <w:multiLevelType w:val="hybridMultilevel"/>
    <w:tmpl w:val="851E6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7D5E8D"/>
    <w:multiLevelType w:val="hybridMultilevel"/>
    <w:tmpl w:val="1640E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90E4C"/>
    <w:multiLevelType w:val="hybridMultilevel"/>
    <w:tmpl w:val="32C06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3D80B29"/>
    <w:multiLevelType w:val="hybridMultilevel"/>
    <w:tmpl w:val="4A08A644"/>
    <w:lvl w:ilvl="0" w:tplc="009A7C3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C7A2E93"/>
    <w:multiLevelType w:val="hybridMultilevel"/>
    <w:tmpl w:val="16D0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10028D"/>
    <w:multiLevelType w:val="hybridMultilevel"/>
    <w:tmpl w:val="3738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8C4221A"/>
    <w:multiLevelType w:val="hybridMultilevel"/>
    <w:tmpl w:val="289A15E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FC97FCC"/>
    <w:multiLevelType w:val="hybridMultilevel"/>
    <w:tmpl w:val="3F725F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808575D"/>
    <w:multiLevelType w:val="hybridMultilevel"/>
    <w:tmpl w:val="C07E4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1B6A3A"/>
    <w:multiLevelType w:val="hybridMultilevel"/>
    <w:tmpl w:val="443E7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C3862CC"/>
    <w:multiLevelType w:val="hybridMultilevel"/>
    <w:tmpl w:val="E9D89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8A2745"/>
    <w:multiLevelType w:val="hybridMultilevel"/>
    <w:tmpl w:val="560A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275754"/>
    <w:multiLevelType w:val="hybridMultilevel"/>
    <w:tmpl w:val="2CD4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3473181">
    <w:abstractNumId w:val="11"/>
  </w:num>
  <w:num w:numId="2" w16cid:durableId="330911956">
    <w:abstractNumId w:val="18"/>
  </w:num>
  <w:num w:numId="3" w16cid:durableId="794521022">
    <w:abstractNumId w:val="17"/>
  </w:num>
  <w:num w:numId="4" w16cid:durableId="147284044">
    <w:abstractNumId w:val="21"/>
  </w:num>
  <w:num w:numId="5" w16cid:durableId="1831941154">
    <w:abstractNumId w:val="12"/>
  </w:num>
  <w:num w:numId="6" w16cid:durableId="642391069">
    <w:abstractNumId w:val="0"/>
  </w:num>
  <w:num w:numId="7" w16cid:durableId="1131947035">
    <w:abstractNumId w:val="8"/>
  </w:num>
  <w:num w:numId="8" w16cid:durableId="2114859219">
    <w:abstractNumId w:val="26"/>
  </w:num>
  <w:num w:numId="9" w16cid:durableId="923415905">
    <w:abstractNumId w:val="7"/>
  </w:num>
  <w:num w:numId="10" w16cid:durableId="1834490501">
    <w:abstractNumId w:val="9"/>
  </w:num>
  <w:num w:numId="11" w16cid:durableId="721557489">
    <w:abstractNumId w:val="16"/>
  </w:num>
  <w:num w:numId="12" w16cid:durableId="2017461715">
    <w:abstractNumId w:val="20"/>
  </w:num>
  <w:num w:numId="13" w16cid:durableId="1819222929">
    <w:abstractNumId w:val="10"/>
  </w:num>
  <w:num w:numId="14" w16cid:durableId="1311324213">
    <w:abstractNumId w:val="23"/>
  </w:num>
  <w:num w:numId="15" w16cid:durableId="308678218">
    <w:abstractNumId w:val="6"/>
  </w:num>
  <w:num w:numId="16" w16cid:durableId="171577157">
    <w:abstractNumId w:val="3"/>
  </w:num>
  <w:num w:numId="17" w16cid:durableId="866720282">
    <w:abstractNumId w:val="14"/>
  </w:num>
  <w:num w:numId="18" w16cid:durableId="1410034570">
    <w:abstractNumId w:val="15"/>
  </w:num>
  <w:num w:numId="19" w16cid:durableId="508251097">
    <w:abstractNumId w:val="19"/>
  </w:num>
  <w:num w:numId="20" w16cid:durableId="2083988530">
    <w:abstractNumId w:val="4"/>
  </w:num>
  <w:num w:numId="21" w16cid:durableId="1028484568">
    <w:abstractNumId w:val="24"/>
  </w:num>
  <w:num w:numId="22" w16cid:durableId="1008408554">
    <w:abstractNumId w:val="2"/>
  </w:num>
  <w:num w:numId="23" w16cid:durableId="66540026">
    <w:abstractNumId w:val="5"/>
  </w:num>
  <w:num w:numId="24" w16cid:durableId="2078631511">
    <w:abstractNumId w:val="25"/>
  </w:num>
  <w:num w:numId="25" w16cid:durableId="711269593">
    <w:abstractNumId w:val="22"/>
  </w:num>
  <w:num w:numId="26" w16cid:durableId="193004146">
    <w:abstractNumId w:val="13"/>
  </w:num>
  <w:num w:numId="27" w16cid:durableId="183357071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B6"/>
    <w:rsid w:val="00000719"/>
    <w:rsid w:val="00001034"/>
    <w:rsid w:val="00002D68"/>
    <w:rsid w:val="00002E4D"/>
    <w:rsid w:val="000033F7"/>
    <w:rsid w:val="00003403"/>
    <w:rsid w:val="00005347"/>
    <w:rsid w:val="000053CF"/>
    <w:rsid w:val="00006AA1"/>
    <w:rsid w:val="000072B6"/>
    <w:rsid w:val="0001021B"/>
    <w:rsid w:val="000108DD"/>
    <w:rsid w:val="00011D89"/>
    <w:rsid w:val="000154FD"/>
    <w:rsid w:val="00022271"/>
    <w:rsid w:val="000235E8"/>
    <w:rsid w:val="00024485"/>
    <w:rsid w:val="00024D89"/>
    <w:rsid w:val="000250B6"/>
    <w:rsid w:val="00025C8D"/>
    <w:rsid w:val="00026540"/>
    <w:rsid w:val="0002761A"/>
    <w:rsid w:val="000302AA"/>
    <w:rsid w:val="00030CDD"/>
    <w:rsid w:val="000310E0"/>
    <w:rsid w:val="00031691"/>
    <w:rsid w:val="00033D81"/>
    <w:rsid w:val="00033DC9"/>
    <w:rsid w:val="00037366"/>
    <w:rsid w:val="0004168E"/>
    <w:rsid w:val="00041BF0"/>
    <w:rsid w:val="00042C8A"/>
    <w:rsid w:val="0004536B"/>
    <w:rsid w:val="00045698"/>
    <w:rsid w:val="000464AF"/>
    <w:rsid w:val="00046B68"/>
    <w:rsid w:val="000509C9"/>
    <w:rsid w:val="000527DD"/>
    <w:rsid w:val="0005678D"/>
    <w:rsid w:val="00056839"/>
    <w:rsid w:val="00056EC4"/>
    <w:rsid w:val="000578B2"/>
    <w:rsid w:val="00060959"/>
    <w:rsid w:val="00060C8F"/>
    <w:rsid w:val="0006298A"/>
    <w:rsid w:val="000663CD"/>
    <w:rsid w:val="00070C3E"/>
    <w:rsid w:val="000733FE"/>
    <w:rsid w:val="00074219"/>
    <w:rsid w:val="00074ED5"/>
    <w:rsid w:val="0007765C"/>
    <w:rsid w:val="00077CE4"/>
    <w:rsid w:val="00080217"/>
    <w:rsid w:val="000815A2"/>
    <w:rsid w:val="00081C16"/>
    <w:rsid w:val="0008204A"/>
    <w:rsid w:val="00083AAD"/>
    <w:rsid w:val="00083E76"/>
    <w:rsid w:val="0008508E"/>
    <w:rsid w:val="00087951"/>
    <w:rsid w:val="0009113B"/>
    <w:rsid w:val="00093402"/>
    <w:rsid w:val="00094DA3"/>
    <w:rsid w:val="00095EB2"/>
    <w:rsid w:val="00096CD1"/>
    <w:rsid w:val="00096D2A"/>
    <w:rsid w:val="000A012C"/>
    <w:rsid w:val="000A0EB9"/>
    <w:rsid w:val="000A1280"/>
    <w:rsid w:val="000A186C"/>
    <w:rsid w:val="000A1EA4"/>
    <w:rsid w:val="000A2080"/>
    <w:rsid w:val="000A2476"/>
    <w:rsid w:val="000A2F6E"/>
    <w:rsid w:val="000A6410"/>
    <w:rsid w:val="000A641A"/>
    <w:rsid w:val="000B3EDB"/>
    <w:rsid w:val="000B543D"/>
    <w:rsid w:val="000B55F9"/>
    <w:rsid w:val="000B5BF7"/>
    <w:rsid w:val="000B6A30"/>
    <w:rsid w:val="000B6BC8"/>
    <w:rsid w:val="000B6DB5"/>
    <w:rsid w:val="000C0303"/>
    <w:rsid w:val="000C42EA"/>
    <w:rsid w:val="000C4546"/>
    <w:rsid w:val="000C64FE"/>
    <w:rsid w:val="000D1242"/>
    <w:rsid w:val="000D2ABA"/>
    <w:rsid w:val="000D32DC"/>
    <w:rsid w:val="000E0970"/>
    <w:rsid w:val="000E3CC7"/>
    <w:rsid w:val="000E5E4B"/>
    <w:rsid w:val="000E6BD4"/>
    <w:rsid w:val="000E6D6D"/>
    <w:rsid w:val="000F1F1E"/>
    <w:rsid w:val="000F2259"/>
    <w:rsid w:val="000F2BEB"/>
    <w:rsid w:val="000F2DDA"/>
    <w:rsid w:val="000F2EA0"/>
    <w:rsid w:val="000F32F6"/>
    <w:rsid w:val="000F5213"/>
    <w:rsid w:val="000F55B0"/>
    <w:rsid w:val="000F6D96"/>
    <w:rsid w:val="000F7390"/>
    <w:rsid w:val="000F7EF1"/>
    <w:rsid w:val="00101001"/>
    <w:rsid w:val="00102BAB"/>
    <w:rsid w:val="00103276"/>
    <w:rsid w:val="0010392D"/>
    <w:rsid w:val="0010447F"/>
    <w:rsid w:val="00104FE3"/>
    <w:rsid w:val="00106780"/>
    <w:rsid w:val="0010714F"/>
    <w:rsid w:val="00107C95"/>
    <w:rsid w:val="001120C5"/>
    <w:rsid w:val="00112EAB"/>
    <w:rsid w:val="00115A6A"/>
    <w:rsid w:val="001165F7"/>
    <w:rsid w:val="00120BD3"/>
    <w:rsid w:val="0012128A"/>
    <w:rsid w:val="00122FEA"/>
    <w:rsid w:val="001232BD"/>
    <w:rsid w:val="001236DC"/>
    <w:rsid w:val="00124ED5"/>
    <w:rsid w:val="001260C2"/>
    <w:rsid w:val="001276FA"/>
    <w:rsid w:val="00131972"/>
    <w:rsid w:val="0013644C"/>
    <w:rsid w:val="00141440"/>
    <w:rsid w:val="00142502"/>
    <w:rsid w:val="001447B3"/>
    <w:rsid w:val="00150328"/>
    <w:rsid w:val="00152073"/>
    <w:rsid w:val="00152329"/>
    <w:rsid w:val="00152AF9"/>
    <w:rsid w:val="00155B68"/>
    <w:rsid w:val="00156598"/>
    <w:rsid w:val="00157AE4"/>
    <w:rsid w:val="0016063B"/>
    <w:rsid w:val="00160967"/>
    <w:rsid w:val="00161939"/>
    <w:rsid w:val="00161AA0"/>
    <w:rsid w:val="00161D2E"/>
    <w:rsid w:val="00161EB6"/>
    <w:rsid w:val="00161F3E"/>
    <w:rsid w:val="00162093"/>
    <w:rsid w:val="00162CA9"/>
    <w:rsid w:val="001630B8"/>
    <w:rsid w:val="00165459"/>
    <w:rsid w:val="001655A5"/>
    <w:rsid w:val="00165A57"/>
    <w:rsid w:val="00166482"/>
    <w:rsid w:val="001712C2"/>
    <w:rsid w:val="0017137B"/>
    <w:rsid w:val="00172750"/>
    <w:rsid w:val="00172BAF"/>
    <w:rsid w:val="0017435B"/>
    <w:rsid w:val="00174FDA"/>
    <w:rsid w:val="001766A3"/>
    <w:rsid w:val="0017674D"/>
    <w:rsid w:val="00176E11"/>
    <w:rsid w:val="001771DD"/>
    <w:rsid w:val="00177995"/>
    <w:rsid w:val="00177A8C"/>
    <w:rsid w:val="0018244E"/>
    <w:rsid w:val="00183D8D"/>
    <w:rsid w:val="00186B33"/>
    <w:rsid w:val="001872F0"/>
    <w:rsid w:val="001922E9"/>
    <w:rsid w:val="00192F9D"/>
    <w:rsid w:val="001938EF"/>
    <w:rsid w:val="00194FF9"/>
    <w:rsid w:val="001950CA"/>
    <w:rsid w:val="001955E6"/>
    <w:rsid w:val="00196CD1"/>
    <w:rsid w:val="00196EB8"/>
    <w:rsid w:val="00196EFB"/>
    <w:rsid w:val="00196F2E"/>
    <w:rsid w:val="001979FF"/>
    <w:rsid w:val="00197B17"/>
    <w:rsid w:val="001A1950"/>
    <w:rsid w:val="001A1C54"/>
    <w:rsid w:val="001A3161"/>
    <w:rsid w:val="001A3ACE"/>
    <w:rsid w:val="001A50BC"/>
    <w:rsid w:val="001A5C12"/>
    <w:rsid w:val="001A6272"/>
    <w:rsid w:val="001B058F"/>
    <w:rsid w:val="001B1ECB"/>
    <w:rsid w:val="001B34AF"/>
    <w:rsid w:val="001B40E0"/>
    <w:rsid w:val="001B5723"/>
    <w:rsid w:val="001B6B96"/>
    <w:rsid w:val="001B738B"/>
    <w:rsid w:val="001C00DD"/>
    <w:rsid w:val="001C09DB"/>
    <w:rsid w:val="001C14C5"/>
    <w:rsid w:val="001C277E"/>
    <w:rsid w:val="001C2A72"/>
    <w:rsid w:val="001C31B7"/>
    <w:rsid w:val="001C6561"/>
    <w:rsid w:val="001D0B75"/>
    <w:rsid w:val="001D175E"/>
    <w:rsid w:val="001D39A5"/>
    <w:rsid w:val="001D3C09"/>
    <w:rsid w:val="001D44E8"/>
    <w:rsid w:val="001D60EC"/>
    <w:rsid w:val="001D69AE"/>
    <w:rsid w:val="001D6F59"/>
    <w:rsid w:val="001E44DF"/>
    <w:rsid w:val="001E5BD5"/>
    <w:rsid w:val="001E68A5"/>
    <w:rsid w:val="001E6BB0"/>
    <w:rsid w:val="001E7282"/>
    <w:rsid w:val="001E794E"/>
    <w:rsid w:val="001F2CCA"/>
    <w:rsid w:val="001F3826"/>
    <w:rsid w:val="001F4DE0"/>
    <w:rsid w:val="001F6E46"/>
    <w:rsid w:val="001F7C91"/>
    <w:rsid w:val="0020061A"/>
    <w:rsid w:val="002033B7"/>
    <w:rsid w:val="0020636A"/>
    <w:rsid w:val="00206463"/>
    <w:rsid w:val="00206F2F"/>
    <w:rsid w:val="00207717"/>
    <w:rsid w:val="0021053D"/>
    <w:rsid w:val="002109E4"/>
    <w:rsid w:val="00210A92"/>
    <w:rsid w:val="00211062"/>
    <w:rsid w:val="00212B95"/>
    <w:rsid w:val="002140D9"/>
    <w:rsid w:val="002152D5"/>
    <w:rsid w:val="00215AF3"/>
    <w:rsid w:val="00215CC8"/>
    <w:rsid w:val="00216C03"/>
    <w:rsid w:val="002179D5"/>
    <w:rsid w:val="002207B8"/>
    <w:rsid w:val="00220A1A"/>
    <w:rsid w:val="00220C04"/>
    <w:rsid w:val="00220D6F"/>
    <w:rsid w:val="0022278D"/>
    <w:rsid w:val="00224976"/>
    <w:rsid w:val="00224CEF"/>
    <w:rsid w:val="0022701F"/>
    <w:rsid w:val="00227674"/>
    <w:rsid w:val="00227C68"/>
    <w:rsid w:val="00230BDE"/>
    <w:rsid w:val="002333F5"/>
    <w:rsid w:val="00233724"/>
    <w:rsid w:val="002343DB"/>
    <w:rsid w:val="00234E1A"/>
    <w:rsid w:val="002365B4"/>
    <w:rsid w:val="0023685B"/>
    <w:rsid w:val="00236D3F"/>
    <w:rsid w:val="0024048B"/>
    <w:rsid w:val="002409CA"/>
    <w:rsid w:val="002432E1"/>
    <w:rsid w:val="0024398F"/>
    <w:rsid w:val="00243FA5"/>
    <w:rsid w:val="00246207"/>
    <w:rsid w:val="00246C5E"/>
    <w:rsid w:val="00250960"/>
    <w:rsid w:val="00251343"/>
    <w:rsid w:val="002536A4"/>
    <w:rsid w:val="00254B08"/>
    <w:rsid w:val="00254F58"/>
    <w:rsid w:val="0025681E"/>
    <w:rsid w:val="0026150C"/>
    <w:rsid w:val="002620BC"/>
    <w:rsid w:val="00262802"/>
    <w:rsid w:val="00263A90"/>
    <w:rsid w:val="0026408B"/>
    <w:rsid w:val="00264D8D"/>
    <w:rsid w:val="0026731C"/>
    <w:rsid w:val="00267C3E"/>
    <w:rsid w:val="002709BB"/>
    <w:rsid w:val="00271227"/>
    <w:rsid w:val="0027131C"/>
    <w:rsid w:val="002713CD"/>
    <w:rsid w:val="00273BAC"/>
    <w:rsid w:val="002763B3"/>
    <w:rsid w:val="00277A3A"/>
    <w:rsid w:val="002802E3"/>
    <w:rsid w:val="0028213D"/>
    <w:rsid w:val="00282CDE"/>
    <w:rsid w:val="00283A90"/>
    <w:rsid w:val="00284B47"/>
    <w:rsid w:val="002862F1"/>
    <w:rsid w:val="002872B4"/>
    <w:rsid w:val="0028770B"/>
    <w:rsid w:val="002906D8"/>
    <w:rsid w:val="00291373"/>
    <w:rsid w:val="002925CD"/>
    <w:rsid w:val="00293252"/>
    <w:rsid w:val="0029331D"/>
    <w:rsid w:val="0029597D"/>
    <w:rsid w:val="00295E0B"/>
    <w:rsid w:val="002962C3"/>
    <w:rsid w:val="0029752B"/>
    <w:rsid w:val="002A0A9C"/>
    <w:rsid w:val="002A2141"/>
    <w:rsid w:val="002A33EA"/>
    <w:rsid w:val="002A483C"/>
    <w:rsid w:val="002A71A0"/>
    <w:rsid w:val="002A7CB3"/>
    <w:rsid w:val="002B013A"/>
    <w:rsid w:val="002B0C7C"/>
    <w:rsid w:val="002B1729"/>
    <w:rsid w:val="002B27BC"/>
    <w:rsid w:val="002B36C7"/>
    <w:rsid w:val="002B4DD4"/>
    <w:rsid w:val="002B5277"/>
    <w:rsid w:val="002B5375"/>
    <w:rsid w:val="002B72A8"/>
    <w:rsid w:val="002B77C1"/>
    <w:rsid w:val="002C0ED7"/>
    <w:rsid w:val="002C15B5"/>
    <w:rsid w:val="002C2728"/>
    <w:rsid w:val="002C4727"/>
    <w:rsid w:val="002C5B7C"/>
    <w:rsid w:val="002C7ACF"/>
    <w:rsid w:val="002C7F31"/>
    <w:rsid w:val="002D033D"/>
    <w:rsid w:val="002D03A9"/>
    <w:rsid w:val="002D049F"/>
    <w:rsid w:val="002D18D8"/>
    <w:rsid w:val="002D1E0D"/>
    <w:rsid w:val="002D5006"/>
    <w:rsid w:val="002D56B4"/>
    <w:rsid w:val="002D6E10"/>
    <w:rsid w:val="002D7418"/>
    <w:rsid w:val="002D7C61"/>
    <w:rsid w:val="002E01D0"/>
    <w:rsid w:val="002E1492"/>
    <w:rsid w:val="002E161D"/>
    <w:rsid w:val="002E23F3"/>
    <w:rsid w:val="002E28A2"/>
    <w:rsid w:val="002E3100"/>
    <w:rsid w:val="002E38DF"/>
    <w:rsid w:val="002E4994"/>
    <w:rsid w:val="002E63C7"/>
    <w:rsid w:val="002E66EC"/>
    <w:rsid w:val="002E6C95"/>
    <w:rsid w:val="002E7345"/>
    <w:rsid w:val="002E7C36"/>
    <w:rsid w:val="002E7C6B"/>
    <w:rsid w:val="002F2F4A"/>
    <w:rsid w:val="002F3D32"/>
    <w:rsid w:val="002F494B"/>
    <w:rsid w:val="002F5F31"/>
    <w:rsid w:val="002F5F46"/>
    <w:rsid w:val="002F7633"/>
    <w:rsid w:val="002F7B25"/>
    <w:rsid w:val="00300F29"/>
    <w:rsid w:val="00300F5A"/>
    <w:rsid w:val="00302216"/>
    <w:rsid w:val="00302889"/>
    <w:rsid w:val="00303608"/>
    <w:rsid w:val="00303E53"/>
    <w:rsid w:val="0030586B"/>
    <w:rsid w:val="00305CC1"/>
    <w:rsid w:val="00306E5F"/>
    <w:rsid w:val="003070C6"/>
    <w:rsid w:val="00307210"/>
    <w:rsid w:val="00307E14"/>
    <w:rsid w:val="0031026A"/>
    <w:rsid w:val="00314054"/>
    <w:rsid w:val="00315F45"/>
    <w:rsid w:val="003168C2"/>
    <w:rsid w:val="00316F27"/>
    <w:rsid w:val="003214F1"/>
    <w:rsid w:val="0032164F"/>
    <w:rsid w:val="00322E4B"/>
    <w:rsid w:val="00323141"/>
    <w:rsid w:val="00323C97"/>
    <w:rsid w:val="003275B6"/>
    <w:rsid w:val="00327870"/>
    <w:rsid w:val="0033259D"/>
    <w:rsid w:val="00332C40"/>
    <w:rsid w:val="003333D2"/>
    <w:rsid w:val="00334686"/>
    <w:rsid w:val="00337339"/>
    <w:rsid w:val="00340345"/>
    <w:rsid w:val="003406C6"/>
    <w:rsid w:val="003418CC"/>
    <w:rsid w:val="003434EE"/>
    <w:rsid w:val="0034411F"/>
    <w:rsid w:val="003456D7"/>
    <w:rsid w:val="003459BD"/>
    <w:rsid w:val="00345F93"/>
    <w:rsid w:val="00346B3E"/>
    <w:rsid w:val="00350D38"/>
    <w:rsid w:val="00351B36"/>
    <w:rsid w:val="00352CE9"/>
    <w:rsid w:val="00353236"/>
    <w:rsid w:val="00354899"/>
    <w:rsid w:val="00357B4E"/>
    <w:rsid w:val="00363C2A"/>
    <w:rsid w:val="00370DA8"/>
    <w:rsid w:val="003716FD"/>
    <w:rsid w:val="0037204B"/>
    <w:rsid w:val="003744CF"/>
    <w:rsid w:val="00374717"/>
    <w:rsid w:val="003761B7"/>
    <w:rsid w:val="0037676C"/>
    <w:rsid w:val="00380CC9"/>
    <w:rsid w:val="00381043"/>
    <w:rsid w:val="00382484"/>
    <w:rsid w:val="003829E5"/>
    <w:rsid w:val="00386109"/>
    <w:rsid w:val="00386944"/>
    <w:rsid w:val="00390161"/>
    <w:rsid w:val="0039294B"/>
    <w:rsid w:val="00393C80"/>
    <w:rsid w:val="00393C97"/>
    <w:rsid w:val="00394FF4"/>
    <w:rsid w:val="003956CC"/>
    <w:rsid w:val="00395C9A"/>
    <w:rsid w:val="003A0853"/>
    <w:rsid w:val="003A12AF"/>
    <w:rsid w:val="003A1F3C"/>
    <w:rsid w:val="003A40A7"/>
    <w:rsid w:val="003A6B67"/>
    <w:rsid w:val="003B06BF"/>
    <w:rsid w:val="003B13B6"/>
    <w:rsid w:val="003B14C3"/>
    <w:rsid w:val="003B15E6"/>
    <w:rsid w:val="003B170D"/>
    <w:rsid w:val="003B22CA"/>
    <w:rsid w:val="003B22EF"/>
    <w:rsid w:val="003B3FB0"/>
    <w:rsid w:val="003B408A"/>
    <w:rsid w:val="003C08A2"/>
    <w:rsid w:val="003C2045"/>
    <w:rsid w:val="003C43A1"/>
    <w:rsid w:val="003C4FC0"/>
    <w:rsid w:val="003C55F4"/>
    <w:rsid w:val="003C7897"/>
    <w:rsid w:val="003C7A3F"/>
    <w:rsid w:val="003D1E0B"/>
    <w:rsid w:val="003D2766"/>
    <w:rsid w:val="003D29A3"/>
    <w:rsid w:val="003D2A74"/>
    <w:rsid w:val="003D3D88"/>
    <w:rsid w:val="003D3E8F"/>
    <w:rsid w:val="003D6475"/>
    <w:rsid w:val="003D6EE6"/>
    <w:rsid w:val="003E17E3"/>
    <w:rsid w:val="003E2E51"/>
    <w:rsid w:val="003E375C"/>
    <w:rsid w:val="003E4086"/>
    <w:rsid w:val="003E48BF"/>
    <w:rsid w:val="003E639E"/>
    <w:rsid w:val="003E646D"/>
    <w:rsid w:val="003E71E5"/>
    <w:rsid w:val="003F0445"/>
    <w:rsid w:val="003F0CF0"/>
    <w:rsid w:val="003F14B1"/>
    <w:rsid w:val="003F16ED"/>
    <w:rsid w:val="003F2B20"/>
    <w:rsid w:val="003F3289"/>
    <w:rsid w:val="003F36E9"/>
    <w:rsid w:val="003F3C62"/>
    <w:rsid w:val="003F5812"/>
    <w:rsid w:val="003F5CB9"/>
    <w:rsid w:val="00400FC6"/>
    <w:rsid w:val="004013C7"/>
    <w:rsid w:val="00401FCF"/>
    <w:rsid w:val="00406285"/>
    <w:rsid w:val="004115A2"/>
    <w:rsid w:val="00411BAD"/>
    <w:rsid w:val="00411BE9"/>
    <w:rsid w:val="004148F9"/>
    <w:rsid w:val="004157D4"/>
    <w:rsid w:val="00416BE1"/>
    <w:rsid w:val="0042084E"/>
    <w:rsid w:val="00421EEF"/>
    <w:rsid w:val="0042460C"/>
    <w:rsid w:val="00424D65"/>
    <w:rsid w:val="004251AD"/>
    <w:rsid w:val="004278F4"/>
    <w:rsid w:val="00430160"/>
    <w:rsid w:val="00430393"/>
    <w:rsid w:val="00431806"/>
    <w:rsid w:val="00431957"/>
    <w:rsid w:val="00431A70"/>
    <w:rsid w:val="00431F42"/>
    <w:rsid w:val="0043300F"/>
    <w:rsid w:val="004332C4"/>
    <w:rsid w:val="0043351C"/>
    <w:rsid w:val="00436F04"/>
    <w:rsid w:val="004373A0"/>
    <w:rsid w:val="004428D8"/>
    <w:rsid w:val="00442C6C"/>
    <w:rsid w:val="00443CBE"/>
    <w:rsid w:val="00443E8A"/>
    <w:rsid w:val="004441BC"/>
    <w:rsid w:val="00444642"/>
    <w:rsid w:val="004446F4"/>
    <w:rsid w:val="004468B4"/>
    <w:rsid w:val="00446D86"/>
    <w:rsid w:val="0045230A"/>
    <w:rsid w:val="00454A7D"/>
    <w:rsid w:val="00454AD0"/>
    <w:rsid w:val="004558E7"/>
    <w:rsid w:val="0045728A"/>
    <w:rsid w:val="00457337"/>
    <w:rsid w:val="00457D82"/>
    <w:rsid w:val="00462E3D"/>
    <w:rsid w:val="004652C7"/>
    <w:rsid w:val="00466E79"/>
    <w:rsid w:val="004705C5"/>
    <w:rsid w:val="00470D7D"/>
    <w:rsid w:val="00471F44"/>
    <w:rsid w:val="0047372D"/>
    <w:rsid w:val="00473BA3"/>
    <w:rsid w:val="004743DD"/>
    <w:rsid w:val="00474CEA"/>
    <w:rsid w:val="00477748"/>
    <w:rsid w:val="00483968"/>
    <w:rsid w:val="004841BE"/>
    <w:rsid w:val="00484F86"/>
    <w:rsid w:val="0048767D"/>
    <w:rsid w:val="00490746"/>
    <w:rsid w:val="00490852"/>
    <w:rsid w:val="00491C9C"/>
    <w:rsid w:val="00492D0B"/>
    <w:rsid w:val="00492F30"/>
    <w:rsid w:val="004946F4"/>
    <w:rsid w:val="0049487E"/>
    <w:rsid w:val="00494E8A"/>
    <w:rsid w:val="004A160D"/>
    <w:rsid w:val="004A3E81"/>
    <w:rsid w:val="004A4195"/>
    <w:rsid w:val="004A5C62"/>
    <w:rsid w:val="004A5CE5"/>
    <w:rsid w:val="004A6107"/>
    <w:rsid w:val="004A707D"/>
    <w:rsid w:val="004B0974"/>
    <w:rsid w:val="004B0C1D"/>
    <w:rsid w:val="004B0F7E"/>
    <w:rsid w:val="004B4185"/>
    <w:rsid w:val="004C19FB"/>
    <w:rsid w:val="004C256D"/>
    <w:rsid w:val="004C3D24"/>
    <w:rsid w:val="004C4BEF"/>
    <w:rsid w:val="004C53E1"/>
    <w:rsid w:val="004C5541"/>
    <w:rsid w:val="004C6EEE"/>
    <w:rsid w:val="004C702B"/>
    <w:rsid w:val="004D0033"/>
    <w:rsid w:val="004D016B"/>
    <w:rsid w:val="004D1B22"/>
    <w:rsid w:val="004D23CC"/>
    <w:rsid w:val="004D36F2"/>
    <w:rsid w:val="004D5EFC"/>
    <w:rsid w:val="004E1106"/>
    <w:rsid w:val="004E138F"/>
    <w:rsid w:val="004E15EA"/>
    <w:rsid w:val="004E4649"/>
    <w:rsid w:val="004E48B8"/>
    <w:rsid w:val="004E5911"/>
    <w:rsid w:val="004E5C2B"/>
    <w:rsid w:val="004E6A3D"/>
    <w:rsid w:val="004E7569"/>
    <w:rsid w:val="004F00DD"/>
    <w:rsid w:val="004F2133"/>
    <w:rsid w:val="004F22AE"/>
    <w:rsid w:val="004F3B92"/>
    <w:rsid w:val="004F503F"/>
    <w:rsid w:val="004F5398"/>
    <w:rsid w:val="004F55F1"/>
    <w:rsid w:val="004F6936"/>
    <w:rsid w:val="004F76D0"/>
    <w:rsid w:val="00500EA2"/>
    <w:rsid w:val="00503DC6"/>
    <w:rsid w:val="00506150"/>
    <w:rsid w:val="00506F5D"/>
    <w:rsid w:val="00510C37"/>
    <w:rsid w:val="005126D0"/>
    <w:rsid w:val="00512D8C"/>
    <w:rsid w:val="0051437C"/>
    <w:rsid w:val="00514667"/>
    <w:rsid w:val="0051568D"/>
    <w:rsid w:val="00517267"/>
    <w:rsid w:val="00521093"/>
    <w:rsid w:val="0052124B"/>
    <w:rsid w:val="00521295"/>
    <w:rsid w:val="005240AE"/>
    <w:rsid w:val="0052526B"/>
    <w:rsid w:val="00526AC7"/>
    <w:rsid w:val="00526C15"/>
    <w:rsid w:val="0053073E"/>
    <w:rsid w:val="005311AC"/>
    <w:rsid w:val="00532435"/>
    <w:rsid w:val="0053583C"/>
    <w:rsid w:val="00536499"/>
    <w:rsid w:val="00541B07"/>
    <w:rsid w:val="005426FE"/>
    <w:rsid w:val="00542A03"/>
    <w:rsid w:val="00543903"/>
    <w:rsid w:val="00543BCC"/>
    <w:rsid w:val="00543F11"/>
    <w:rsid w:val="00544135"/>
    <w:rsid w:val="00546305"/>
    <w:rsid w:val="00547864"/>
    <w:rsid w:val="00547A95"/>
    <w:rsid w:val="0055119B"/>
    <w:rsid w:val="00552856"/>
    <w:rsid w:val="0055465D"/>
    <w:rsid w:val="00554701"/>
    <w:rsid w:val="00561202"/>
    <w:rsid w:val="00561389"/>
    <w:rsid w:val="00562507"/>
    <w:rsid w:val="00562811"/>
    <w:rsid w:val="0056324D"/>
    <w:rsid w:val="005647F1"/>
    <w:rsid w:val="005653F9"/>
    <w:rsid w:val="00567463"/>
    <w:rsid w:val="00572031"/>
    <w:rsid w:val="00572282"/>
    <w:rsid w:val="00572F6D"/>
    <w:rsid w:val="00573CE3"/>
    <w:rsid w:val="005751B4"/>
    <w:rsid w:val="00576E84"/>
    <w:rsid w:val="00577600"/>
    <w:rsid w:val="00580394"/>
    <w:rsid w:val="005807DB"/>
    <w:rsid w:val="0058087E"/>
    <w:rsid w:val="005809CD"/>
    <w:rsid w:val="00582B8C"/>
    <w:rsid w:val="005856C3"/>
    <w:rsid w:val="0058757E"/>
    <w:rsid w:val="005940B4"/>
    <w:rsid w:val="00596A4B"/>
    <w:rsid w:val="00597507"/>
    <w:rsid w:val="005A0819"/>
    <w:rsid w:val="005A26A8"/>
    <w:rsid w:val="005A479D"/>
    <w:rsid w:val="005B0AFB"/>
    <w:rsid w:val="005B1C6D"/>
    <w:rsid w:val="005B21B6"/>
    <w:rsid w:val="005B21BE"/>
    <w:rsid w:val="005B238E"/>
    <w:rsid w:val="005B3A08"/>
    <w:rsid w:val="005B6636"/>
    <w:rsid w:val="005B7A63"/>
    <w:rsid w:val="005C0955"/>
    <w:rsid w:val="005C49DA"/>
    <w:rsid w:val="005C50F3"/>
    <w:rsid w:val="005C54B5"/>
    <w:rsid w:val="005C5D80"/>
    <w:rsid w:val="005C5D91"/>
    <w:rsid w:val="005D07B8"/>
    <w:rsid w:val="005D35E0"/>
    <w:rsid w:val="005D384C"/>
    <w:rsid w:val="005D3AC0"/>
    <w:rsid w:val="005D6597"/>
    <w:rsid w:val="005E0876"/>
    <w:rsid w:val="005E14E7"/>
    <w:rsid w:val="005E26A3"/>
    <w:rsid w:val="005E2ECB"/>
    <w:rsid w:val="005E2F43"/>
    <w:rsid w:val="005E447E"/>
    <w:rsid w:val="005E4FD1"/>
    <w:rsid w:val="005E6F8D"/>
    <w:rsid w:val="005F0775"/>
    <w:rsid w:val="005F0CF5"/>
    <w:rsid w:val="005F21EB"/>
    <w:rsid w:val="005F424B"/>
    <w:rsid w:val="005F5C71"/>
    <w:rsid w:val="005F64CF"/>
    <w:rsid w:val="005F78D2"/>
    <w:rsid w:val="006025F4"/>
    <w:rsid w:val="0060287E"/>
    <w:rsid w:val="006028FC"/>
    <w:rsid w:val="00604124"/>
    <w:rsid w:val="006041AD"/>
    <w:rsid w:val="00605908"/>
    <w:rsid w:val="00607850"/>
    <w:rsid w:val="00607EF7"/>
    <w:rsid w:val="00610D7C"/>
    <w:rsid w:val="00613414"/>
    <w:rsid w:val="006166BB"/>
    <w:rsid w:val="00620154"/>
    <w:rsid w:val="00621223"/>
    <w:rsid w:val="00622E2B"/>
    <w:rsid w:val="00623F42"/>
    <w:rsid w:val="0062408D"/>
    <w:rsid w:val="006240CC"/>
    <w:rsid w:val="00624940"/>
    <w:rsid w:val="0062496B"/>
    <w:rsid w:val="006254F8"/>
    <w:rsid w:val="00626547"/>
    <w:rsid w:val="00626CBE"/>
    <w:rsid w:val="0062772E"/>
    <w:rsid w:val="00627DA7"/>
    <w:rsid w:val="00630DA4"/>
    <w:rsid w:val="00631CD4"/>
    <w:rsid w:val="00632597"/>
    <w:rsid w:val="00633A9E"/>
    <w:rsid w:val="00634D13"/>
    <w:rsid w:val="006358B4"/>
    <w:rsid w:val="0064085A"/>
    <w:rsid w:val="00641724"/>
    <w:rsid w:val="006419AA"/>
    <w:rsid w:val="006422BE"/>
    <w:rsid w:val="0064370D"/>
    <w:rsid w:val="00644B1F"/>
    <w:rsid w:val="00644B7E"/>
    <w:rsid w:val="006454E6"/>
    <w:rsid w:val="00645A82"/>
    <w:rsid w:val="00646235"/>
    <w:rsid w:val="00646A68"/>
    <w:rsid w:val="006505BD"/>
    <w:rsid w:val="006508EA"/>
    <w:rsid w:val="0065092E"/>
    <w:rsid w:val="0065485E"/>
    <w:rsid w:val="006557A7"/>
    <w:rsid w:val="00655CFD"/>
    <w:rsid w:val="00656290"/>
    <w:rsid w:val="006601C9"/>
    <w:rsid w:val="006608D8"/>
    <w:rsid w:val="006621D7"/>
    <w:rsid w:val="0066302A"/>
    <w:rsid w:val="0066382F"/>
    <w:rsid w:val="00664F38"/>
    <w:rsid w:val="00667770"/>
    <w:rsid w:val="00670597"/>
    <w:rsid w:val="006706D0"/>
    <w:rsid w:val="0067313B"/>
    <w:rsid w:val="0067391F"/>
    <w:rsid w:val="00673CFB"/>
    <w:rsid w:val="00677574"/>
    <w:rsid w:val="006812ED"/>
    <w:rsid w:val="00683878"/>
    <w:rsid w:val="00684380"/>
    <w:rsid w:val="0068454C"/>
    <w:rsid w:val="00687EEA"/>
    <w:rsid w:val="0069120E"/>
    <w:rsid w:val="00691B62"/>
    <w:rsid w:val="006933B5"/>
    <w:rsid w:val="00693C28"/>
    <w:rsid w:val="00693D14"/>
    <w:rsid w:val="00696F27"/>
    <w:rsid w:val="006A0BED"/>
    <w:rsid w:val="006A18C2"/>
    <w:rsid w:val="006A3383"/>
    <w:rsid w:val="006A4B80"/>
    <w:rsid w:val="006A5237"/>
    <w:rsid w:val="006A5ABC"/>
    <w:rsid w:val="006B077C"/>
    <w:rsid w:val="006B0BE9"/>
    <w:rsid w:val="006B14C0"/>
    <w:rsid w:val="006B1E52"/>
    <w:rsid w:val="006B6803"/>
    <w:rsid w:val="006C071E"/>
    <w:rsid w:val="006C266D"/>
    <w:rsid w:val="006C50B0"/>
    <w:rsid w:val="006C5A6A"/>
    <w:rsid w:val="006C72CA"/>
    <w:rsid w:val="006C773A"/>
    <w:rsid w:val="006D082F"/>
    <w:rsid w:val="006D0F16"/>
    <w:rsid w:val="006D1285"/>
    <w:rsid w:val="006D23F4"/>
    <w:rsid w:val="006D2A3F"/>
    <w:rsid w:val="006D2FBC"/>
    <w:rsid w:val="006D4C98"/>
    <w:rsid w:val="006D5866"/>
    <w:rsid w:val="006D6E34"/>
    <w:rsid w:val="006E138B"/>
    <w:rsid w:val="006E1867"/>
    <w:rsid w:val="006E6B4B"/>
    <w:rsid w:val="006E7BA3"/>
    <w:rsid w:val="006F0330"/>
    <w:rsid w:val="006F1FDC"/>
    <w:rsid w:val="006F2544"/>
    <w:rsid w:val="006F6B8C"/>
    <w:rsid w:val="007013EF"/>
    <w:rsid w:val="00702C1F"/>
    <w:rsid w:val="007055BD"/>
    <w:rsid w:val="00715B55"/>
    <w:rsid w:val="00715EEF"/>
    <w:rsid w:val="00716632"/>
    <w:rsid w:val="007173CA"/>
    <w:rsid w:val="00717533"/>
    <w:rsid w:val="00720708"/>
    <w:rsid w:val="007216AA"/>
    <w:rsid w:val="00721AB5"/>
    <w:rsid w:val="00721CFB"/>
    <w:rsid w:val="00721DEF"/>
    <w:rsid w:val="00724659"/>
    <w:rsid w:val="00724681"/>
    <w:rsid w:val="00724A43"/>
    <w:rsid w:val="00726E55"/>
    <w:rsid w:val="007273AC"/>
    <w:rsid w:val="00727D9D"/>
    <w:rsid w:val="00731AD4"/>
    <w:rsid w:val="007346E4"/>
    <w:rsid w:val="00734A75"/>
    <w:rsid w:val="00735564"/>
    <w:rsid w:val="00735FDD"/>
    <w:rsid w:val="00740F22"/>
    <w:rsid w:val="00741CF0"/>
    <w:rsid w:val="00741F1A"/>
    <w:rsid w:val="00744777"/>
    <w:rsid w:val="007447DA"/>
    <w:rsid w:val="007450F8"/>
    <w:rsid w:val="00745C83"/>
    <w:rsid w:val="0074696E"/>
    <w:rsid w:val="00750135"/>
    <w:rsid w:val="00750EC2"/>
    <w:rsid w:val="0075171D"/>
    <w:rsid w:val="00751B78"/>
    <w:rsid w:val="00751F31"/>
    <w:rsid w:val="00752B28"/>
    <w:rsid w:val="00752F23"/>
    <w:rsid w:val="007536BC"/>
    <w:rsid w:val="007541A9"/>
    <w:rsid w:val="00754D04"/>
    <w:rsid w:val="00754E36"/>
    <w:rsid w:val="00757825"/>
    <w:rsid w:val="00757DF8"/>
    <w:rsid w:val="00762D1E"/>
    <w:rsid w:val="00763139"/>
    <w:rsid w:val="00764FD1"/>
    <w:rsid w:val="00767DD8"/>
    <w:rsid w:val="00770F37"/>
    <w:rsid w:val="007711A0"/>
    <w:rsid w:val="00771227"/>
    <w:rsid w:val="00771CAA"/>
    <w:rsid w:val="00772D5E"/>
    <w:rsid w:val="0077463E"/>
    <w:rsid w:val="007746DE"/>
    <w:rsid w:val="00776928"/>
    <w:rsid w:val="00776D56"/>
    <w:rsid w:val="00776E0F"/>
    <w:rsid w:val="007774B1"/>
    <w:rsid w:val="00777699"/>
    <w:rsid w:val="00777BE1"/>
    <w:rsid w:val="00782222"/>
    <w:rsid w:val="00782B7A"/>
    <w:rsid w:val="007833D8"/>
    <w:rsid w:val="00785677"/>
    <w:rsid w:val="0078615F"/>
    <w:rsid w:val="00786AD0"/>
    <w:rsid w:val="00786F16"/>
    <w:rsid w:val="0078713E"/>
    <w:rsid w:val="00790648"/>
    <w:rsid w:val="00791BD7"/>
    <w:rsid w:val="007933F7"/>
    <w:rsid w:val="00793F68"/>
    <w:rsid w:val="00796E20"/>
    <w:rsid w:val="00797C32"/>
    <w:rsid w:val="007A11E8"/>
    <w:rsid w:val="007A3906"/>
    <w:rsid w:val="007A3944"/>
    <w:rsid w:val="007A68B1"/>
    <w:rsid w:val="007A7CB1"/>
    <w:rsid w:val="007B0914"/>
    <w:rsid w:val="007B0F1D"/>
    <w:rsid w:val="007B1374"/>
    <w:rsid w:val="007B281D"/>
    <w:rsid w:val="007B32E5"/>
    <w:rsid w:val="007B3C59"/>
    <w:rsid w:val="007B3DB9"/>
    <w:rsid w:val="007B589F"/>
    <w:rsid w:val="007B6186"/>
    <w:rsid w:val="007B73BC"/>
    <w:rsid w:val="007C1838"/>
    <w:rsid w:val="007C1CA7"/>
    <w:rsid w:val="007C20B9"/>
    <w:rsid w:val="007C2D89"/>
    <w:rsid w:val="007C3CD2"/>
    <w:rsid w:val="007C5C7D"/>
    <w:rsid w:val="007C7301"/>
    <w:rsid w:val="007C7859"/>
    <w:rsid w:val="007C7F28"/>
    <w:rsid w:val="007D1466"/>
    <w:rsid w:val="007D177B"/>
    <w:rsid w:val="007D2BDE"/>
    <w:rsid w:val="007D2FB6"/>
    <w:rsid w:val="007D49EB"/>
    <w:rsid w:val="007D5E1C"/>
    <w:rsid w:val="007D643B"/>
    <w:rsid w:val="007E0118"/>
    <w:rsid w:val="007E0DE2"/>
    <w:rsid w:val="007E0E33"/>
    <w:rsid w:val="007E3667"/>
    <w:rsid w:val="007E3B98"/>
    <w:rsid w:val="007E417A"/>
    <w:rsid w:val="007E548D"/>
    <w:rsid w:val="007F0C18"/>
    <w:rsid w:val="007F31B6"/>
    <w:rsid w:val="007F3542"/>
    <w:rsid w:val="007F4BF1"/>
    <w:rsid w:val="007F546C"/>
    <w:rsid w:val="007F55B6"/>
    <w:rsid w:val="007F625F"/>
    <w:rsid w:val="007F665E"/>
    <w:rsid w:val="007F69B4"/>
    <w:rsid w:val="00800412"/>
    <w:rsid w:val="008013B5"/>
    <w:rsid w:val="00803102"/>
    <w:rsid w:val="0080587B"/>
    <w:rsid w:val="008059EE"/>
    <w:rsid w:val="00806468"/>
    <w:rsid w:val="00807436"/>
    <w:rsid w:val="00810BED"/>
    <w:rsid w:val="008110DA"/>
    <w:rsid w:val="008119CA"/>
    <w:rsid w:val="00811CE8"/>
    <w:rsid w:val="008130C4"/>
    <w:rsid w:val="0081373F"/>
    <w:rsid w:val="008155F0"/>
    <w:rsid w:val="008161B6"/>
    <w:rsid w:val="00816735"/>
    <w:rsid w:val="00820141"/>
    <w:rsid w:val="00820E0C"/>
    <w:rsid w:val="00823275"/>
    <w:rsid w:val="0082366F"/>
    <w:rsid w:val="008240D5"/>
    <w:rsid w:val="00825126"/>
    <w:rsid w:val="00827257"/>
    <w:rsid w:val="008338A2"/>
    <w:rsid w:val="00834AD6"/>
    <w:rsid w:val="00835A51"/>
    <w:rsid w:val="00840C10"/>
    <w:rsid w:val="00841AA9"/>
    <w:rsid w:val="008474FE"/>
    <w:rsid w:val="00853C5E"/>
    <w:rsid w:val="00853EE4"/>
    <w:rsid w:val="00855535"/>
    <w:rsid w:val="00857C5A"/>
    <w:rsid w:val="0086255E"/>
    <w:rsid w:val="00862D0F"/>
    <w:rsid w:val="008633F0"/>
    <w:rsid w:val="00865E4F"/>
    <w:rsid w:val="00867D9D"/>
    <w:rsid w:val="00871DB1"/>
    <w:rsid w:val="00872E0A"/>
    <w:rsid w:val="00872EF9"/>
    <w:rsid w:val="00873594"/>
    <w:rsid w:val="00875285"/>
    <w:rsid w:val="00875572"/>
    <w:rsid w:val="00875E38"/>
    <w:rsid w:val="008816E7"/>
    <w:rsid w:val="00881741"/>
    <w:rsid w:val="00884B62"/>
    <w:rsid w:val="0088529C"/>
    <w:rsid w:val="00887541"/>
    <w:rsid w:val="00887903"/>
    <w:rsid w:val="0089270A"/>
    <w:rsid w:val="00893AF6"/>
    <w:rsid w:val="00894BC4"/>
    <w:rsid w:val="00896890"/>
    <w:rsid w:val="00897087"/>
    <w:rsid w:val="008977D1"/>
    <w:rsid w:val="008A14CF"/>
    <w:rsid w:val="008A1EC5"/>
    <w:rsid w:val="008A2347"/>
    <w:rsid w:val="008A248F"/>
    <w:rsid w:val="008A28A8"/>
    <w:rsid w:val="008A462E"/>
    <w:rsid w:val="008A54AC"/>
    <w:rsid w:val="008A5B32"/>
    <w:rsid w:val="008A6D7D"/>
    <w:rsid w:val="008A6E01"/>
    <w:rsid w:val="008A6FAA"/>
    <w:rsid w:val="008B039F"/>
    <w:rsid w:val="008B2029"/>
    <w:rsid w:val="008B2EE4"/>
    <w:rsid w:val="008B3821"/>
    <w:rsid w:val="008B4D3D"/>
    <w:rsid w:val="008B57C7"/>
    <w:rsid w:val="008B5C6C"/>
    <w:rsid w:val="008B73CA"/>
    <w:rsid w:val="008C05E0"/>
    <w:rsid w:val="008C0691"/>
    <w:rsid w:val="008C2F92"/>
    <w:rsid w:val="008C3546"/>
    <w:rsid w:val="008C489B"/>
    <w:rsid w:val="008C589D"/>
    <w:rsid w:val="008C6D51"/>
    <w:rsid w:val="008C748F"/>
    <w:rsid w:val="008D2846"/>
    <w:rsid w:val="008D4236"/>
    <w:rsid w:val="008D462F"/>
    <w:rsid w:val="008D541B"/>
    <w:rsid w:val="008D6DCF"/>
    <w:rsid w:val="008D72EF"/>
    <w:rsid w:val="008D7548"/>
    <w:rsid w:val="008E17DC"/>
    <w:rsid w:val="008E4376"/>
    <w:rsid w:val="008E67E3"/>
    <w:rsid w:val="008E7776"/>
    <w:rsid w:val="008E7A0A"/>
    <w:rsid w:val="008E7B49"/>
    <w:rsid w:val="008F50DA"/>
    <w:rsid w:val="008F59F6"/>
    <w:rsid w:val="008F69C4"/>
    <w:rsid w:val="00900719"/>
    <w:rsid w:val="00900F63"/>
    <w:rsid w:val="009017AC"/>
    <w:rsid w:val="009024E8"/>
    <w:rsid w:val="00902A9A"/>
    <w:rsid w:val="00903269"/>
    <w:rsid w:val="00904A1C"/>
    <w:rsid w:val="00905030"/>
    <w:rsid w:val="00905E8E"/>
    <w:rsid w:val="00906490"/>
    <w:rsid w:val="00910D81"/>
    <w:rsid w:val="009111B2"/>
    <w:rsid w:val="00912E2F"/>
    <w:rsid w:val="00913ACA"/>
    <w:rsid w:val="009151F5"/>
    <w:rsid w:val="00915996"/>
    <w:rsid w:val="0092004E"/>
    <w:rsid w:val="00920131"/>
    <w:rsid w:val="00920FED"/>
    <w:rsid w:val="00922A6C"/>
    <w:rsid w:val="00924AE1"/>
    <w:rsid w:val="009269B1"/>
    <w:rsid w:val="0092724D"/>
    <w:rsid w:val="009272B3"/>
    <w:rsid w:val="00930501"/>
    <w:rsid w:val="009315BE"/>
    <w:rsid w:val="0093225E"/>
    <w:rsid w:val="009326DD"/>
    <w:rsid w:val="0093323C"/>
    <w:rsid w:val="0093338F"/>
    <w:rsid w:val="009378BE"/>
    <w:rsid w:val="00937BD9"/>
    <w:rsid w:val="009418C5"/>
    <w:rsid w:val="009433A2"/>
    <w:rsid w:val="009442E5"/>
    <w:rsid w:val="00947CFF"/>
    <w:rsid w:val="00950262"/>
    <w:rsid w:val="009502E8"/>
    <w:rsid w:val="009502F4"/>
    <w:rsid w:val="00950E2C"/>
    <w:rsid w:val="00951D50"/>
    <w:rsid w:val="009525EB"/>
    <w:rsid w:val="00953930"/>
    <w:rsid w:val="0095470B"/>
    <w:rsid w:val="00954874"/>
    <w:rsid w:val="0095615A"/>
    <w:rsid w:val="00956CD5"/>
    <w:rsid w:val="00961400"/>
    <w:rsid w:val="00961F03"/>
    <w:rsid w:val="00963646"/>
    <w:rsid w:val="00964421"/>
    <w:rsid w:val="00965257"/>
    <w:rsid w:val="0096632D"/>
    <w:rsid w:val="00967124"/>
    <w:rsid w:val="00967B89"/>
    <w:rsid w:val="00967CCB"/>
    <w:rsid w:val="00967E1B"/>
    <w:rsid w:val="0097166C"/>
    <w:rsid w:val="009718C7"/>
    <w:rsid w:val="00971CEF"/>
    <w:rsid w:val="009732E9"/>
    <w:rsid w:val="0097384B"/>
    <w:rsid w:val="0097559F"/>
    <w:rsid w:val="00975D55"/>
    <w:rsid w:val="009761EA"/>
    <w:rsid w:val="0097761E"/>
    <w:rsid w:val="00982454"/>
    <w:rsid w:val="00982CF0"/>
    <w:rsid w:val="009853E1"/>
    <w:rsid w:val="0098551D"/>
    <w:rsid w:val="00986E6B"/>
    <w:rsid w:val="009872B8"/>
    <w:rsid w:val="00987BFC"/>
    <w:rsid w:val="00990032"/>
    <w:rsid w:val="00990B19"/>
    <w:rsid w:val="0099144D"/>
    <w:rsid w:val="0099153B"/>
    <w:rsid w:val="00991769"/>
    <w:rsid w:val="0099232C"/>
    <w:rsid w:val="00993274"/>
    <w:rsid w:val="00994386"/>
    <w:rsid w:val="0099590A"/>
    <w:rsid w:val="009A0A63"/>
    <w:rsid w:val="009A13D8"/>
    <w:rsid w:val="009A279E"/>
    <w:rsid w:val="009A2F76"/>
    <w:rsid w:val="009A3015"/>
    <w:rsid w:val="009A3490"/>
    <w:rsid w:val="009A3C83"/>
    <w:rsid w:val="009A548A"/>
    <w:rsid w:val="009A6C3A"/>
    <w:rsid w:val="009A6F76"/>
    <w:rsid w:val="009A76BD"/>
    <w:rsid w:val="009A7E0C"/>
    <w:rsid w:val="009B0A6F"/>
    <w:rsid w:val="009B0A94"/>
    <w:rsid w:val="009B0B67"/>
    <w:rsid w:val="009B0C62"/>
    <w:rsid w:val="009B28C6"/>
    <w:rsid w:val="009B2903"/>
    <w:rsid w:val="009B2AE8"/>
    <w:rsid w:val="009B5622"/>
    <w:rsid w:val="009B59E9"/>
    <w:rsid w:val="009B60AD"/>
    <w:rsid w:val="009B70AA"/>
    <w:rsid w:val="009C245E"/>
    <w:rsid w:val="009C37E1"/>
    <w:rsid w:val="009C5B61"/>
    <w:rsid w:val="009C5E77"/>
    <w:rsid w:val="009C7A7E"/>
    <w:rsid w:val="009D02E8"/>
    <w:rsid w:val="009D3119"/>
    <w:rsid w:val="009D39E0"/>
    <w:rsid w:val="009D3C93"/>
    <w:rsid w:val="009D51D0"/>
    <w:rsid w:val="009D639C"/>
    <w:rsid w:val="009D6851"/>
    <w:rsid w:val="009D70A4"/>
    <w:rsid w:val="009D7B14"/>
    <w:rsid w:val="009E08D1"/>
    <w:rsid w:val="009E0D96"/>
    <w:rsid w:val="009E1236"/>
    <w:rsid w:val="009E1B95"/>
    <w:rsid w:val="009E496F"/>
    <w:rsid w:val="009E4B0D"/>
    <w:rsid w:val="009E5250"/>
    <w:rsid w:val="009E7A69"/>
    <w:rsid w:val="009E7F92"/>
    <w:rsid w:val="009F02A3"/>
    <w:rsid w:val="009F2182"/>
    <w:rsid w:val="009F2F27"/>
    <w:rsid w:val="009F34AA"/>
    <w:rsid w:val="009F42FC"/>
    <w:rsid w:val="009F50D8"/>
    <w:rsid w:val="009F6BCB"/>
    <w:rsid w:val="009F73CE"/>
    <w:rsid w:val="009F7B78"/>
    <w:rsid w:val="00A0057A"/>
    <w:rsid w:val="00A011B6"/>
    <w:rsid w:val="00A02FA1"/>
    <w:rsid w:val="00A04015"/>
    <w:rsid w:val="00A04CCE"/>
    <w:rsid w:val="00A05DE0"/>
    <w:rsid w:val="00A07421"/>
    <w:rsid w:val="00A0776B"/>
    <w:rsid w:val="00A0799B"/>
    <w:rsid w:val="00A07FC6"/>
    <w:rsid w:val="00A10FB9"/>
    <w:rsid w:val="00A11421"/>
    <w:rsid w:val="00A1206E"/>
    <w:rsid w:val="00A12DAB"/>
    <w:rsid w:val="00A1389F"/>
    <w:rsid w:val="00A13B7A"/>
    <w:rsid w:val="00A13DAF"/>
    <w:rsid w:val="00A157B1"/>
    <w:rsid w:val="00A22229"/>
    <w:rsid w:val="00A24442"/>
    <w:rsid w:val="00A2456A"/>
    <w:rsid w:val="00A24ADA"/>
    <w:rsid w:val="00A27CBF"/>
    <w:rsid w:val="00A32577"/>
    <w:rsid w:val="00A329F3"/>
    <w:rsid w:val="00A330BB"/>
    <w:rsid w:val="00A33386"/>
    <w:rsid w:val="00A3387E"/>
    <w:rsid w:val="00A36181"/>
    <w:rsid w:val="00A36293"/>
    <w:rsid w:val="00A41024"/>
    <w:rsid w:val="00A435A6"/>
    <w:rsid w:val="00A43A11"/>
    <w:rsid w:val="00A4427D"/>
    <w:rsid w:val="00A446F5"/>
    <w:rsid w:val="00A44882"/>
    <w:rsid w:val="00A45125"/>
    <w:rsid w:val="00A509DF"/>
    <w:rsid w:val="00A51698"/>
    <w:rsid w:val="00A524CE"/>
    <w:rsid w:val="00A5285B"/>
    <w:rsid w:val="00A54715"/>
    <w:rsid w:val="00A6061C"/>
    <w:rsid w:val="00A6173D"/>
    <w:rsid w:val="00A62D44"/>
    <w:rsid w:val="00A6332D"/>
    <w:rsid w:val="00A6655A"/>
    <w:rsid w:val="00A67263"/>
    <w:rsid w:val="00A70A64"/>
    <w:rsid w:val="00A7161C"/>
    <w:rsid w:val="00A71CE4"/>
    <w:rsid w:val="00A7374A"/>
    <w:rsid w:val="00A73DE4"/>
    <w:rsid w:val="00A743A0"/>
    <w:rsid w:val="00A75D41"/>
    <w:rsid w:val="00A77726"/>
    <w:rsid w:val="00A77AA3"/>
    <w:rsid w:val="00A8236D"/>
    <w:rsid w:val="00A854EB"/>
    <w:rsid w:val="00A86A8D"/>
    <w:rsid w:val="00A872E5"/>
    <w:rsid w:val="00A90661"/>
    <w:rsid w:val="00A91406"/>
    <w:rsid w:val="00A92C73"/>
    <w:rsid w:val="00A93A31"/>
    <w:rsid w:val="00A95089"/>
    <w:rsid w:val="00A95A45"/>
    <w:rsid w:val="00A96408"/>
    <w:rsid w:val="00A96E65"/>
    <w:rsid w:val="00A96ECE"/>
    <w:rsid w:val="00A97C72"/>
    <w:rsid w:val="00AA310B"/>
    <w:rsid w:val="00AA53D2"/>
    <w:rsid w:val="00AA63D4"/>
    <w:rsid w:val="00AA6C8D"/>
    <w:rsid w:val="00AB06E8"/>
    <w:rsid w:val="00AB1CD3"/>
    <w:rsid w:val="00AB352F"/>
    <w:rsid w:val="00AB47BE"/>
    <w:rsid w:val="00AB7753"/>
    <w:rsid w:val="00AC274B"/>
    <w:rsid w:val="00AC35C3"/>
    <w:rsid w:val="00AC4764"/>
    <w:rsid w:val="00AC6D36"/>
    <w:rsid w:val="00AD004F"/>
    <w:rsid w:val="00AD0202"/>
    <w:rsid w:val="00AD0CBA"/>
    <w:rsid w:val="00AD1C35"/>
    <w:rsid w:val="00AD26E2"/>
    <w:rsid w:val="00AD3EF5"/>
    <w:rsid w:val="00AD46C1"/>
    <w:rsid w:val="00AD58FA"/>
    <w:rsid w:val="00AD746E"/>
    <w:rsid w:val="00AD784C"/>
    <w:rsid w:val="00AE0479"/>
    <w:rsid w:val="00AE126A"/>
    <w:rsid w:val="00AE1BAE"/>
    <w:rsid w:val="00AE3005"/>
    <w:rsid w:val="00AE3BD5"/>
    <w:rsid w:val="00AE547A"/>
    <w:rsid w:val="00AE59A0"/>
    <w:rsid w:val="00AF0C57"/>
    <w:rsid w:val="00AF1E5F"/>
    <w:rsid w:val="00AF26F3"/>
    <w:rsid w:val="00AF5F04"/>
    <w:rsid w:val="00AF66D9"/>
    <w:rsid w:val="00AF66E1"/>
    <w:rsid w:val="00B00672"/>
    <w:rsid w:val="00B00944"/>
    <w:rsid w:val="00B01B4D"/>
    <w:rsid w:val="00B02360"/>
    <w:rsid w:val="00B04489"/>
    <w:rsid w:val="00B06571"/>
    <w:rsid w:val="00B065C0"/>
    <w:rsid w:val="00B068BA"/>
    <w:rsid w:val="00B07217"/>
    <w:rsid w:val="00B073BD"/>
    <w:rsid w:val="00B125AA"/>
    <w:rsid w:val="00B13851"/>
    <w:rsid w:val="00B13B1C"/>
    <w:rsid w:val="00B14B5F"/>
    <w:rsid w:val="00B15EF8"/>
    <w:rsid w:val="00B16C94"/>
    <w:rsid w:val="00B21173"/>
    <w:rsid w:val="00B21F90"/>
    <w:rsid w:val="00B22291"/>
    <w:rsid w:val="00B23B13"/>
    <w:rsid w:val="00B23E3D"/>
    <w:rsid w:val="00B23F9A"/>
    <w:rsid w:val="00B2417B"/>
    <w:rsid w:val="00B24E6F"/>
    <w:rsid w:val="00B253B0"/>
    <w:rsid w:val="00B2616F"/>
    <w:rsid w:val="00B26A25"/>
    <w:rsid w:val="00B26CB5"/>
    <w:rsid w:val="00B2752E"/>
    <w:rsid w:val="00B27F68"/>
    <w:rsid w:val="00B307CC"/>
    <w:rsid w:val="00B30B79"/>
    <w:rsid w:val="00B326B7"/>
    <w:rsid w:val="00B32B16"/>
    <w:rsid w:val="00B346CD"/>
    <w:rsid w:val="00B3588E"/>
    <w:rsid w:val="00B36CEA"/>
    <w:rsid w:val="00B37FBB"/>
    <w:rsid w:val="00B4041F"/>
    <w:rsid w:val="00B40974"/>
    <w:rsid w:val="00B4198F"/>
    <w:rsid w:val="00B41F3D"/>
    <w:rsid w:val="00B431E8"/>
    <w:rsid w:val="00B44EBB"/>
    <w:rsid w:val="00B45141"/>
    <w:rsid w:val="00B519CD"/>
    <w:rsid w:val="00B5273A"/>
    <w:rsid w:val="00B54860"/>
    <w:rsid w:val="00B54F58"/>
    <w:rsid w:val="00B57329"/>
    <w:rsid w:val="00B60E61"/>
    <w:rsid w:val="00B625F1"/>
    <w:rsid w:val="00B62B50"/>
    <w:rsid w:val="00B635B7"/>
    <w:rsid w:val="00B63AE8"/>
    <w:rsid w:val="00B64D7F"/>
    <w:rsid w:val="00B65950"/>
    <w:rsid w:val="00B663A3"/>
    <w:rsid w:val="00B66D83"/>
    <w:rsid w:val="00B672C0"/>
    <w:rsid w:val="00B676FD"/>
    <w:rsid w:val="00B678B6"/>
    <w:rsid w:val="00B72ADA"/>
    <w:rsid w:val="00B74340"/>
    <w:rsid w:val="00B74AA3"/>
    <w:rsid w:val="00B75646"/>
    <w:rsid w:val="00B7629E"/>
    <w:rsid w:val="00B77B20"/>
    <w:rsid w:val="00B80F16"/>
    <w:rsid w:val="00B84801"/>
    <w:rsid w:val="00B87EE0"/>
    <w:rsid w:val="00B90729"/>
    <w:rsid w:val="00B907DA"/>
    <w:rsid w:val="00B90B09"/>
    <w:rsid w:val="00B90F58"/>
    <w:rsid w:val="00B90FF4"/>
    <w:rsid w:val="00B926D5"/>
    <w:rsid w:val="00B93480"/>
    <w:rsid w:val="00B949E2"/>
    <w:rsid w:val="00B94C5E"/>
    <w:rsid w:val="00B950BC"/>
    <w:rsid w:val="00B964CD"/>
    <w:rsid w:val="00B9714C"/>
    <w:rsid w:val="00B97186"/>
    <w:rsid w:val="00BA0666"/>
    <w:rsid w:val="00BA26F6"/>
    <w:rsid w:val="00BA29AD"/>
    <w:rsid w:val="00BA2FB1"/>
    <w:rsid w:val="00BA33CF"/>
    <w:rsid w:val="00BA3427"/>
    <w:rsid w:val="00BA3F8D"/>
    <w:rsid w:val="00BB211F"/>
    <w:rsid w:val="00BB3AF1"/>
    <w:rsid w:val="00BB4836"/>
    <w:rsid w:val="00BB580C"/>
    <w:rsid w:val="00BB5887"/>
    <w:rsid w:val="00BB62B4"/>
    <w:rsid w:val="00BB74AC"/>
    <w:rsid w:val="00BB7A10"/>
    <w:rsid w:val="00BC236F"/>
    <w:rsid w:val="00BC32A6"/>
    <w:rsid w:val="00BC4F60"/>
    <w:rsid w:val="00BC60BE"/>
    <w:rsid w:val="00BC7468"/>
    <w:rsid w:val="00BC7D4F"/>
    <w:rsid w:val="00BC7ED7"/>
    <w:rsid w:val="00BD0C3C"/>
    <w:rsid w:val="00BD260F"/>
    <w:rsid w:val="00BD2850"/>
    <w:rsid w:val="00BD4C7E"/>
    <w:rsid w:val="00BD6B9D"/>
    <w:rsid w:val="00BD7133"/>
    <w:rsid w:val="00BD733E"/>
    <w:rsid w:val="00BE0BA2"/>
    <w:rsid w:val="00BE0DDB"/>
    <w:rsid w:val="00BE28D2"/>
    <w:rsid w:val="00BE4A64"/>
    <w:rsid w:val="00BE5E43"/>
    <w:rsid w:val="00BF557D"/>
    <w:rsid w:val="00BF658D"/>
    <w:rsid w:val="00BF7D29"/>
    <w:rsid w:val="00BF7F58"/>
    <w:rsid w:val="00C01381"/>
    <w:rsid w:val="00C01AB1"/>
    <w:rsid w:val="00C026A0"/>
    <w:rsid w:val="00C036B9"/>
    <w:rsid w:val="00C06137"/>
    <w:rsid w:val="00C064A6"/>
    <w:rsid w:val="00C06929"/>
    <w:rsid w:val="00C079B8"/>
    <w:rsid w:val="00C10037"/>
    <w:rsid w:val="00C115E1"/>
    <w:rsid w:val="00C123EA"/>
    <w:rsid w:val="00C12A49"/>
    <w:rsid w:val="00C133EE"/>
    <w:rsid w:val="00C133F3"/>
    <w:rsid w:val="00C149D0"/>
    <w:rsid w:val="00C15B1C"/>
    <w:rsid w:val="00C1619D"/>
    <w:rsid w:val="00C172BA"/>
    <w:rsid w:val="00C173BA"/>
    <w:rsid w:val="00C21993"/>
    <w:rsid w:val="00C26588"/>
    <w:rsid w:val="00C269A9"/>
    <w:rsid w:val="00C27DE9"/>
    <w:rsid w:val="00C32013"/>
    <w:rsid w:val="00C32989"/>
    <w:rsid w:val="00C33388"/>
    <w:rsid w:val="00C351DF"/>
    <w:rsid w:val="00C35484"/>
    <w:rsid w:val="00C40BCD"/>
    <w:rsid w:val="00C40CB3"/>
    <w:rsid w:val="00C411D3"/>
    <w:rsid w:val="00C4173A"/>
    <w:rsid w:val="00C41996"/>
    <w:rsid w:val="00C448D5"/>
    <w:rsid w:val="00C47C69"/>
    <w:rsid w:val="00C50B49"/>
    <w:rsid w:val="00C50DED"/>
    <w:rsid w:val="00C52217"/>
    <w:rsid w:val="00C525B9"/>
    <w:rsid w:val="00C602FF"/>
    <w:rsid w:val="00C60411"/>
    <w:rsid w:val="00C61174"/>
    <w:rsid w:val="00C6148F"/>
    <w:rsid w:val="00C6149A"/>
    <w:rsid w:val="00C61A91"/>
    <w:rsid w:val="00C621B1"/>
    <w:rsid w:val="00C62F7A"/>
    <w:rsid w:val="00C63B9C"/>
    <w:rsid w:val="00C645F2"/>
    <w:rsid w:val="00C6682F"/>
    <w:rsid w:val="00C670CA"/>
    <w:rsid w:val="00C67BF4"/>
    <w:rsid w:val="00C7275E"/>
    <w:rsid w:val="00C731AF"/>
    <w:rsid w:val="00C74C5D"/>
    <w:rsid w:val="00C75CDC"/>
    <w:rsid w:val="00C77874"/>
    <w:rsid w:val="00C83330"/>
    <w:rsid w:val="00C85587"/>
    <w:rsid w:val="00C85ED3"/>
    <w:rsid w:val="00C863C4"/>
    <w:rsid w:val="00C90DAB"/>
    <w:rsid w:val="00C920EA"/>
    <w:rsid w:val="00C93A39"/>
    <w:rsid w:val="00C93C3E"/>
    <w:rsid w:val="00C95129"/>
    <w:rsid w:val="00C9536B"/>
    <w:rsid w:val="00CA12E3"/>
    <w:rsid w:val="00CA1476"/>
    <w:rsid w:val="00CA6611"/>
    <w:rsid w:val="00CA6AE6"/>
    <w:rsid w:val="00CA782F"/>
    <w:rsid w:val="00CB187B"/>
    <w:rsid w:val="00CB2835"/>
    <w:rsid w:val="00CB3285"/>
    <w:rsid w:val="00CB360A"/>
    <w:rsid w:val="00CB4500"/>
    <w:rsid w:val="00CB49AB"/>
    <w:rsid w:val="00CB504B"/>
    <w:rsid w:val="00CB6C91"/>
    <w:rsid w:val="00CC0C72"/>
    <w:rsid w:val="00CC29CE"/>
    <w:rsid w:val="00CC2BFD"/>
    <w:rsid w:val="00CC3BB0"/>
    <w:rsid w:val="00CC3BCF"/>
    <w:rsid w:val="00CC6F40"/>
    <w:rsid w:val="00CD1336"/>
    <w:rsid w:val="00CD2A43"/>
    <w:rsid w:val="00CD3476"/>
    <w:rsid w:val="00CD3F31"/>
    <w:rsid w:val="00CD64DF"/>
    <w:rsid w:val="00CE0562"/>
    <w:rsid w:val="00CE1C0E"/>
    <w:rsid w:val="00CE1F98"/>
    <w:rsid w:val="00CE225F"/>
    <w:rsid w:val="00CE3FAE"/>
    <w:rsid w:val="00CE4013"/>
    <w:rsid w:val="00CE5A7A"/>
    <w:rsid w:val="00CE6E0E"/>
    <w:rsid w:val="00CF0E24"/>
    <w:rsid w:val="00CF2564"/>
    <w:rsid w:val="00CF2F50"/>
    <w:rsid w:val="00CF5299"/>
    <w:rsid w:val="00CF5734"/>
    <w:rsid w:val="00CF59C9"/>
    <w:rsid w:val="00CF6198"/>
    <w:rsid w:val="00CF6D03"/>
    <w:rsid w:val="00CF6FD7"/>
    <w:rsid w:val="00CF776E"/>
    <w:rsid w:val="00D0269F"/>
    <w:rsid w:val="00D027AD"/>
    <w:rsid w:val="00D02919"/>
    <w:rsid w:val="00D04C61"/>
    <w:rsid w:val="00D05B8D"/>
    <w:rsid w:val="00D05B9B"/>
    <w:rsid w:val="00D065A2"/>
    <w:rsid w:val="00D079AA"/>
    <w:rsid w:val="00D07F00"/>
    <w:rsid w:val="00D1130F"/>
    <w:rsid w:val="00D13576"/>
    <w:rsid w:val="00D15775"/>
    <w:rsid w:val="00D17808"/>
    <w:rsid w:val="00D17B72"/>
    <w:rsid w:val="00D24945"/>
    <w:rsid w:val="00D3185C"/>
    <w:rsid w:val="00D3205F"/>
    <w:rsid w:val="00D3318E"/>
    <w:rsid w:val="00D33E72"/>
    <w:rsid w:val="00D35BD6"/>
    <w:rsid w:val="00D35E7E"/>
    <w:rsid w:val="00D360ED"/>
    <w:rsid w:val="00D361B5"/>
    <w:rsid w:val="00D36B2E"/>
    <w:rsid w:val="00D40C22"/>
    <w:rsid w:val="00D411A2"/>
    <w:rsid w:val="00D41B21"/>
    <w:rsid w:val="00D43B18"/>
    <w:rsid w:val="00D457B3"/>
    <w:rsid w:val="00D4606D"/>
    <w:rsid w:val="00D46982"/>
    <w:rsid w:val="00D50B9C"/>
    <w:rsid w:val="00D513AF"/>
    <w:rsid w:val="00D5219A"/>
    <w:rsid w:val="00D52709"/>
    <w:rsid w:val="00D52D73"/>
    <w:rsid w:val="00D52E58"/>
    <w:rsid w:val="00D53840"/>
    <w:rsid w:val="00D564BC"/>
    <w:rsid w:val="00D56B20"/>
    <w:rsid w:val="00D578B3"/>
    <w:rsid w:val="00D618F4"/>
    <w:rsid w:val="00D63636"/>
    <w:rsid w:val="00D67BE9"/>
    <w:rsid w:val="00D714CC"/>
    <w:rsid w:val="00D72809"/>
    <w:rsid w:val="00D7293F"/>
    <w:rsid w:val="00D749BC"/>
    <w:rsid w:val="00D75EA7"/>
    <w:rsid w:val="00D76ECC"/>
    <w:rsid w:val="00D81ADF"/>
    <w:rsid w:val="00D81F21"/>
    <w:rsid w:val="00D8277D"/>
    <w:rsid w:val="00D8378E"/>
    <w:rsid w:val="00D864F2"/>
    <w:rsid w:val="00D938BA"/>
    <w:rsid w:val="00D943F8"/>
    <w:rsid w:val="00D94602"/>
    <w:rsid w:val="00D95470"/>
    <w:rsid w:val="00D9576A"/>
    <w:rsid w:val="00D96B55"/>
    <w:rsid w:val="00DA2619"/>
    <w:rsid w:val="00DA4239"/>
    <w:rsid w:val="00DA4D83"/>
    <w:rsid w:val="00DA588C"/>
    <w:rsid w:val="00DA642B"/>
    <w:rsid w:val="00DA65DE"/>
    <w:rsid w:val="00DB0B61"/>
    <w:rsid w:val="00DB1474"/>
    <w:rsid w:val="00DB2962"/>
    <w:rsid w:val="00DB4CB5"/>
    <w:rsid w:val="00DB52FB"/>
    <w:rsid w:val="00DB62C1"/>
    <w:rsid w:val="00DB63A6"/>
    <w:rsid w:val="00DB6F20"/>
    <w:rsid w:val="00DC013B"/>
    <w:rsid w:val="00DC090B"/>
    <w:rsid w:val="00DC1679"/>
    <w:rsid w:val="00DC219B"/>
    <w:rsid w:val="00DC2CF1"/>
    <w:rsid w:val="00DC2DC7"/>
    <w:rsid w:val="00DC2EA0"/>
    <w:rsid w:val="00DC3A7C"/>
    <w:rsid w:val="00DC4514"/>
    <w:rsid w:val="00DC4FCF"/>
    <w:rsid w:val="00DC50E0"/>
    <w:rsid w:val="00DC6386"/>
    <w:rsid w:val="00DD1130"/>
    <w:rsid w:val="00DD1951"/>
    <w:rsid w:val="00DD1DEC"/>
    <w:rsid w:val="00DD42DD"/>
    <w:rsid w:val="00DD487D"/>
    <w:rsid w:val="00DD4E83"/>
    <w:rsid w:val="00DD5302"/>
    <w:rsid w:val="00DD6628"/>
    <w:rsid w:val="00DD6945"/>
    <w:rsid w:val="00DD69F4"/>
    <w:rsid w:val="00DE1F10"/>
    <w:rsid w:val="00DE2D04"/>
    <w:rsid w:val="00DE3250"/>
    <w:rsid w:val="00DE6028"/>
    <w:rsid w:val="00DE6C85"/>
    <w:rsid w:val="00DE78A3"/>
    <w:rsid w:val="00DF02A7"/>
    <w:rsid w:val="00DF0A6E"/>
    <w:rsid w:val="00DF1843"/>
    <w:rsid w:val="00DF1A71"/>
    <w:rsid w:val="00DF1E5B"/>
    <w:rsid w:val="00DF399E"/>
    <w:rsid w:val="00DF50FC"/>
    <w:rsid w:val="00DF68C7"/>
    <w:rsid w:val="00DF731A"/>
    <w:rsid w:val="00E054C7"/>
    <w:rsid w:val="00E06B75"/>
    <w:rsid w:val="00E11332"/>
    <w:rsid w:val="00E11352"/>
    <w:rsid w:val="00E127D0"/>
    <w:rsid w:val="00E13A80"/>
    <w:rsid w:val="00E162AF"/>
    <w:rsid w:val="00E170DC"/>
    <w:rsid w:val="00E17546"/>
    <w:rsid w:val="00E17DD2"/>
    <w:rsid w:val="00E20B7A"/>
    <w:rsid w:val="00E210B5"/>
    <w:rsid w:val="00E219B1"/>
    <w:rsid w:val="00E22575"/>
    <w:rsid w:val="00E261B3"/>
    <w:rsid w:val="00E26818"/>
    <w:rsid w:val="00E27FFC"/>
    <w:rsid w:val="00E30B15"/>
    <w:rsid w:val="00E32F6C"/>
    <w:rsid w:val="00E33149"/>
    <w:rsid w:val="00E33237"/>
    <w:rsid w:val="00E40181"/>
    <w:rsid w:val="00E42EE1"/>
    <w:rsid w:val="00E4659B"/>
    <w:rsid w:val="00E47881"/>
    <w:rsid w:val="00E5122C"/>
    <w:rsid w:val="00E514AC"/>
    <w:rsid w:val="00E537D6"/>
    <w:rsid w:val="00E54950"/>
    <w:rsid w:val="00E5506D"/>
    <w:rsid w:val="00E55FB3"/>
    <w:rsid w:val="00E5623E"/>
    <w:rsid w:val="00E56A01"/>
    <w:rsid w:val="00E629A1"/>
    <w:rsid w:val="00E62A8E"/>
    <w:rsid w:val="00E65053"/>
    <w:rsid w:val="00E659F2"/>
    <w:rsid w:val="00E65E81"/>
    <w:rsid w:val="00E6794C"/>
    <w:rsid w:val="00E700B1"/>
    <w:rsid w:val="00E71591"/>
    <w:rsid w:val="00E715A8"/>
    <w:rsid w:val="00E71C1E"/>
    <w:rsid w:val="00E71CEB"/>
    <w:rsid w:val="00E74669"/>
    <w:rsid w:val="00E7474F"/>
    <w:rsid w:val="00E800FE"/>
    <w:rsid w:val="00E80DE3"/>
    <w:rsid w:val="00E82C55"/>
    <w:rsid w:val="00E83D89"/>
    <w:rsid w:val="00E85822"/>
    <w:rsid w:val="00E86E27"/>
    <w:rsid w:val="00E8718C"/>
    <w:rsid w:val="00E8787E"/>
    <w:rsid w:val="00E9042A"/>
    <w:rsid w:val="00E90E6A"/>
    <w:rsid w:val="00E92AC3"/>
    <w:rsid w:val="00E93B6A"/>
    <w:rsid w:val="00E96BFD"/>
    <w:rsid w:val="00E97DEF"/>
    <w:rsid w:val="00EA0EA0"/>
    <w:rsid w:val="00EA20EC"/>
    <w:rsid w:val="00EA2F6A"/>
    <w:rsid w:val="00EB00E0"/>
    <w:rsid w:val="00EB05D5"/>
    <w:rsid w:val="00EB0D0E"/>
    <w:rsid w:val="00EB4A72"/>
    <w:rsid w:val="00EB4BC7"/>
    <w:rsid w:val="00EB56B9"/>
    <w:rsid w:val="00EB61CD"/>
    <w:rsid w:val="00EB6D32"/>
    <w:rsid w:val="00EB7D68"/>
    <w:rsid w:val="00EC059F"/>
    <w:rsid w:val="00EC05F8"/>
    <w:rsid w:val="00EC1F24"/>
    <w:rsid w:val="00EC22F6"/>
    <w:rsid w:val="00EC3DB9"/>
    <w:rsid w:val="00EC43E2"/>
    <w:rsid w:val="00EC503D"/>
    <w:rsid w:val="00EC6E01"/>
    <w:rsid w:val="00ED0C76"/>
    <w:rsid w:val="00ED2F17"/>
    <w:rsid w:val="00ED40D7"/>
    <w:rsid w:val="00ED41E3"/>
    <w:rsid w:val="00ED460A"/>
    <w:rsid w:val="00ED5B9B"/>
    <w:rsid w:val="00ED6BAD"/>
    <w:rsid w:val="00ED7447"/>
    <w:rsid w:val="00ED7762"/>
    <w:rsid w:val="00EE00D6"/>
    <w:rsid w:val="00EE11E7"/>
    <w:rsid w:val="00EE1331"/>
    <w:rsid w:val="00EE1488"/>
    <w:rsid w:val="00EE29AD"/>
    <w:rsid w:val="00EE39D4"/>
    <w:rsid w:val="00EE3E24"/>
    <w:rsid w:val="00EE41D7"/>
    <w:rsid w:val="00EE4D5D"/>
    <w:rsid w:val="00EE4DA8"/>
    <w:rsid w:val="00EE502E"/>
    <w:rsid w:val="00EE5131"/>
    <w:rsid w:val="00EF109B"/>
    <w:rsid w:val="00EF201C"/>
    <w:rsid w:val="00EF2C72"/>
    <w:rsid w:val="00EF36AF"/>
    <w:rsid w:val="00EF4547"/>
    <w:rsid w:val="00EF59A3"/>
    <w:rsid w:val="00EF6675"/>
    <w:rsid w:val="00F0063D"/>
    <w:rsid w:val="00F00F9C"/>
    <w:rsid w:val="00F0156A"/>
    <w:rsid w:val="00F01E5F"/>
    <w:rsid w:val="00F024F3"/>
    <w:rsid w:val="00F02ABA"/>
    <w:rsid w:val="00F039BF"/>
    <w:rsid w:val="00F0437A"/>
    <w:rsid w:val="00F0535B"/>
    <w:rsid w:val="00F06EB6"/>
    <w:rsid w:val="00F07257"/>
    <w:rsid w:val="00F101B8"/>
    <w:rsid w:val="00F11037"/>
    <w:rsid w:val="00F16F1B"/>
    <w:rsid w:val="00F16FE4"/>
    <w:rsid w:val="00F20574"/>
    <w:rsid w:val="00F250A9"/>
    <w:rsid w:val="00F267AF"/>
    <w:rsid w:val="00F302CA"/>
    <w:rsid w:val="00F30FF4"/>
    <w:rsid w:val="00F3122E"/>
    <w:rsid w:val="00F31D21"/>
    <w:rsid w:val="00F32368"/>
    <w:rsid w:val="00F331AD"/>
    <w:rsid w:val="00F33F3C"/>
    <w:rsid w:val="00F35287"/>
    <w:rsid w:val="00F37A57"/>
    <w:rsid w:val="00F40A70"/>
    <w:rsid w:val="00F428D1"/>
    <w:rsid w:val="00F43A37"/>
    <w:rsid w:val="00F4641B"/>
    <w:rsid w:val="00F46EB8"/>
    <w:rsid w:val="00F50CD1"/>
    <w:rsid w:val="00F511E4"/>
    <w:rsid w:val="00F52D09"/>
    <w:rsid w:val="00F52E08"/>
    <w:rsid w:val="00F53A2A"/>
    <w:rsid w:val="00F53A66"/>
    <w:rsid w:val="00F54082"/>
    <w:rsid w:val="00F5462D"/>
    <w:rsid w:val="00F55B21"/>
    <w:rsid w:val="00F56EF6"/>
    <w:rsid w:val="00F60082"/>
    <w:rsid w:val="00F61A9F"/>
    <w:rsid w:val="00F61B5F"/>
    <w:rsid w:val="00F64696"/>
    <w:rsid w:val="00F653F6"/>
    <w:rsid w:val="00F65AA9"/>
    <w:rsid w:val="00F6768F"/>
    <w:rsid w:val="00F7010D"/>
    <w:rsid w:val="00F719D5"/>
    <w:rsid w:val="00F72C2C"/>
    <w:rsid w:val="00F741F2"/>
    <w:rsid w:val="00F76CAB"/>
    <w:rsid w:val="00F772C6"/>
    <w:rsid w:val="00F80B25"/>
    <w:rsid w:val="00F80CDA"/>
    <w:rsid w:val="00F815B5"/>
    <w:rsid w:val="00F81883"/>
    <w:rsid w:val="00F835FA"/>
    <w:rsid w:val="00F84C12"/>
    <w:rsid w:val="00F84DF2"/>
    <w:rsid w:val="00F85195"/>
    <w:rsid w:val="00F8577E"/>
    <w:rsid w:val="00F868E3"/>
    <w:rsid w:val="00F903CB"/>
    <w:rsid w:val="00F909CC"/>
    <w:rsid w:val="00F91334"/>
    <w:rsid w:val="00F938BA"/>
    <w:rsid w:val="00F97919"/>
    <w:rsid w:val="00FA2C46"/>
    <w:rsid w:val="00FA3466"/>
    <w:rsid w:val="00FA3525"/>
    <w:rsid w:val="00FA5886"/>
    <w:rsid w:val="00FA5A53"/>
    <w:rsid w:val="00FA7AA0"/>
    <w:rsid w:val="00FB1F6E"/>
    <w:rsid w:val="00FB41DC"/>
    <w:rsid w:val="00FB42AE"/>
    <w:rsid w:val="00FB4769"/>
    <w:rsid w:val="00FB4CDA"/>
    <w:rsid w:val="00FB6481"/>
    <w:rsid w:val="00FB6D36"/>
    <w:rsid w:val="00FC0965"/>
    <w:rsid w:val="00FC0F81"/>
    <w:rsid w:val="00FC1904"/>
    <w:rsid w:val="00FC1FFF"/>
    <w:rsid w:val="00FC252F"/>
    <w:rsid w:val="00FC395C"/>
    <w:rsid w:val="00FC5E8E"/>
    <w:rsid w:val="00FC7BAD"/>
    <w:rsid w:val="00FD3766"/>
    <w:rsid w:val="00FD3D05"/>
    <w:rsid w:val="00FD47C4"/>
    <w:rsid w:val="00FD7771"/>
    <w:rsid w:val="00FE03CD"/>
    <w:rsid w:val="00FE2DCF"/>
    <w:rsid w:val="00FE3FA7"/>
    <w:rsid w:val="00FE4081"/>
    <w:rsid w:val="00FE412E"/>
    <w:rsid w:val="00FE56A9"/>
    <w:rsid w:val="00FE72F1"/>
    <w:rsid w:val="00FE7722"/>
    <w:rsid w:val="00FF216E"/>
    <w:rsid w:val="00FF2331"/>
    <w:rsid w:val="00FF2533"/>
    <w:rsid w:val="00FF2A4E"/>
    <w:rsid w:val="00FF2F3B"/>
    <w:rsid w:val="00FF2FCE"/>
    <w:rsid w:val="00FF3A88"/>
    <w:rsid w:val="00FF4956"/>
    <w:rsid w:val="00FF4F7D"/>
    <w:rsid w:val="00FF6D9D"/>
    <w:rsid w:val="00FF7620"/>
    <w:rsid w:val="00FF7DD5"/>
    <w:rsid w:val="53AEBB52"/>
    <w:rsid w:val="795989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BC4D4A"/>
  <w15:docId w15:val="{DAA49E8B-F2EB-428C-B413-72E02E0E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aliases w:val="normal"/>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ullet,b,b + line,b1,level 1"/>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normal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72"/>
    <w:qFormat/>
    <w:rsid w:val="007F3542"/>
    <w:pPr>
      <w:spacing w:after="200" w:line="276" w:lineRule="auto"/>
      <w:ind w:left="720"/>
      <w:contextualSpacing/>
    </w:pPr>
    <w:rPr>
      <w:rFonts w:asciiTheme="minorHAnsi" w:eastAsiaTheme="minorHAnsi" w:hAnsiTheme="minorHAnsi" w:cstheme="minorBidi"/>
      <w:sz w:val="22"/>
      <w:szCs w:val="22"/>
    </w:rPr>
  </w:style>
  <w:style w:type="paragraph" w:customStyle="1" w:styleId="TOCheadingfactsheet">
    <w:name w:val="TOC heading fact sheet"/>
    <w:basedOn w:val="Heading2"/>
    <w:next w:val="Body"/>
    <w:link w:val="TOCheadingfactsheetChar"/>
    <w:uiPriority w:val="4"/>
    <w:rsid w:val="007F3542"/>
    <w:pPr>
      <w:spacing w:after="200" w:line="330" w:lineRule="atLeast"/>
      <w:outlineLvl w:val="9"/>
    </w:pPr>
    <w:rPr>
      <w:sz w:val="29"/>
    </w:rPr>
  </w:style>
  <w:style w:type="character" w:customStyle="1" w:styleId="TOCheadingfactsheetChar">
    <w:name w:val="TOC heading fact sheet Char"/>
    <w:link w:val="TOCheadingfactsheet"/>
    <w:uiPriority w:val="4"/>
    <w:rsid w:val="007F3542"/>
    <w:rPr>
      <w:rFonts w:ascii="Arial" w:hAnsi="Arial"/>
      <w:b/>
      <w:color w:val="53565A"/>
      <w:sz w:val="29"/>
      <w:szCs w:val="28"/>
      <w:lang w:eastAsia="en-US"/>
    </w:rPr>
  </w:style>
  <w:style w:type="paragraph" w:customStyle="1" w:styleId="DHHSmainsubheading">
    <w:name w:val="DHHS main subheading"/>
    <w:uiPriority w:val="99"/>
    <w:rsid w:val="007F3542"/>
    <w:rPr>
      <w:rFonts w:ascii="Arial" w:hAnsi="Arial"/>
      <w:color w:val="595959"/>
      <w:sz w:val="32"/>
      <w:szCs w:val="24"/>
      <w:lang w:eastAsia="en-US"/>
    </w:rPr>
  </w:style>
  <w:style w:type="paragraph" w:customStyle="1" w:styleId="DHHSbody">
    <w:name w:val="DHHS body"/>
    <w:link w:val="DHHSbodyChar"/>
    <w:qFormat/>
    <w:rsid w:val="007F3542"/>
    <w:pPr>
      <w:spacing w:after="120" w:line="270" w:lineRule="atLeast"/>
    </w:pPr>
    <w:rPr>
      <w:rFonts w:ascii="Arial" w:eastAsia="Times" w:hAnsi="Arial"/>
      <w:lang w:eastAsia="en-US"/>
    </w:rPr>
  </w:style>
  <w:style w:type="character" w:customStyle="1" w:styleId="DHHSbodyChar">
    <w:name w:val="DHHS body Char"/>
    <w:link w:val="DHHSbody"/>
    <w:rsid w:val="007F3542"/>
    <w:rPr>
      <w:rFonts w:ascii="Arial" w:eastAsia="Times" w:hAnsi="Arial"/>
      <w:lang w:eastAsia="en-US"/>
    </w:rPr>
  </w:style>
  <w:style w:type="paragraph" w:styleId="NormalWeb">
    <w:name w:val="Normal (Web)"/>
    <w:basedOn w:val="Normal"/>
    <w:uiPriority w:val="99"/>
    <w:semiHidden/>
    <w:unhideWhenUsed/>
    <w:rsid w:val="007F3542"/>
    <w:pPr>
      <w:spacing w:after="0" w:line="240" w:lineRule="auto"/>
    </w:pPr>
    <w:rPr>
      <w:rFonts w:ascii="Calibri" w:eastAsiaTheme="minorHAnsi" w:hAnsi="Calibri" w:cs="Calibri"/>
      <w:sz w:val="22"/>
      <w:szCs w:val="22"/>
      <w:lang w:eastAsia="en-AU"/>
    </w:rPr>
  </w:style>
  <w:style w:type="paragraph" w:customStyle="1" w:styleId="DHHSbullet1">
    <w:name w:val="DHHS bullet 1"/>
    <w:basedOn w:val="DHHSbody"/>
    <w:qFormat/>
    <w:rsid w:val="007F3542"/>
    <w:pPr>
      <w:numPr>
        <w:numId w:val="17"/>
      </w:numPr>
      <w:tabs>
        <w:tab w:val="num" w:pos="1209"/>
      </w:tabs>
      <w:spacing w:after="40"/>
      <w:ind w:left="1209" w:hanging="360"/>
    </w:pPr>
  </w:style>
  <w:style w:type="paragraph" w:customStyle="1" w:styleId="DHHSbullet2">
    <w:name w:val="DHHS bullet 2"/>
    <w:basedOn w:val="DHHSbody"/>
    <w:uiPriority w:val="2"/>
    <w:qFormat/>
    <w:rsid w:val="007F3542"/>
    <w:pPr>
      <w:numPr>
        <w:ilvl w:val="2"/>
        <w:numId w:val="17"/>
      </w:numPr>
      <w:tabs>
        <w:tab w:val="num" w:pos="1209"/>
      </w:tabs>
      <w:spacing w:after="40"/>
      <w:ind w:left="1209" w:hanging="360"/>
    </w:pPr>
  </w:style>
  <w:style w:type="paragraph" w:customStyle="1" w:styleId="DHHSbullet1lastline">
    <w:name w:val="DHHS bullet 1 last line"/>
    <w:basedOn w:val="DHHSbullet1"/>
    <w:qFormat/>
    <w:rsid w:val="007F3542"/>
    <w:pPr>
      <w:numPr>
        <w:ilvl w:val="1"/>
      </w:numPr>
      <w:tabs>
        <w:tab w:val="num" w:pos="1209"/>
      </w:tabs>
      <w:spacing w:after="120"/>
      <w:ind w:left="1209" w:hanging="360"/>
    </w:pPr>
  </w:style>
  <w:style w:type="paragraph" w:customStyle="1" w:styleId="DHHSbullet2lastline">
    <w:name w:val="DHHS bullet 2 last line"/>
    <w:basedOn w:val="DHHSbullet2"/>
    <w:uiPriority w:val="2"/>
    <w:qFormat/>
    <w:rsid w:val="007F3542"/>
    <w:pPr>
      <w:numPr>
        <w:ilvl w:val="3"/>
      </w:numPr>
      <w:tabs>
        <w:tab w:val="num" w:pos="1209"/>
      </w:tabs>
      <w:spacing w:after="120"/>
      <w:ind w:left="1209" w:hanging="360"/>
    </w:pPr>
  </w:style>
  <w:style w:type="paragraph" w:customStyle="1" w:styleId="DHHStablebullet">
    <w:name w:val="DHHS table bullet"/>
    <w:basedOn w:val="Normal"/>
    <w:uiPriority w:val="3"/>
    <w:qFormat/>
    <w:rsid w:val="007F3542"/>
    <w:pPr>
      <w:numPr>
        <w:ilvl w:val="6"/>
        <w:numId w:val="17"/>
      </w:numPr>
      <w:spacing w:before="80" w:after="60" w:line="240" w:lineRule="auto"/>
    </w:pPr>
    <w:rPr>
      <w:sz w:val="20"/>
    </w:rPr>
  </w:style>
  <w:style w:type="numbering" w:customStyle="1" w:styleId="Bullets">
    <w:name w:val="Bullets"/>
    <w:rsid w:val="007F3542"/>
    <w:pPr>
      <w:numPr>
        <w:numId w:val="17"/>
      </w:numPr>
    </w:pPr>
  </w:style>
  <w:style w:type="paragraph" w:customStyle="1" w:styleId="DHHSbulletindent">
    <w:name w:val="DHHS bullet indent"/>
    <w:basedOn w:val="DHHSbody"/>
    <w:uiPriority w:val="4"/>
    <w:rsid w:val="007F3542"/>
    <w:pPr>
      <w:numPr>
        <w:ilvl w:val="4"/>
        <w:numId w:val="17"/>
      </w:numPr>
      <w:tabs>
        <w:tab w:val="num" w:pos="1209"/>
      </w:tabs>
      <w:spacing w:after="40"/>
      <w:ind w:left="1209" w:hanging="360"/>
    </w:pPr>
  </w:style>
  <w:style w:type="paragraph" w:customStyle="1" w:styleId="DHHSbulletindentlastline">
    <w:name w:val="DHHS bullet indent last line"/>
    <w:basedOn w:val="DHHSbody"/>
    <w:uiPriority w:val="4"/>
    <w:rsid w:val="007F3542"/>
    <w:pPr>
      <w:numPr>
        <w:ilvl w:val="5"/>
        <w:numId w:val="17"/>
      </w:numPr>
      <w:tabs>
        <w:tab w:val="num" w:pos="1209"/>
      </w:tabs>
      <w:ind w:left="1209" w:hanging="360"/>
    </w:pPr>
  </w:style>
  <w:style w:type="paragraph" w:styleId="TOCHeading">
    <w:name w:val="TOC Heading"/>
    <w:basedOn w:val="Heading1"/>
    <w:next w:val="Normal"/>
    <w:uiPriority w:val="39"/>
    <w:unhideWhenUsed/>
    <w:qFormat/>
    <w:rsid w:val="007F3542"/>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accessibilitypara">
    <w:name w:val="DHHS accessibility para"/>
    <w:uiPriority w:val="8"/>
    <w:rsid w:val="007F3542"/>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885879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144185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797768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board-applications" TargetMode="External"/><Relationship Id="rId2" Type="http://schemas.openxmlformats.org/officeDocument/2006/relationships/customXml" Target="../customXml/item2.xml"/><Relationship Id="rId16" Type="http://schemas.openxmlformats.org/officeDocument/2006/relationships/hyperlink" Target="mailto:healthservicegovernance@health.vi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Status xmlns="add73ec2-c5fa-4fd3-8424-81af2714d9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3f6a604f4a0e5a5d8f640ca9ab472568">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f51c206d1d0239a42b2b0f9b2ce04e96"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add73ec2-c5fa-4fd3-8424-81af2714d9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9d008163-efe8-41c9-8a6e-39d389fb6c27"/>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35FB1CF7-1F06-4524-ABBB-BC534F0E2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7151</Words>
  <Characters>40764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Board Director Capability Framework</vt:lpstr>
    </vt:vector>
  </TitlesOfParts>
  <Manager/>
  <Company>State Government Victoria, Department of Health</Company>
  <LinksUpToDate>false</LinksUpToDate>
  <CharactersWithSpaces>47820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Director Capability Framework</dc:title>
  <dc:subject>Board Director Capability Framework</dc:subject>
  <dc:creator>Public Hospitals and Multi Purpose Services - Board and Committee Meeting Information</dc:creator>
  <cp:keywords>Capability, Framework, Board Director</cp:keywords>
  <dc:description/>
  <cp:lastModifiedBy>Danielle Sweeney (Health)</cp:lastModifiedBy>
  <cp:revision>2</cp:revision>
  <cp:lastPrinted>2021-01-27T15:27:00Z</cp:lastPrinted>
  <dcterms:created xsi:type="dcterms:W3CDTF">2025-10-27T00:19:00Z</dcterms:created>
  <dcterms:modified xsi:type="dcterms:W3CDTF">2025-10-27T00:19:00Z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2023-10-11T09:13:36Z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378758b4-5d25-4770-a307-959078e4b2ac</vt:lpwstr>
  </property>
  <property fmtid="{D5CDD505-2E9C-101B-9397-08002B2CF9AE}" pid="12" name="MSIP_Label_43e64453-338c-4f93-8a4d-0039a0a41f2a_ContentBits">
    <vt:lpwstr>2</vt:lpwstr>
  </property>
  <property fmtid="{D5CDD505-2E9C-101B-9397-08002B2CF9AE}" pid="13" name="docLang">
    <vt:lpwstr>en</vt:lpwstr>
  </property>
</Properties>
</file>