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49FA" w14:textId="3782EF28" w:rsidR="00B36C6E" w:rsidRPr="00B36C6E" w:rsidRDefault="00B36C6E" w:rsidP="00B36C6E">
      <w:pPr>
        <w:pStyle w:val="Heading2"/>
        <w:rPr>
          <w:sz w:val="40"/>
          <w:szCs w:val="40"/>
        </w:rPr>
      </w:pPr>
      <w:r w:rsidRPr="29ED19EB">
        <w:rPr>
          <w:sz w:val="40"/>
          <w:szCs w:val="40"/>
        </w:rPr>
        <w:t>Eligibility</w:t>
      </w:r>
      <w:r w:rsidR="00130BFB" w:rsidRPr="29ED19EB">
        <w:rPr>
          <w:sz w:val="40"/>
          <w:szCs w:val="40"/>
        </w:rPr>
        <w:t xml:space="preserve"> </w:t>
      </w:r>
      <w:r w:rsidR="00C03F79">
        <w:rPr>
          <w:sz w:val="40"/>
          <w:szCs w:val="40"/>
        </w:rPr>
        <w:t xml:space="preserve">of Victorian Public Sector Employees </w:t>
      </w:r>
      <w:r w:rsidR="00130BFB" w:rsidRPr="29ED19EB">
        <w:rPr>
          <w:sz w:val="40"/>
          <w:szCs w:val="40"/>
        </w:rPr>
        <w:t xml:space="preserve">for </w:t>
      </w:r>
      <w:r w:rsidR="00323004">
        <w:rPr>
          <w:sz w:val="40"/>
          <w:szCs w:val="40"/>
        </w:rPr>
        <w:t xml:space="preserve">appointment as a health service </w:t>
      </w:r>
      <w:r w:rsidR="006054B5" w:rsidRPr="29ED19EB">
        <w:rPr>
          <w:sz w:val="40"/>
          <w:szCs w:val="40"/>
        </w:rPr>
        <w:t>board director</w:t>
      </w:r>
    </w:p>
    <w:p w14:paraId="29E51CCD" w14:textId="17F479A2" w:rsidR="00B36C6E" w:rsidRPr="00B57329" w:rsidRDefault="00B36C6E" w:rsidP="00A956DB">
      <w:pPr>
        <w:pStyle w:val="Heading2"/>
        <w:tabs>
          <w:tab w:val="center" w:pos="4513"/>
          <w:tab w:val="left" w:pos="6289"/>
        </w:tabs>
      </w:pPr>
      <w:r>
        <w:t>Purpose</w:t>
      </w:r>
    </w:p>
    <w:p w14:paraId="5F5C750F" w14:textId="57C8E178" w:rsidR="00B36C6E" w:rsidRPr="003B6691" w:rsidRDefault="00B36C6E" w:rsidP="00AF4AD6">
      <w:pPr>
        <w:pStyle w:val="Body"/>
      </w:pPr>
      <w:r w:rsidRPr="003B6691">
        <w:rPr>
          <w:sz w:val="22"/>
          <w:szCs w:val="22"/>
        </w:rPr>
        <w:t xml:space="preserve">To </w:t>
      </w:r>
      <w:r w:rsidR="008773D3" w:rsidRPr="003B6691">
        <w:rPr>
          <w:sz w:val="22"/>
          <w:szCs w:val="22"/>
        </w:rPr>
        <w:t xml:space="preserve">support </w:t>
      </w:r>
      <w:r w:rsidR="00B61B44" w:rsidRPr="003B6691">
        <w:rPr>
          <w:sz w:val="22"/>
          <w:szCs w:val="22"/>
        </w:rPr>
        <w:t xml:space="preserve">a culture of </w:t>
      </w:r>
      <w:r w:rsidR="008773D3" w:rsidRPr="003B6691">
        <w:rPr>
          <w:sz w:val="22"/>
          <w:szCs w:val="22"/>
        </w:rPr>
        <w:t>integri</w:t>
      </w:r>
      <w:r w:rsidR="009F3080" w:rsidRPr="003B6691">
        <w:rPr>
          <w:sz w:val="22"/>
          <w:szCs w:val="22"/>
        </w:rPr>
        <w:t>ty on</w:t>
      </w:r>
      <w:r w:rsidR="00DB1012" w:rsidRPr="003B6691">
        <w:rPr>
          <w:sz w:val="22"/>
          <w:szCs w:val="22"/>
        </w:rPr>
        <w:t xml:space="preserve"> </w:t>
      </w:r>
      <w:r w:rsidR="00101546" w:rsidRPr="003B6691">
        <w:rPr>
          <w:sz w:val="22"/>
          <w:szCs w:val="22"/>
        </w:rPr>
        <w:t>g</w:t>
      </w:r>
      <w:r w:rsidR="00DB1012" w:rsidRPr="003B6691">
        <w:rPr>
          <w:sz w:val="22"/>
          <w:szCs w:val="22"/>
        </w:rPr>
        <w:t>overnment health boards, the Department of Health</w:t>
      </w:r>
      <w:r w:rsidR="00945C58">
        <w:rPr>
          <w:sz w:val="22"/>
          <w:szCs w:val="22"/>
        </w:rPr>
        <w:t xml:space="preserve"> (the Department)</w:t>
      </w:r>
      <w:r w:rsidR="00DB1012" w:rsidRPr="003B6691">
        <w:rPr>
          <w:sz w:val="22"/>
          <w:szCs w:val="22"/>
        </w:rPr>
        <w:t xml:space="preserve"> has develop</w:t>
      </w:r>
      <w:r w:rsidR="0036444C" w:rsidRPr="003B6691">
        <w:rPr>
          <w:sz w:val="22"/>
          <w:szCs w:val="22"/>
        </w:rPr>
        <w:t>ed</w:t>
      </w:r>
      <w:r w:rsidR="00DB1012" w:rsidRPr="003B6691">
        <w:rPr>
          <w:sz w:val="22"/>
          <w:szCs w:val="22"/>
        </w:rPr>
        <w:t xml:space="preserve"> </w:t>
      </w:r>
      <w:r w:rsidRPr="003B6691">
        <w:rPr>
          <w:sz w:val="22"/>
          <w:szCs w:val="22"/>
        </w:rPr>
        <w:t xml:space="preserve">eligibility criteria for </w:t>
      </w:r>
      <w:r w:rsidR="00CA5C08" w:rsidRPr="003B6691">
        <w:rPr>
          <w:sz w:val="22"/>
          <w:szCs w:val="22"/>
        </w:rPr>
        <w:t>member</w:t>
      </w:r>
      <w:r w:rsidR="008F64A2" w:rsidRPr="003B6691">
        <w:rPr>
          <w:sz w:val="22"/>
          <w:szCs w:val="22"/>
        </w:rPr>
        <w:t>s</w:t>
      </w:r>
      <w:r w:rsidR="00323004" w:rsidRPr="003B6691">
        <w:rPr>
          <w:sz w:val="22"/>
          <w:szCs w:val="22"/>
        </w:rPr>
        <w:t xml:space="preserve"> </w:t>
      </w:r>
      <w:r w:rsidR="00F96862" w:rsidRPr="003B6691">
        <w:rPr>
          <w:sz w:val="22"/>
          <w:szCs w:val="22"/>
        </w:rPr>
        <w:t xml:space="preserve">of the Victorian Public Service </w:t>
      </w:r>
      <w:r w:rsidR="00945C58">
        <w:rPr>
          <w:sz w:val="22"/>
          <w:szCs w:val="22"/>
        </w:rPr>
        <w:t xml:space="preserve">(VPS) </w:t>
      </w:r>
      <w:r w:rsidR="00CB097B" w:rsidRPr="003B6691">
        <w:rPr>
          <w:sz w:val="22"/>
          <w:szCs w:val="22"/>
        </w:rPr>
        <w:t>who seek to</w:t>
      </w:r>
      <w:r w:rsidR="00B56447" w:rsidRPr="003B6691">
        <w:rPr>
          <w:sz w:val="22"/>
          <w:szCs w:val="22"/>
        </w:rPr>
        <w:t xml:space="preserve"> join a </w:t>
      </w:r>
      <w:r w:rsidR="00CA5C08" w:rsidRPr="003B6691">
        <w:rPr>
          <w:sz w:val="22"/>
          <w:szCs w:val="22"/>
        </w:rPr>
        <w:t>Victorian</w:t>
      </w:r>
      <w:r w:rsidR="0036444C" w:rsidRPr="003B6691">
        <w:rPr>
          <w:sz w:val="22"/>
          <w:szCs w:val="22"/>
        </w:rPr>
        <w:t xml:space="preserve"> </w:t>
      </w:r>
      <w:r w:rsidR="00D05D26" w:rsidRPr="003B6691">
        <w:rPr>
          <w:sz w:val="22"/>
          <w:szCs w:val="22"/>
        </w:rPr>
        <w:t xml:space="preserve">government </w:t>
      </w:r>
      <w:r w:rsidR="0036444C" w:rsidRPr="003B6691">
        <w:rPr>
          <w:sz w:val="22"/>
          <w:szCs w:val="22"/>
        </w:rPr>
        <w:t>health</w:t>
      </w:r>
      <w:r w:rsidRPr="003B6691">
        <w:rPr>
          <w:sz w:val="22"/>
          <w:szCs w:val="22"/>
        </w:rPr>
        <w:t xml:space="preserve"> board</w:t>
      </w:r>
      <w:r w:rsidR="00FE5991" w:rsidRPr="003B6691">
        <w:rPr>
          <w:sz w:val="22"/>
          <w:szCs w:val="22"/>
        </w:rPr>
        <w:t>.</w:t>
      </w:r>
      <w:r w:rsidR="000807B6" w:rsidRPr="003B6691">
        <w:rPr>
          <w:sz w:val="22"/>
          <w:szCs w:val="22"/>
        </w:rPr>
        <w:t xml:space="preserve"> </w:t>
      </w:r>
    </w:p>
    <w:p w14:paraId="1EB2FB50" w14:textId="0FFC19DF" w:rsidR="00257648" w:rsidRDefault="164E58F4" w:rsidP="00121A30">
      <w:pPr>
        <w:pStyle w:val="Heading2"/>
      </w:pPr>
      <w:r w:rsidRPr="00121A30">
        <w:t>Scope</w:t>
      </w:r>
    </w:p>
    <w:p w14:paraId="7AF2DDE3" w14:textId="7D89B992" w:rsidR="00257648" w:rsidRDefault="001546F0" w:rsidP="00B36C6E">
      <w:pPr>
        <w:rPr>
          <w:rFonts w:ascii="Arial" w:eastAsia="Times" w:hAnsi="Arial" w:cs="Times New Roman"/>
        </w:rPr>
      </w:pPr>
      <w:r w:rsidRPr="29ED19EB">
        <w:rPr>
          <w:rFonts w:ascii="Arial" w:eastAsia="Times" w:hAnsi="Arial" w:cs="Times New Roman"/>
        </w:rPr>
        <w:t xml:space="preserve">For the purposes of this </w:t>
      </w:r>
      <w:r w:rsidR="006D6046" w:rsidRPr="29ED19EB">
        <w:rPr>
          <w:rFonts w:ascii="Arial" w:eastAsia="Times" w:hAnsi="Arial" w:cs="Times New Roman"/>
        </w:rPr>
        <w:t>policy, a</w:t>
      </w:r>
      <w:r w:rsidR="00257648" w:rsidRPr="29ED19EB">
        <w:rPr>
          <w:rFonts w:ascii="Arial" w:eastAsia="Times" w:hAnsi="Arial" w:cs="Times New Roman"/>
        </w:rPr>
        <w:t xml:space="preserve"> </w:t>
      </w:r>
      <w:r w:rsidR="00557B69" w:rsidRPr="29ED19EB">
        <w:rPr>
          <w:rFonts w:ascii="Arial" w:eastAsia="Times" w:hAnsi="Arial" w:cs="Times New Roman"/>
        </w:rPr>
        <w:t xml:space="preserve">Victorian </w:t>
      </w:r>
      <w:r w:rsidR="00726275" w:rsidRPr="29ED19EB">
        <w:rPr>
          <w:rFonts w:ascii="Arial" w:eastAsia="Times" w:hAnsi="Arial" w:cs="Times New Roman"/>
        </w:rPr>
        <w:t>government</w:t>
      </w:r>
      <w:r w:rsidR="00257648" w:rsidRPr="29ED19EB">
        <w:rPr>
          <w:rFonts w:ascii="Arial" w:eastAsia="Times" w:hAnsi="Arial" w:cs="Times New Roman"/>
        </w:rPr>
        <w:t xml:space="preserve"> health board is </w:t>
      </w:r>
      <w:r w:rsidR="00432F6D" w:rsidRPr="29ED19EB">
        <w:rPr>
          <w:rFonts w:ascii="Arial" w:eastAsia="Times" w:hAnsi="Arial" w:cs="Times New Roman"/>
        </w:rPr>
        <w:t>an entity</w:t>
      </w:r>
      <w:r w:rsidR="00257648" w:rsidRPr="29ED19EB">
        <w:rPr>
          <w:rFonts w:ascii="Arial" w:eastAsia="Times" w:hAnsi="Arial" w:cs="Times New Roman"/>
        </w:rPr>
        <w:t xml:space="preserve"> as defined under the following Acts:</w:t>
      </w:r>
      <w:r w:rsidR="00557B69" w:rsidRPr="29ED19EB">
        <w:rPr>
          <w:rFonts w:ascii="Arial" w:eastAsia="Times" w:hAnsi="Arial" w:cs="Times New Roman"/>
        </w:rPr>
        <w:t xml:space="preserve"> </w:t>
      </w:r>
    </w:p>
    <w:p w14:paraId="4983BDC3" w14:textId="6446FA5F" w:rsidR="00121A30" w:rsidRPr="002557B8" w:rsidRDefault="6C83FF8B" w:rsidP="00121A30">
      <w:pPr>
        <w:pStyle w:val="ListParagraph"/>
        <w:numPr>
          <w:ilvl w:val="0"/>
          <w:numId w:val="1"/>
        </w:numPr>
        <w:rPr>
          <w:rFonts w:ascii="Arial" w:eastAsia="Times" w:hAnsi="Arial" w:cs="Times New Roman"/>
        </w:rPr>
      </w:pPr>
      <w:r w:rsidRPr="00121A30">
        <w:rPr>
          <w:rFonts w:ascii="Arial" w:eastAsia="Times" w:hAnsi="Arial" w:cs="Times New Roman"/>
          <w:i/>
          <w:iCs/>
        </w:rPr>
        <w:t xml:space="preserve">Health </w:t>
      </w:r>
      <w:r w:rsidRPr="29ED19EB">
        <w:rPr>
          <w:rFonts w:ascii="Arial" w:eastAsia="Times" w:hAnsi="Arial" w:cs="Times New Roman"/>
          <w:i/>
          <w:iCs/>
        </w:rPr>
        <w:t>Services Act</w:t>
      </w:r>
      <w:r w:rsidR="00867AB8">
        <w:rPr>
          <w:rFonts w:ascii="Arial" w:eastAsia="Times" w:hAnsi="Arial" w:cs="Times New Roman"/>
          <w:i/>
          <w:iCs/>
        </w:rPr>
        <w:t xml:space="preserve"> 1988 (Vic)</w:t>
      </w:r>
    </w:p>
    <w:p w14:paraId="2DB4413C" w14:textId="77777777" w:rsidR="00DF7CE7" w:rsidRPr="001D22ED" w:rsidRDefault="00DF7CE7" w:rsidP="00DF7CE7">
      <w:pPr>
        <w:pStyle w:val="ListParagraph"/>
        <w:numPr>
          <w:ilvl w:val="0"/>
          <w:numId w:val="1"/>
        </w:numPr>
        <w:rPr>
          <w:rFonts w:ascii="Arial" w:eastAsia="Times" w:hAnsi="Arial" w:cs="Times New Roman"/>
          <w:i/>
          <w:iCs/>
        </w:rPr>
      </w:pPr>
      <w:r w:rsidRPr="002557B8">
        <w:rPr>
          <w:rFonts w:ascii="Arial" w:eastAsia="Times" w:hAnsi="Arial" w:cs="Times New Roman"/>
          <w:i/>
          <w:iCs/>
        </w:rPr>
        <w:t xml:space="preserve">Ambulance </w:t>
      </w:r>
      <w:r>
        <w:rPr>
          <w:rFonts w:ascii="Arial" w:eastAsia="Times" w:hAnsi="Arial" w:cs="Times New Roman"/>
          <w:i/>
          <w:iCs/>
        </w:rPr>
        <w:t>Services Act 1986 (Vic)</w:t>
      </w:r>
    </w:p>
    <w:p w14:paraId="3D6466CB" w14:textId="46EF5C8D" w:rsidR="00121A30" w:rsidRPr="002557B8" w:rsidRDefault="1AE02F8F" w:rsidP="00B36C6E">
      <w:pPr>
        <w:pStyle w:val="ListParagraph"/>
        <w:numPr>
          <w:ilvl w:val="0"/>
          <w:numId w:val="1"/>
        </w:numPr>
        <w:rPr>
          <w:rFonts w:ascii="Arial" w:eastAsia="Times" w:hAnsi="Arial" w:cs="Times New Roman"/>
        </w:rPr>
      </w:pPr>
      <w:r w:rsidRPr="29ED19EB">
        <w:rPr>
          <w:rFonts w:ascii="Arial" w:eastAsia="Times" w:hAnsi="Arial" w:cs="Times New Roman"/>
          <w:i/>
          <w:iCs/>
        </w:rPr>
        <w:t>Mental Health</w:t>
      </w:r>
      <w:r w:rsidR="00BF1831">
        <w:rPr>
          <w:rFonts w:ascii="Arial" w:eastAsia="Times" w:hAnsi="Arial" w:cs="Times New Roman"/>
          <w:i/>
          <w:iCs/>
        </w:rPr>
        <w:t xml:space="preserve"> and Wellbeing</w:t>
      </w:r>
      <w:r w:rsidRPr="29ED19EB">
        <w:rPr>
          <w:rFonts w:ascii="Arial" w:eastAsia="Times" w:hAnsi="Arial" w:cs="Times New Roman"/>
          <w:i/>
          <w:iCs/>
        </w:rPr>
        <w:t xml:space="preserve"> Act</w:t>
      </w:r>
      <w:r w:rsidR="00867AB8">
        <w:rPr>
          <w:rFonts w:ascii="Arial" w:eastAsia="Times" w:hAnsi="Arial" w:cs="Times New Roman"/>
          <w:i/>
          <w:iCs/>
        </w:rPr>
        <w:t xml:space="preserve"> 20</w:t>
      </w:r>
      <w:r w:rsidR="00BF1831">
        <w:rPr>
          <w:rFonts w:ascii="Arial" w:eastAsia="Times" w:hAnsi="Arial" w:cs="Times New Roman"/>
          <w:i/>
          <w:iCs/>
        </w:rPr>
        <w:t>22</w:t>
      </w:r>
      <w:r w:rsidR="00867AB8">
        <w:rPr>
          <w:rFonts w:ascii="Arial" w:eastAsia="Times" w:hAnsi="Arial" w:cs="Times New Roman"/>
          <w:i/>
          <w:iCs/>
        </w:rPr>
        <w:t xml:space="preserve"> (Vic)</w:t>
      </w:r>
      <w:r w:rsidR="004236F5">
        <w:rPr>
          <w:rFonts w:ascii="Arial" w:eastAsia="Times" w:hAnsi="Arial" w:cs="Times New Roman"/>
          <w:i/>
          <w:iCs/>
        </w:rPr>
        <w:t xml:space="preserve"> </w:t>
      </w:r>
      <w:r w:rsidR="004B3AE7">
        <w:rPr>
          <w:rFonts w:ascii="Arial" w:eastAsia="Times" w:hAnsi="Arial" w:cs="Times New Roman"/>
          <w:i/>
          <w:iCs/>
        </w:rPr>
        <w:t>–</w:t>
      </w:r>
      <w:r w:rsidR="004236F5">
        <w:rPr>
          <w:rFonts w:ascii="Arial" w:eastAsia="Times" w:hAnsi="Arial" w:cs="Times New Roman"/>
          <w:i/>
          <w:iCs/>
        </w:rPr>
        <w:t xml:space="preserve"> </w:t>
      </w:r>
      <w:r w:rsidR="004B3AE7">
        <w:rPr>
          <w:rFonts w:ascii="Arial" w:eastAsia="Times" w:hAnsi="Arial" w:cs="Times New Roman"/>
          <w:i/>
          <w:iCs/>
        </w:rPr>
        <w:t>excluding the Mental Health Tribunal</w:t>
      </w:r>
    </w:p>
    <w:p w14:paraId="40ED365B" w14:textId="40A79B8E" w:rsidR="006D0155" w:rsidRDefault="00006792" w:rsidP="00AF4AD6">
      <w:pPr>
        <w:pStyle w:val="Body"/>
        <w:rPr>
          <w:sz w:val="22"/>
          <w:szCs w:val="22"/>
        </w:rPr>
      </w:pPr>
      <w:r w:rsidRPr="003B6691">
        <w:rPr>
          <w:sz w:val="22"/>
          <w:szCs w:val="22"/>
        </w:rPr>
        <w:t xml:space="preserve">The </w:t>
      </w:r>
      <w:r w:rsidR="00FB7C0E" w:rsidRPr="003B6691">
        <w:rPr>
          <w:sz w:val="22"/>
          <w:szCs w:val="22"/>
        </w:rPr>
        <w:t xml:space="preserve">eligibility criteria </w:t>
      </w:r>
      <w:proofErr w:type="gramStart"/>
      <w:r w:rsidR="00FB7C0E" w:rsidRPr="003B6691">
        <w:rPr>
          <w:sz w:val="22"/>
          <w:szCs w:val="22"/>
        </w:rPr>
        <w:t>appl</w:t>
      </w:r>
      <w:r w:rsidR="00D920C5" w:rsidRPr="003B6691">
        <w:rPr>
          <w:sz w:val="22"/>
          <w:szCs w:val="22"/>
        </w:rPr>
        <w:t>ies</w:t>
      </w:r>
      <w:proofErr w:type="gramEnd"/>
      <w:r w:rsidR="00FB7C0E" w:rsidRPr="003B6691">
        <w:rPr>
          <w:sz w:val="22"/>
          <w:szCs w:val="22"/>
        </w:rPr>
        <w:t xml:space="preserve"> to</w:t>
      </w:r>
      <w:r w:rsidR="009466B0" w:rsidRPr="003B6691">
        <w:rPr>
          <w:sz w:val="22"/>
          <w:szCs w:val="22"/>
        </w:rPr>
        <w:t xml:space="preserve"> </w:t>
      </w:r>
      <w:r w:rsidR="00FB7C0E" w:rsidRPr="003B6691">
        <w:rPr>
          <w:sz w:val="22"/>
          <w:szCs w:val="22"/>
        </w:rPr>
        <w:t xml:space="preserve">current </w:t>
      </w:r>
      <w:r w:rsidR="0038238C" w:rsidRPr="003B6691">
        <w:rPr>
          <w:sz w:val="22"/>
          <w:szCs w:val="22"/>
        </w:rPr>
        <w:t xml:space="preserve">members of </w:t>
      </w:r>
      <w:r w:rsidR="00A53F0B" w:rsidRPr="003B6691">
        <w:rPr>
          <w:sz w:val="22"/>
          <w:szCs w:val="22"/>
        </w:rPr>
        <w:t xml:space="preserve">health boards whose </w:t>
      </w:r>
      <w:r w:rsidR="00170356" w:rsidRPr="003B6691">
        <w:rPr>
          <w:sz w:val="22"/>
          <w:szCs w:val="22"/>
        </w:rPr>
        <w:t xml:space="preserve">professional circumstances have changed </w:t>
      </w:r>
      <w:r w:rsidR="001D11FF" w:rsidRPr="003B6691">
        <w:rPr>
          <w:sz w:val="22"/>
          <w:szCs w:val="22"/>
        </w:rPr>
        <w:t>during their appointment ter</w:t>
      </w:r>
      <w:r w:rsidR="006D0155" w:rsidRPr="003B6691">
        <w:rPr>
          <w:sz w:val="22"/>
          <w:szCs w:val="22"/>
        </w:rPr>
        <w:t>m</w:t>
      </w:r>
      <w:r w:rsidR="006D0201" w:rsidRPr="003B6691">
        <w:rPr>
          <w:sz w:val="22"/>
          <w:szCs w:val="22"/>
        </w:rPr>
        <w:t xml:space="preserve">, and to </w:t>
      </w:r>
      <w:r w:rsidR="006D0155" w:rsidRPr="003B6691">
        <w:rPr>
          <w:sz w:val="22"/>
          <w:szCs w:val="22"/>
        </w:rPr>
        <w:t xml:space="preserve">persons applying to be a member of a </w:t>
      </w:r>
      <w:r w:rsidR="0002196E">
        <w:rPr>
          <w:sz w:val="22"/>
          <w:szCs w:val="22"/>
        </w:rPr>
        <w:t xml:space="preserve">government </w:t>
      </w:r>
      <w:r w:rsidR="006D0155" w:rsidRPr="003B6691">
        <w:rPr>
          <w:sz w:val="22"/>
          <w:szCs w:val="22"/>
        </w:rPr>
        <w:t>health board</w:t>
      </w:r>
      <w:r w:rsidR="006D0201" w:rsidRPr="003B6691">
        <w:rPr>
          <w:sz w:val="22"/>
          <w:szCs w:val="22"/>
        </w:rPr>
        <w:t xml:space="preserve">. </w:t>
      </w:r>
    </w:p>
    <w:p w14:paraId="557B677B" w14:textId="77777777" w:rsidR="00887880" w:rsidRDefault="00887880" w:rsidP="00887880">
      <w:pPr>
        <w:pStyle w:val="Body"/>
        <w:rPr>
          <w:sz w:val="22"/>
          <w:szCs w:val="22"/>
        </w:rPr>
      </w:pPr>
      <w:r>
        <w:rPr>
          <w:sz w:val="22"/>
          <w:szCs w:val="22"/>
        </w:rPr>
        <w:t xml:space="preserve">Board directors, while a public official, are not employees of the health service </w:t>
      </w:r>
      <w:r w:rsidRPr="00F57951">
        <w:rPr>
          <w:sz w:val="22"/>
          <w:szCs w:val="22"/>
        </w:rPr>
        <w:t xml:space="preserve">and </w:t>
      </w:r>
      <w:r w:rsidRPr="00F57951">
        <w:rPr>
          <w:rStyle w:val="normaltextrun"/>
          <w:rFonts w:cs="Arial"/>
          <w:sz w:val="22"/>
          <w:szCs w:val="22"/>
        </w:rPr>
        <w:t xml:space="preserve">therefore not </w:t>
      </w:r>
      <w:r>
        <w:rPr>
          <w:rStyle w:val="normaltextrun"/>
          <w:rFonts w:cs="Arial"/>
          <w:sz w:val="22"/>
          <w:szCs w:val="22"/>
        </w:rPr>
        <w:t xml:space="preserve">employees </w:t>
      </w:r>
      <w:r w:rsidRPr="00F57951">
        <w:rPr>
          <w:rStyle w:val="normaltextrun"/>
          <w:rFonts w:cs="Arial"/>
          <w:sz w:val="22"/>
          <w:szCs w:val="22"/>
        </w:rPr>
        <w:t xml:space="preserve">of the </w:t>
      </w:r>
      <w:r>
        <w:rPr>
          <w:rStyle w:val="normaltextrun"/>
          <w:rFonts w:cs="Arial"/>
          <w:sz w:val="22"/>
          <w:szCs w:val="22"/>
        </w:rPr>
        <w:t>VPS</w:t>
      </w:r>
      <w:r w:rsidRPr="00F57951">
        <w:rPr>
          <w:rStyle w:val="normaltextrun"/>
          <w:rFonts w:cs="Arial"/>
          <w:sz w:val="22"/>
          <w:szCs w:val="22"/>
        </w:rPr>
        <w:t xml:space="preserve"> by virtue </w:t>
      </w:r>
      <w:r>
        <w:rPr>
          <w:rStyle w:val="normaltextrun"/>
          <w:rFonts w:cs="Arial"/>
          <w:sz w:val="22"/>
          <w:szCs w:val="22"/>
        </w:rPr>
        <w:t xml:space="preserve">of </w:t>
      </w:r>
      <w:r w:rsidRPr="00F57951">
        <w:rPr>
          <w:rStyle w:val="normaltextrun"/>
          <w:rFonts w:cs="Arial"/>
          <w:sz w:val="22"/>
          <w:szCs w:val="22"/>
        </w:rPr>
        <w:t>solely being a director</w:t>
      </w:r>
      <w:r w:rsidRPr="00F57951">
        <w:rPr>
          <w:sz w:val="22"/>
          <w:szCs w:val="22"/>
        </w:rPr>
        <w:t>.</w:t>
      </w:r>
      <w:r>
        <w:rPr>
          <w:sz w:val="22"/>
          <w:szCs w:val="22"/>
        </w:rPr>
        <w:t xml:space="preserve"> </w:t>
      </w:r>
    </w:p>
    <w:p w14:paraId="7A3DCE45" w14:textId="47F7EA9D" w:rsidR="00887880" w:rsidRDefault="00887880" w:rsidP="00887880">
      <w:pPr>
        <w:pStyle w:val="Body"/>
        <w:rPr>
          <w:sz w:val="22"/>
          <w:szCs w:val="22"/>
        </w:rPr>
      </w:pPr>
      <w:r w:rsidRPr="00AF4AD6">
        <w:rPr>
          <w:sz w:val="22"/>
          <w:szCs w:val="22"/>
        </w:rPr>
        <w:t xml:space="preserve">Employees of Victorian Government departments, statutory authorities (including public health services, public hospitals and </w:t>
      </w:r>
      <w:proofErr w:type="spellStart"/>
      <w:r w:rsidRPr="00AF4AD6">
        <w:rPr>
          <w:sz w:val="22"/>
          <w:szCs w:val="22"/>
        </w:rPr>
        <w:t>multi purpose</w:t>
      </w:r>
      <w:proofErr w:type="spellEnd"/>
      <w:r w:rsidRPr="00AF4AD6">
        <w:rPr>
          <w:sz w:val="22"/>
          <w:szCs w:val="22"/>
        </w:rPr>
        <w:t xml:space="preserve"> services) and other entities</w:t>
      </w:r>
      <w:r w:rsidR="006518B7">
        <w:rPr>
          <w:sz w:val="22"/>
          <w:szCs w:val="22"/>
        </w:rPr>
        <w:t>,</w:t>
      </w:r>
      <w:r w:rsidRPr="00AF4AD6">
        <w:rPr>
          <w:sz w:val="22"/>
          <w:szCs w:val="22"/>
        </w:rPr>
        <w:t xml:space="preserve"> but excluding local government</w:t>
      </w:r>
      <w:r>
        <w:rPr>
          <w:sz w:val="22"/>
          <w:szCs w:val="22"/>
        </w:rPr>
        <w:t xml:space="preserve"> and universities</w:t>
      </w:r>
      <w:r w:rsidR="006518B7">
        <w:rPr>
          <w:sz w:val="22"/>
          <w:szCs w:val="22"/>
        </w:rPr>
        <w:t>,</w:t>
      </w:r>
      <w:r w:rsidRPr="00AF4AD6">
        <w:rPr>
          <w:sz w:val="22"/>
          <w:szCs w:val="22"/>
        </w:rPr>
        <w:t xml:space="preserve"> are classified as members of the </w:t>
      </w:r>
      <w:r>
        <w:rPr>
          <w:sz w:val="22"/>
          <w:szCs w:val="22"/>
        </w:rPr>
        <w:t>VPS</w:t>
      </w:r>
      <w:r w:rsidRPr="00AF4AD6">
        <w:rPr>
          <w:sz w:val="22"/>
          <w:szCs w:val="22"/>
        </w:rPr>
        <w:t xml:space="preserve">. </w:t>
      </w:r>
    </w:p>
    <w:p w14:paraId="6031F431" w14:textId="79C7518F" w:rsidR="00B277B2" w:rsidRDefault="0008197D" w:rsidP="00B277B2">
      <w:pPr>
        <w:pStyle w:val="Heading2"/>
      </w:pPr>
      <w:r>
        <w:t>Eligibility criteria</w:t>
      </w:r>
    </w:p>
    <w:p w14:paraId="1DD32099" w14:textId="7B48043E" w:rsidR="00874EA1" w:rsidRDefault="006F6519" w:rsidP="00AF4AD6">
      <w:pPr>
        <w:pStyle w:val="Body"/>
        <w:rPr>
          <w:sz w:val="22"/>
          <w:szCs w:val="22"/>
        </w:rPr>
      </w:pPr>
      <w:r>
        <w:rPr>
          <w:sz w:val="22"/>
          <w:szCs w:val="22"/>
        </w:rPr>
        <w:t>T</w:t>
      </w:r>
      <w:r w:rsidR="006E41C3">
        <w:rPr>
          <w:sz w:val="22"/>
          <w:szCs w:val="22"/>
        </w:rPr>
        <w:t xml:space="preserve">he </w:t>
      </w:r>
      <w:r w:rsidR="00C37B3A" w:rsidRPr="00AA2DEA">
        <w:rPr>
          <w:sz w:val="22"/>
          <w:szCs w:val="22"/>
        </w:rPr>
        <w:t xml:space="preserve">eligibility criteria </w:t>
      </w:r>
      <w:r w:rsidR="00E9764F">
        <w:rPr>
          <w:sz w:val="22"/>
          <w:szCs w:val="22"/>
        </w:rPr>
        <w:t>are</w:t>
      </w:r>
      <w:r w:rsidR="00C37B3A" w:rsidRPr="002557B8">
        <w:rPr>
          <w:sz w:val="22"/>
          <w:szCs w:val="22"/>
        </w:rPr>
        <w:t xml:space="preserve"> underpinned by </w:t>
      </w:r>
      <w:r w:rsidR="00E9764F">
        <w:rPr>
          <w:sz w:val="22"/>
          <w:szCs w:val="22"/>
        </w:rPr>
        <w:t>the</w:t>
      </w:r>
      <w:r w:rsidR="00C37B3A" w:rsidRPr="002557B8">
        <w:rPr>
          <w:sz w:val="22"/>
          <w:szCs w:val="22"/>
        </w:rPr>
        <w:t xml:space="preserve"> principle</w:t>
      </w:r>
      <w:r w:rsidR="000E2936">
        <w:rPr>
          <w:sz w:val="22"/>
          <w:szCs w:val="22"/>
        </w:rPr>
        <w:t xml:space="preserve"> of </w:t>
      </w:r>
      <w:r w:rsidR="00C37B3A">
        <w:rPr>
          <w:sz w:val="22"/>
          <w:szCs w:val="22"/>
        </w:rPr>
        <w:t>supporting a culture of integrity</w:t>
      </w:r>
      <w:r w:rsidR="0018405C">
        <w:rPr>
          <w:sz w:val="22"/>
          <w:szCs w:val="22"/>
        </w:rPr>
        <w:t>, transparency</w:t>
      </w:r>
      <w:r w:rsidR="00DC1C94">
        <w:rPr>
          <w:sz w:val="22"/>
          <w:szCs w:val="22"/>
        </w:rPr>
        <w:t>,</w:t>
      </w:r>
      <w:r w:rsidR="00C37B3A">
        <w:rPr>
          <w:sz w:val="22"/>
          <w:szCs w:val="22"/>
        </w:rPr>
        <w:t xml:space="preserve"> </w:t>
      </w:r>
      <w:r w:rsidR="000E2936">
        <w:rPr>
          <w:sz w:val="22"/>
          <w:szCs w:val="22"/>
        </w:rPr>
        <w:t xml:space="preserve">and </w:t>
      </w:r>
      <w:r w:rsidR="00C37B3A">
        <w:rPr>
          <w:sz w:val="22"/>
          <w:szCs w:val="22"/>
        </w:rPr>
        <w:t xml:space="preserve">actively </w:t>
      </w:r>
      <w:r w:rsidR="00C37B3A" w:rsidRPr="002557B8">
        <w:rPr>
          <w:sz w:val="22"/>
          <w:szCs w:val="22"/>
        </w:rPr>
        <w:t>managing conflict</w:t>
      </w:r>
      <w:r w:rsidR="00DC1C94">
        <w:rPr>
          <w:sz w:val="22"/>
          <w:szCs w:val="22"/>
        </w:rPr>
        <w:t>s</w:t>
      </w:r>
      <w:r w:rsidR="00C37B3A" w:rsidRPr="002557B8">
        <w:rPr>
          <w:sz w:val="22"/>
          <w:szCs w:val="22"/>
        </w:rPr>
        <w:t xml:space="preserve"> of interest</w:t>
      </w:r>
      <w:r w:rsidR="0044436F">
        <w:rPr>
          <w:sz w:val="22"/>
          <w:szCs w:val="22"/>
        </w:rPr>
        <w:t xml:space="preserve">. </w:t>
      </w:r>
    </w:p>
    <w:p w14:paraId="2D43385D" w14:textId="4027D9FC" w:rsidR="0044436F" w:rsidRDefault="00AB7D4F" w:rsidP="00AF4AD6">
      <w:pPr>
        <w:pStyle w:val="Body"/>
        <w:rPr>
          <w:sz w:val="22"/>
          <w:szCs w:val="22"/>
        </w:rPr>
      </w:pPr>
      <w:r>
        <w:rPr>
          <w:sz w:val="22"/>
          <w:szCs w:val="22"/>
        </w:rPr>
        <w:t xml:space="preserve">For the purposes of </w:t>
      </w:r>
      <w:r w:rsidR="00B945F0">
        <w:rPr>
          <w:sz w:val="22"/>
          <w:szCs w:val="22"/>
        </w:rPr>
        <w:t xml:space="preserve">this policy, </w:t>
      </w:r>
      <w:r w:rsidR="0044436F">
        <w:rPr>
          <w:sz w:val="22"/>
          <w:szCs w:val="22"/>
        </w:rPr>
        <w:t>a</w:t>
      </w:r>
      <w:r w:rsidR="0044436F" w:rsidRPr="00121A30">
        <w:rPr>
          <w:sz w:val="22"/>
          <w:szCs w:val="22"/>
        </w:rPr>
        <w:t xml:space="preserve"> conflict of interest is where an employee or director has </w:t>
      </w:r>
      <w:r w:rsidR="007C7CDA">
        <w:rPr>
          <w:sz w:val="22"/>
          <w:szCs w:val="22"/>
        </w:rPr>
        <w:t>professional</w:t>
      </w:r>
      <w:r w:rsidR="007C7CDA" w:rsidRPr="00121A30">
        <w:rPr>
          <w:sz w:val="22"/>
          <w:szCs w:val="22"/>
        </w:rPr>
        <w:t xml:space="preserve"> </w:t>
      </w:r>
      <w:r w:rsidR="0044436F" w:rsidRPr="00121A30">
        <w:rPr>
          <w:sz w:val="22"/>
          <w:szCs w:val="22"/>
        </w:rPr>
        <w:t>interests</w:t>
      </w:r>
      <w:r w:rsidR="007C7CDA">
        <w:rPr>
          <w:sz w:val="22"/>
          <w:szCs w:val="22"/>
        </w:rPr>
        <w:t xml:space="preserve"> </w:t>
      </w:r>
      <w:r w:rsidR="0044436F" w:rsidRPr="00121A30">
        <w:rPr>
          <w:sz w:val="22"/>
          <w:szCs w:val="22"/>
        </w:rPr>
        <w:t>that could improperly influence, or be seen to influence, their decisions</w:t>
      </w:r>
      <w:r w:rsidR="006B4E0A">
        <w:rPr>
          <w:sz w:val="22"/>
          <w:szCs w:val="22"/>
        </w:rPr>
        <w:t xml:space="preserve">, </w:t>
      </w:r>
      <w:r w:rsidR="0044436F" w:rsidRPr="00121A30">
        <w:rPr>
          <w:sz w:val="22"/>
          <w:szCs w:val="22"/>
        </w:rPr>
        <w:t>or actions in the performance of their public duties.</w:t>
      </w:r>
      <w:r w:rsidR="0044436F">
        <w:rPr>
          <w:sz w:val="22"/>
          <w:szCs w:val="22"/>
        </w:rPr>
        <w:t xml:space="preserve"> </w:t>
      </w:r>
      <w:r w:rsidR="0044436F" w:rsidRPr="00121A30">
        <w:rPr>
          <w:sz w:val="22"/>
          <w:szCs w:val="22"/>
        </w:rPr>
        <w:t>Conflicts may be actual, potential</w:t>
      </w:r>
      <w:r w:rsidR="0044436F">
        <w:rPr>
          <w:sz w:val="22"/>
          <w:szCs w:val="22"/>
        </w:rPr>
        <w:t>,</w:t>
      </w:r>
      <w:r w:rsidR="0044436F" w:rsidRPr="00121A30">
        <w:rPr>
          <w:sz w:val="22"/>
          <w:szCs w:val="22"/>
        </w:rPr>
        <w:t xml:space="preserve"> or perceived, or represent a conflict of duty.</w:t>
      </w:r>
      <w:r w:rsidR="0044436F" w:rsidRPr="0042549E">
        <w:rPr>
          <w:vertAlign w:val="superscript"/>
        </w:rPr>
        <w:footnoteReference w:id="2"/>
      </w:r>
      <w:r w:rsidR="001F495A" w:rsidRPr="0042549E">
        <w:rPr>
          <w:sz w:val="22"/>
          <w:szCs w:val="22"/>
          <w:vertAlign w:val="superscript"/>
        </w:rPr>
        <w:t xml:space="preserve"> </w:t>
      </w:r>
    </w:p>
    <w:p w14:paraId="60532ED4" w14:textId="027E515E" w:rsidR="00B277B2" w:rsidRPr="00AF4AD6" w:rsidRDefault="00C02DC5" w:rsidP="00AF4AD6">
      <w:pPr>
        <w:pStyle w:val="Body"/>
      </w:pPr>
      <w:r w:rsidRPr="00AF4AD6">
        <w:rPr>
          <w:sz w:val="22"/>
          <w:szCs w:val="22"/>
        </w:rPr>
        <w:t>T</w:t>
      </w:r>
      <w:r w:rsidR="00B277B2" w:rsidRPr="00AF4AD6">
        <w:rPr>
          <w:sz w:val="22"/>
          <w:szCs w:val="22"/>
        </w:rPr>
        <w:t xml:space="preserve">he following eligibility </w:t>
      </w:r>
      <w:r w:rsidR="00986B24" w:rsidRPr="00AF4AD6">
        <w:rPr>
          <w:sz w:val="22"/>
          <w:szCs w:val="22"/>
        </w:rPr>
        <w:t xml:space="preserve">criteria </w:t>
      </w:r>
      <w:r w:rsidR="00703FF0" w:rsidRPr="00AF4AD6">
        <w:rPr>
          <w:sz w:val="22"/>
          <w:szCs w:val="22"/>
        </w:rPr>
        <w:t>apply</w:t>
      </w:r>
      <w:r w:rsidR="00B277B2" w:rsidRPr="00AF4AD6">
        <w:rPr>
          <w:sz w:val="22"/>
          <w:szCs w:val="22"/>
        </w:rPr>
        <w:t>:</w:t>
      </w:r>
      <w:r w:rsidR="009D386F" w:rsidRPr="00AF4AD6">
        <w:rPr>
          <w:sz w:val="22"/>
          <w:szCs w:val="22"/>
        </w:rPr>
        <w:t xml:space="preserve"> </w:t>
      </w:r>
    </w:p>
    <w:p w14:paraId="0F993E79" w14:textId="206A241E" w:rsidR="00DF5A53" w:rsidRDefault="00B277B2" w:rsidP="00AF4AD6">
      <w:pPr>
        <w:pStyle w:val="ListParagraph"/>
        <w:numPr>
          <w:ilvl w:val="0"/>
          <w:numId w:val="2"/>
        </w:numPr>
        <w:ind w:left="714" w:hanging="357"/>
        <w:rPr>
          <w:rFonts w:ascii="Arial" w:hAnsi="Arial" w:cs="Arial"/>
        </w:rPr>
      </w:pPr>
      <w:r w:rsidRPr="29ED19EB">
        <w:rPr>
          <w:rFonts w:ascii="Arial" w:hAnsi="Arial" w:cs="Arial"/>
        </w:rPr>
        <w:t xml:space="preserve">A current employee or contractor of the Department of Health (including an employee on secondment to the department) is not eligible to be appointed to the board of a public health service, public hospital or </w:t>
      </w:r>
      <w:proofErr w:type="spellStart"/>
      <w:r w:rsidRPr="29ED19EB">
        <w:rPr>
          <w:rFonts w:ascii="Arial" w:hAnsi="Arial" w:cs="Arial"/>
        </w:rPr>
        <w:t>multi purpose</w:t>
      </w:r>
      <w:proofErr w:type="spellEnd"/>
      <w:r w:rsidRPr="29ED19EB">
        <w:rPr>
          <w:rFonts w:ascii="Arial" w:hAnsi="Arial" w:cs="Arial"/>
        </w:rPr>
        <w:t xml:space="preserve"> service</w:t>
      </w:r>
      <w:r w:rsidR="00F57951">
        <w:rPr>
          <w:rFonts w:ascii="Arial" w:hAnsi="Arial" w:cs="Arial"/>
        </w:rPr>
        <w:t>.</w:t>
      </w:r>
    </w:p>
    <w:p w14:paraId="4CE1702B" w14:textId="31ED3468" w:rsidR="00D77327" w:rsidRDefault="00B277B2" w:rsidP="00AF4AD6">
      <w:pPr>
        <w:pStyle w:val="ListParagraph"/>
        <w:numPr>
          <w:ilvl w:val="0"/>
          <w:numId w:val="2"/>
        </w:numPr>
        <w:ind w:left="714" w:hanging="357"/>
        <w:rPr>
          <w:rFonts w:ascii="Arial" w:hAnsi="Arial" w:cs="Arial"/>
        </w:rPr>
      </w:pPr>
      <w:r w:rsidRPr="29ED19EB">
        <w:rPr>
          <w:rFonts w:ascii="Arial" w:hAnsi="Arial" w:cs="Arial"/>
        </w:rPr>
        <w:t xml:space="preserve">Current employees of a public health service, public hospital or </w:t>
      </w:r>
      <w:proofErr w:type="spellStart"/>
      <w:r w:rsidRPr="29ED19EB">
        <w:rPr>
          <w:rFonts w:ascii="Arial" w:hAnsi="Arial" w:cs="Arial"/>
        </w:rPr>
        <w:t>multi purpose</w:t>
      </w:r>
      <w:proofErr w:type="spellEnd"/>
      <w:r w:rsidRPr="29ED19EB">
        <w:rPr>
          <w:rFonts w:ascii="Arial" w:hAnsi="Arial" w:cs="Arial"/>
        </w:rPr>
        <w:t xml:space="preserve"> service are not eligible for appo</w:t>
      </w:r>
      <w:r w:rsidR="00200E54">
        <w:rPr>
          <w:rFonts w:ascii="Arial" w:hAnsi="Arial" w:cs="Arial"/>
        </w:rPr>
        <w:t>i</w:t>
      </w:r>
      <w:r w:rsidRPr="29ED19EB">
        <w:rPr>
          <w:rFonts w:ascii="Arial" w:hAnsi="Arial" w:cs="Arial"/>
        </w:rPr>
        <w:t xml:space="preserve">ntment to </w:t>
      </w:r>
      <w:r w:rsidR="00755DB7">
        <w:rPr>
          <w:rFonts w:ascii="Arial" w:hAnsi="Arial" w:cs="Arial"/>
        </w:rPr>
        <w:t xml:space="preserve">the board of </w:t>
      </w:r>
      <w:r w:rsidRPr="29ED19EB">
        <w:rPr>
          <w:rFonts w:ascii="Arial" w:hAnsi="Arial" w:cs="Arial"/>
        </w:rPr>
        <w:t>that health service</w:t>
      </w:r>
      <w:r w:rsidR="00F57951">
        <w:rPr>
          <w:rFonts w:ascii="Arial" w:hAnsi="Arial" w:cs="Arial"/>
        </w:rPr>
        <w:t>.</w:t>
      </w:r>
      <w:r w:rsidRPr="29ED19EB">
        <w:rPr>
          <w:rFonts w:ascii="Arial" w:hAnsi="Arial" w:cs="Arial"/>
        </w:rPr>
        <w:t xml:space="preserve"> </w:t>
      </w:r>
    </w:p>
    <w:p w14:paraId="7A778083" w14:textId="40AD8A3B" w:rsidR="00B277B2" w:rsidRPr="00856E60" w:rsidRDefault="00200E54" w:rsidP="00AF4AD6">
      <w:pPr>
        <w:pStyle w:val="ListParagraph"/>
        <w:numPr>
          <w:ilvl w:val="0"/>
          <w:numId w:val="2"/>
        </w:numPr>
        <w:ind w:left="714" w:hanging="357"/>
        <w:rPr>
          <w:rFonts w:ascii="Arial" w:hAnsi="Arial" w:cs="Arial"/>
        </w:rPr>
      </w:pPr>
      <w:r>
        <w:rPr>
          <w:rFonts w:ascii="Arial" w:hAnsi="Arial" w:cs="Arial"/>
        </w:rPr>
        <w:lastRenderedPageBreak/>
        <w:t>C</w:t>
      </w:r>
      <w:r w:rsidR="00385E84" w:rsidRPr="00856E60">
        <w:rPr>
          <w:rFonts w:ascii="Arial" w:hAnsi="Arial" w:cs="Arial"/>
        </w:rPr>
        <w:t xml:space="preserve">urrent employees of a public health service, public hospital or </w:t>
      </w:r>
      <w:proofErr w:type="spellStart"/>
      <w:r w:rsidR="00385E84" w:rsidRPr="00856E60">
        <w:rPr>
          <w:rFonts w:ascii="Arial" w:hAnsi="Arial" w:cs="Arial"/>
        </w:rPr>
        <w:t>multi purpose</w:t>
      </w:r>
      <w:proofErr w:type="spellEnd"/>
      <w:r w:rsidR="00385E84" w:rsidRPr="00856E60">
        <w:rPr>
          <w:rFonts w:ascii="Arial" w:hAnsi="Arial" w:cs="Arial"/>
        </w:rPr>
        <w:t xml:space="preserve"> service </w:t>
      </w:r>
      <w:r w:rsidR="00B277B2" w:rsidRPr="00856E60">
        <w:rPr>
          <w:rFonts w:ascii="Arial" w:hAnsi="Arial" w:cs="Arial"/>
        </w:rPr>
        <w:t xml:space="preserve">are eligible for appointment to </w:t>
      </w:r>
      <w:r w:rsidR="00755DB7">
        <w:rPr>
          <w:rFonts w:ascii="Arial" w:hAnsi="Arial" w:cs="Arial"/>
        </w:rPr>
        <w:t xml:space="preserve">the board of </w:t>
      </w:r>
      <w:r w:rsidR="00B277B2" w:rsidRPr="00856E60">
        <w:rPr>
          <w:rFonts w:ascii="Arial" w:hAnsi="Arial" w:cs="Arial"/>
        </w:rPr>
        <w:t>another service, unless that service has announced plans to explore an amalgamation with the employing service.</w:t>
      </w:r>
      <w:r w:rsidR="00385E84" w:rsidRPr="00856E60">
        <w:rPr>
          <w:rFonts w:ascii="Arial" w:hAnsi="Arial" w:cs="Arial"/>
        </w:rPr>
        <w:t xml:space="preserve"> </w:t>
      </w:r>
    </w:p>
    <w:p w14:paraId="41F0E264" w14:textId="1FAC6C93" w:rsidR="002557B8" w:rsidRPr="00856E60" w:rsidRDefault="00B277B2" w:rsidP="00AF4AD6">
      <w:pPr>
        <w:pStyle w:val="ListParagraph"/>
        <w:numPr>
          <w:ilvl w:val="0"/>
          <w:numId w:val="2"/>
        </w:numPr>
        <w:ind w:left="714" w:hanging="357"/>
        <w:rPr>
          <w:rFonts w:ascii="Arial" w:hAnsi="Arial" w:cs="Arial"/>
        </w:rPr>
      </w:pPr>
      <w:r w:rsidRPr="00856E60">
        <w:rPr>
          <w:rFonts w:ascii="Arial" w:hAnsi="Arial" w:cs="Arial"/>
        </w:rPr>
        <w:t xml:space="preserve">Former employees of a public health service, public hospital or </w:t>
      </w:r>
      <w:proofErr w:type="spellStart"/>
      <w:r w:rsidRPr="00856E60">
        <w:rPr>
          <w:rFonts w:ascii="Arial" w:hAnsi="Arial" w:cs="Arial"/>
        </w:rPr>
        <w:t>multi purpose</w:t>
      </w:r>
      <w:proofErr w:type="spellEnd"/>
      <w:r w:rsidRPr="00856E60">
        <w:rPr>
          <w:rFonts w:ascii="Arial" w:hAnsi="Arial" w:cs="Arial"/>
        </w:rPr>
        <w:t xml:space="preserve"> service are eligible for appointment to </w:t>
      </w:r>
      <w:r w:rsidR="00755DB7">
        <w:rPr>
          <w:rFonts w:ascii="Arial" w:hAnsi="Arial" w:cs="Arial"/>
        </w:rPr>
        <w:t xml:space="preserve">the board of </w:t>
      </w:r>
      <w:r w:rsidRPr="00856E60">
        <w:rPr>
          <w:rFonts w:ascii="Arial" w:hAnsi="Arial" w:cs="Arial"/>
        </w:rPr>
        <w:t xml:space="preserve">health service if their employment ended </w:t>
      </w:r>
      <w:r w:rsidR="00934541">
        <w:rPr>
          <w:rFonts w:ascii="Arial" w:hAnsi="Arial" w:cs="Arial"/>
        </w:rPr>
        <w:t>more</w:t>
      </w:r>
      <w:r w:rsidRPr="00856E60">
        <w:rPr>
          <w:rFonts w:ascii="Arial" w:hAnsi="Arial" w:cs="Arial"/>
        </w:rPr>
        <w:t xml:space="preserve"> than 18 months prior to the closing date for applications. </w:t>
      </w:r>
    </w:p>
    <w:p w14:paraId="6ABE877B" w14:textId="44B800AD" w:rsidR="00027812" w:rsidRDefault="00367B9C" w:rsidP="00AF4AD6">
      <w:pPr>
        <w:pStyle w:val="ListParagraph"/>
        <w:numPr>
          <w:ilvl w:val="0"/>
          <w:numId w:val="2"/>
        </w:numPr>
        <w:ind w:left="714" w:hanging="357"/>
        <w:rPr>
          <w:rFonts w:ascii="Arial" w:hAnsi="Arial" w:cs="Arial"/>
        </w:rPr>
      </w:pPr>
      <w:r w:rsidRPr="29ED19EB">
        <w:rPr>
          <w:rFonts w:ascii="Arial" w:hAnsi="Arial" w:cs="Arial"/>
        </w:rPr>
        <w:t xml:space="preserve">Current </w:t>
      </w:r>
      <w:r w:rsidR="00FE7F3A">
        <w:rPr>
          <w:rFonts w:ascii="Arial" w:hAnsi="Arial" w:cs="Arial"/>
        </w:rPr>
        <w:t>Chief Executive Officers (CEO)</w:t>
      </w:r>
      <w:r w:rsidR="00FE7F3A" w:rsidRPr="29ED19EB">
        <w:rPr>
          <w:rFonts w:ascii="Arial" w:hAnsi="Arial" w:cs="Arial"/>
        </w:rPr>
        <w:t xml:space="preserve"> </w:t>
      </w:r>
      <w:r w:rsidR="00E641E2" w:rsidRPr="29ED19EB">
        <w:rPr>
          <w:rFonts w:ascii="Arial" w:hAnsi="Arial" w:cs="Arial"/>
        </w:rPr>
        <w:t xml:space="preserve">of another health service </w:t>
      </w:r>
      <w:r w:rsidR="008C7D90" w:rsidRPr="29ED19EB">
        <w:rPr>
          <w:rFonts w:ascii="Arial" w:hAnsi="Arial" w:cs="Arial"/>
        </w:rPr>
        <w:t>can</w:t>
      </w:r>
      <w:r w:rsidRPr="29ED19EB">
        <w:rPr>
          <w:rFonts w:ascii="Arial" w:hAnsi="Arial" w:cs="Arial"/>
        </w:rPr>
        <w:t>not be</w:t>
      </w:r>
      <w:r w:rsidR="00755DB7">
        <w:rPr>
          <w:rFonts w:ascii="Arial" w:hAnsi="Arial" w:cs="Arial"/>
        </w:rPr>
        <w:t xml:space="preserve"> appointed to </w:t>
      </w:r>
      <w:r w:rsidRPr="29ED19EB">
        <w:rPr>
          <w:rFonts w:ascii="Arial" w:hAnsi="Arial" w:cs="Arial"/>
        </w:rPr>
        <w:t>more than one</w:t>
      </w:r>
      <w:r w:rsidR="008C7D90" w:rsidRPr="29ED19EB">
        <w:rPr>
          <w:rFonts w:ascii="Arial" w:hAnsi="Arial" w:cs="Arial"/>
        </w:rPr>
        <w:t xml:space="preserve"> </w:t>
      </w:r>
      <w:r w:rsidR="00755DB7">
        <w:rPr>
          <w:rFonts w:ascii="Arial" w:hAnsi="Arial" w:cs="Arial"/>
        </w:rPr>
        <w:t xml:space="preserve">government health </w:t>
      </w:r>
      <w:r w:rsidR="008C7D90" w:rsidRPr="29ED19EB">
        <w:rPr>
          <w:rFonts w:ascii="Arial" w:hAnsi="Arial" w:cs="Arial"/>
        </w:rPr>
        <w:t xml:space="preserve">board </w:t>
      </w:r>
      <w:r w:rsidRPr="29ED19EB">
        <w:rPr>
          <w:rFonts w:ascii="Arial" w:hAnsi="Arial" w:cs="Arial"/>
        </w:rPr>
        <w:t>at a</w:t>
      </w:r>
      <w:r w:rsidR="00755DB7">
        <w:rPr>
          <w:rFonts w:ascii="Arial" w:hAnsi="Arial" w:cs="Arial"/>
        </w:rPr>
        <w:t>ny one</w:t>
      </w:r>
      <w:r w:rsidRPr="29ED19EB">
        <w:rPr>
          <w:rFonts w:ascii="Arial" w:hAnsi="Arial" w:cs="Arial"/>
        </w:rPr>
        <w:t xml:space="preserve"> time</w:t>
      </w:r>
      <w:r w:rsidR="002869E9" w:rsidRPr="29ED19EB">
        <w:rPr>
          <w:rFonts w:ascii="Arial" w:hAnsi="Arial" w:cs="Arial"/>
        </w:rPr>
        <w:t>.</w:t>
      </w:r>
      <w:r w:rsidR="00755DB7">
        <w:rPr>
          <w:rFonts w:ascii="Arial" w:hAnsi="Arial" w:cs="Arial"/>
        </w:rPr>
        <w:t xml:space="preserve"> </w:t>
      </w:r>
    </w:p>
    <w:p w14:paraId="3226CB1C" w14:textId="1E0CEE34" w:rsidR="002869E9" w:rsidRPr="002869E9" w:rsidRDefault="00027812" w:rsidP="00AF4AD6">
      <w:pPr>
        <w:pStyle w:val="ListParagraph"/>
        <w:numPr>
          <w:ilvl w:val="0"/>
          <w:numId w:val="2"/>
        </w:numPr>
        <w:ind w:left="714" w:hanging="357"/>
        <w:rPr>
          <w:rFonts w:ascii="Arial" w:hAnsi="Arial" w:cs="Arial"/>
        </w:rPr>
      </w:pPr>
      <w:r w:rsidRPr="29ED19EB">
        <w:rPr>
          <w:rFonts w:ascii="Arial" w:hAnsi="Arial" w:cs="Arial"/>
        </w:rPr>
        <w:t>The exception is</w:t>
      </w:r>
      <w:r w:rsidR="006C2B4D" w:rsidRPr="29ED19EB">
        <w:rPr>
          <w:rFonts w:ascii="Arial" w:hAnsi="Arial" w:cs="Arial"/>
        </w:rPr>
        <w:t xml:space="preserve">, </w:t>
      </w:r>
      <w:r w:rsidR="002869E9" w:rsidRPr="29ED19EB">
        <w:rPr>
          <w:rFonts w:ascii="Arial" w:hAnsi="Arial" w:cs="Arial"/>
        </w:rPr>
        <w:t xml:space="preserve">if a CEO sits on a board as part of their role as CEO, such as on the board of </w:t>
      </w:r>
      <w:r w:rsidR="00A95C38">
        <w:rPr>
          <w:rFonts w:ascii="Arial" w:hAnsi="Arial" w:cs="Arial"/>
        </w:rPr>
        <w:t>Health Purchasing Victoria (trading as HealthShare Victoria)</w:t>
      </w:r>
      <w:r w:rsidR="002869E9" w:rsidRPr="29ED19EB">
        <w:rPr>
          <w:rFonts w:ascii="Arial" w:hAnsi="Arial" w:cs="Arial"/>
        </w:rPr>
        <w:t>, th</w:t>
      </w:r>
      <w:r w:rsidR="00BB60CC" w:rsidRPr="29ED19EB">
        <w:rPr>
          <w:rFonts w:ascii="Arial" w:hAnsi="Arial" w:cs="Arial"/>
        </w:rPr>
        <w:t>e</w:t>
      </w:r>
      <w:r w:rsidR="002869E9" w:rsidRPr="29ED19EB">
        <w:rPr>
          <w:rFonts w:ascii="Arial" w:hAnsi="Arial" w:cs="Arial"/>
        </w:rPr>
        <w:t xml:space="preserve">n it may be acceptable for that CEO to sit on an additional </w:t>
      </w:r>
      <w:r w:rsidR="007D3D8C" w:rsidRPr="29ED19EB">
        <w:rPr>
          <w:rFonts w:ascii="Arial" w:hAnsi="Arial" w:cs="Arial"/>
        </w:rPr>
        <w:t xml:space="preserve">smaller </w:t>
      </w:r>
      <w:r w:rsidR="002869E9" w:rsidRPr="29ED19EB">
        <w:rPr>
          <w:rFonts w:ascii="Arial" w:hAnsi="Arial" w:cs="Arial"/>
        </w:rPr>
        <w:t>board</w:t>
      </w:r>
      <w:r w:rsidR="00755DB7">
        <w:rPr>
          <w:rFonts w:ascii="Arial" w:hAnsi="Arial" w:cs="Arial"/>
        </w:rPr>
        <w:t>,</w:t>
      </w:r>
      <w:r w:rsidR="002869E9" w:rsidRPr="29ED19EB">
        <w:rPr>
          <w:rFonts w:ascii="Arial" w:hAnsi="Arial" w:cs="Arial"/>
        </w:rPr>
        <w:t xml:space="preserve"> if they have capacity to do so. </w:t>
      </w:r>
    </w:p>
    <w:p w14:paraId="48326363" w14:textId="1F158FBD" w:rsidR="00755DB7" w:rsidRPr="00AF4AD6" w:rsidRDefault="00755DB7" w:rsidP="00280B85">
      <w:pPr>
        <w:pStyle w:val="Body"/>
      </w:pPr>
      <w:r w:rsidRPr="00AF4AD6">
        <w:rPr>
          <w:sz w:val="22"/>
          <w:szCs w:val="22"/>
        </w:rPr>
        <w:t xml:space="preserve">The </w:t>
      </w:r>
      <w:r w:rsidR="00A95C38">
        <w:rPr>
          <w:sz w:val="22"/>
          <w:szCs w:val="22"/>
        </w:rPr>
        <w:t>VPS</w:t>
      </w:r>
      <w:r w:rsidRPr="00AF4AD6">
        <w:rPr>
          <w:sz w:val="22"/>
          <w:szCs w:val="22"/>
        </w:rPr>
        <w:t xml:space="preserve"> employee’s substantive employer (represented by their manager) must confirm in writing that the work involved in the appointment can, and will, be performed in the employee’s own time (that is, in their own time, including while on leave)</w:t>
      </w:r>
      <w:r>
        <w:rPr>
          <w:sz w:val="22"/>
          <w:szCs w:val="22"/>
        </w:rPr>
        <w:t xml:space="preserve"> and that the organisation supports the appointment</w:t>
      </w:r>
      <w:r w:rsidRPr="00AF4AD6">
        <w:rPr>
          <w:sz w:val="22"/>
          <w:szCs w:val="22"/>
        </w:rPr>
        <w:t>.</w:t>
      </w:r>
      <w:r w:rsidRPr="004B197B">
        <w:rPr>
          <w:sz w:val="22"/>
          <w:szCs w:val="22"/>
          <w:vertAlign w:val="superscript"/>
        </w:rPr>
        <w:footnoteReference w:id="3"/>
      </w:r>
    </w:p>
    <w:p w14:paraId="4E1CED07" w14:textId="7894B0D0" w:rsidR="00C921A7" w:rsidRPr="00121A30" w:rsidRDefault="0076410C" w:rsidP="0076410C">
      <w:pPr>
        <w:pStyle w:val="DPCbody"/>
        <w:rPr>
          <w:rFonts w:ascii="Arial" w:eastAsiaTheme="minorHAnsi" w:hAnsi="Arial"/>
          <w:color w:val="auto"/>
        </w:rPr>
      </w:pPr>
      <w:r w:rsidRPr="00863EBE">
        <w:rPr>
          <w:rFonts w:ascii="Arial" w:eastAsiaTheme="minorHAnsi" w:hAnsi="Arial"/>
          <w:b/>
          <w:color w:val="auto"/>
        </w:rPr>
        <w:t>Eligibility criteria r</w:t>
      </w:r>
      <w:r w:rsidR="00F820B6" w:rsidRPr="00863EBE">
        <w:rPr>
          <w:rFonts w:ascii="Arial" w:eastAsiaTheme="minorHAnsi" w:hAnsi="Arial"/>
          <w:b/>
          <w:color w:val="auto"/>
        </w:rPr>
        <w:t>egarding remuneration</w:t>
      </w:r>
      <w:r>
        <w:rPr>
          <w:rStyle w:val="FootnoteReference"/>
          <w:rFonts w:ascii="Arial" w:eastAsiaTheme="minorHAnsi" w:hAnsi="Arial"/>
          <w:color w:val="auto"/>
        </w:rPr>
        <w:footnoteReference w:id="4"/>
      </w:r>
      <w:r>
        <w:rPr>
          <w:rFonts w:ascii="Arial" w:eastAsiaTheme="minorHAnsi" w:hAnsi="Arial"/>
          <w:color w:val="auto"/>
        </w:rPr>
        <w:t>:</w:t>
      </w:r>
      <w:r w:rsidR="00C921A7" w:rsidRPr="00121A30">
        <w:rPr>
          <w:rFonts w:ascii="Arial" w:eastAsiaTheme="minorHAnsi" w:hAnsi="Arial"/>
          <w:color w:val="auto"/>
        </w:rPr>
        <w:t xml:space="preserve"> </w:t>
      </w:r>
    </w:p>
    <w:p w14:paraId="1A48FD94" w14:textId="4F4D8894" w:rsidR="00863EBE" w:rsidRPr="00863EBE" w:rsidRDefault="00872BD3" w:rsidP="00863EBE">
      <w:pPr>
        <w:pStyle w:val="Body"/>
        <w:rPr>
          <w:sz w:val="22"/>
          <w:szCs w:val="22"/>
        </w:rPr>
      </w:pPr>
      <w:r>
        <w:rPr>
          <w:sz w:val="22"/>
          <w:szCs w:val="22"/>
        </w:rPr>
        <w:t>Eligibility for remuneration</w:t>
      </w:r>
      <w:r w:rsidRPr="00863EBE">
        <w:rPr>
          <w:sz w:val="22"/>
          <w:szCs w:val="22"/>
        </w:rPr>
        <w:t xml:space="preserve"> </w:t>
      </w:r>
      <w:r w:rsidR="00863EBE" w:rsidRPr="00863EBE">
        <w:rPr>
          <w:sz w:val="22"/>
          <w:szCs w:val="22"/>
        </w:rPr>
        <w:t xml:space="preserve">is set out in the </w:t>
      </w:r>
      <w:r w:rsidR="00863EBE" w:rsidRPr="00F6436D">
        <w:rPr>
          <w:i/>
          <w:iCs/>
          <w:sz w:val="22"/>
          <w:szCs w:val="22"/>
        </w:rPr>
        <w:t>Appointment and Remuneration Guidelines</w:t>
      </w:r>
      <w:r w:rsidR="00F6436D">
        <w:rPr>
          <w:sz w:val="22"/>
          <w:szCs w:val="22"/>
        </w:rPr>
        <w:t xml:space="preserve"> </w:t>
      </w:r>
      <w:r w:rsidR="007900BB">
        <w:rPr>
          <w:sz w:val="22"/>
          <w:szCs w:val="22"/>
        </w:rPr>
        <w:t xml:space="preserve">published </w:t>
      </w:r>
      <w:r w:rsidR="00F6436D">
        <w:rPr>
          <w:sz w:val="22"/>
          <w:szCs w:val="22"/>
        </w:rPr>
        <w:t xml:space="preserve">by the Department of Premier and Cabinet. </w:t>
      </w:r>
    </w:p>
    <w:p w14:paraId="7B1508AB" w14:textId="32E9CAFC" w:rsidR="00C921A7" w:rsidRPr="00AF4AD6" w:rsidRDefault="00C921A7" w:rsidP="00AF4AD6">
      <w:pPr>
        <w:pStyle w:val="Body"/>
      </w:pPr>
      <w:r w:rsidRPr="00AF4AD6">
        <w:rPr>
          <w:sz w:val="22"/>
          <w:szCs w:val="22"/>
        </w:rPr>
        <w:t xml:space="preserve">If board membership is a requirement of their substantive position, public sector employees are </w:t>
      </w:r>
      <w:r w:rsidRPr="00F250F1">
        <w:rPr>
          <w:sz w:val="22"/>
          <w:szCs w:val="22"/>
          <w:u w:val="single"/>
        </w:rPr>
        <w:t>not eligible</w:t>
      </w:r>
      <w:r w:rsidRPr="00AF4AD6">
        <w:rPr>
          <w:sz w:val="22"/>
          <w:szCs w:val="22"/>
        </w:rPr>
        <w:t xml:space="preserve"> for remuneration. </w:t>
      </w:r>
    </w:p>
    <w:p w14:paraId="3DEA8119" w14:textId="77777777" w:rsidR="004561EA" w:rsidRDefault="00BA7623" w:rsidP="00AF4AD6">
      <w:pPr>
        <w:pStyle w:val="Body"/>
        <w:rPr>
          <w:sz w:val="22"/>
          <w:szCs w:val="22"/>
        </w:rPr>
      </w:pPr>
      <w:bookmarkStart w:id="0" w:name="_Ref505181452"/>
      <w:r w:rsidRPr="00AF4AD6">
        <w:rPr>
          <w:sz w:val="22"/>
          <w:szCs w:val="22"/>
        </w:rPr>
        <w:t xml:space="preserve">Full-time and part-time public sector employees are only eligible for remuneration if the proposed appointment is on a personal basis, and the work required for the board will be undertaken in the employee’s own time, or during periods of approved leave. </w:t>
      </w:r>
    </w:p>
    <w:bookmarkEnd w:id="0"/>
    <w:p w14:paraId="5E91BE93" w14:textId="4B0C8463" w:rsidR="0085233A" w:rsidRPr="00AF4AD6" w:rsidRDefault="0085233A" w:rsidP="00AF4AD6">
      <w:pPr>
        <w:pStyle w:val="Body"/>
      </w:pPr>
      <w:r w:rsidRPr="00AF4AD6">
        <w:rPr>
          <w:sz w:val="22"/>
          <w:szCs w:val="22"/>
        </w:rPr>
        <w:t>In relation to an executive officer or equivalent</w:t>
      </w:r>
      <w:r w:rsidR="00EC7070" w:rsidRPr="00AF4AD6">
        <w:rPr>
          <w:sz w:val="22"/>
          <w:szCs w:val="22"/>
        </w:rPr>
        <w:t xml:space="preserve"> remuneration</w:t>
      </w:r>
      <w:r w:rsidRPr="00AF4AD6">
        <w:rPr>
          <w:sz w:val="22"/>
          <w:szCs w:val="22"/>
        </w:rPr>
        <w:t xml:space="preserve">, written approval </w:t>
      </w:r>
      <w:r w:rsidR="00E619E0" w:rsidRPr="00AF4AD6">
        <w:rPr>
          <w:sz w:val="22"/>
          <w:szCs w:val="22"/>
        </w:rPr>
        <w:t xml:space="preserve">from </w:t>
      </w:r>
      <w:r w:rsidRPr="00AF4AD6">
        <w:rPr>
          <w:sz w:val="22"/>
          <w:szCs w:val="22"/>
        </w:rPr>
        <w:t xml:space="preserve">the Secretary of the </w:t>
      </w:r>
      <w:r w:rsidR="00A84875" w:rsidRPr="00AF4AD6">
        <w:rPr>
          <w:sz w:val="22"/>
          <w:szCs w:val="22"/>
        </w:rPr>
        <w:t>D</w:t>
      </w:r>
      <w:r w:rsidRPr="00AF4AD6">
        <w:rPr>
          <w:sz w:val="22"/>
          <w:szCs w:val="22"/>
        </w:rPr>
        <w:t>epartment</w:t>
      </w:r>
      <w:r w:rsidR="00E619E0" w:rsidRPr="00AF4AD6">
        <w:rPr>
          <w:sz w:val="22"/>
          <w:szCs w:val="22"/>
        </w:rPr>
        <w:t xml:space="preserve"> of Health</w:t>
      </w:r>
      <w:r w:rsidRPr="00AF4AD6">
        <w:rPr>
          <w:sz w:val="22"/>
          <w:szCs w:val="22"/>
        </w:rPr>
        <w:t xml:space="preserve"> </w:t>
      </w:r>
      <w:r w:rsidR="00B327F1" w:rsidRPr="00AF4AD6">
        <w:rPr>
          <w:sz w:val="22"/>
          <w:szCs w:val="22"/>
        </w:rPr>
        <w:t>is required</w:t>
      </w:r>
      <w:r w:rsidRPr="00AF4AD6">
        <w:rPr>
          <w:sz w:val="22"/>
          <w:szCs w:val="22"/>
        </w:rPr>
        <w:t xml:space="preserve">. </w:t>
      </w:r>
    </w:p>
    <w:p w14:paraId="75EA22C5" w14:textId="77777777" w:rsidR="00A27DE4" w:rsidRPr="00C700F9" w:rsidRDefault="00A27DE4" w:rsidP="00A27DE4">
      <w:pPr>
        <w:spacing w:line="21" w:lineRule="atLeast"/>
        <w:ind w:right="116"/>
        <w:rPr>
          <w:rFonts w:eastAsia="Arial" w:cs="Arial"/>
          <w:sz w:val="20"/>
        </w:rPr>
      </w:pPr>
    </w:p>
    <w:tbl>
      <w:tblPr>
        <w:tblStyle w:val="TableGrid"/>
        <w:tblW w:w="0" w:type="auto"/>
        <w:tblCellMar>
          <w:bottom w:w="108" w:type="dxa"/>
        </w:tblCellMar>
        <w:tblLook w:val="0620" w:firstRow="1" w:lastRow="0" w:firstColumn="0" w:lastColumn="0" w:noHBand="1" w:noVBand="1"/>
      </w:tblPr>
      <w:tblGrid>
        <w:gridCol w:w="9016"/>
      </w:tblGrid>
      <w:tr w:rsidR="00A27DE4" w14:paraId="5A21B493" w14:textId="77777777" w:rsidTr="001E47E6">
        <w:tc>
          <w:tcPr>
            <w:tcW w:w="10194" w:type="dxa"/>
          </w:tcPr>
          <w:p w14:paraId="3244D31B" w14:textId="77777777" w:rsidR="00A27DE4" w:rsidRPr="0055119B" w:rsidRDefault="00A27DE4" w:rsidP="001E47E6">
            <w:pPr>
              <w:pStyle w:val="Accessibilitypara"/>
            </w:pPr>
            <w:r w:rsidRPr="004C0C42">
              <w:t xml:space="preserve">If you would like help understanding this document or would like to receive it in another format </w:t>
            </w:r>
            <w:r>
              <w:t xml:space="preserve">please phone 03 9456 3724, </w:t>
            </w:r>
            <w:r w:rsidRPr="004C0C42">
              <w:t>using the National Relay Service 133 677 if required</w:t>
            </w:r>
            <w:r>
              <w:t xml:space="preserve">, or email </w:t>
            </w:r>
            <w:hyperlink r:id="rId11" w:history="1">
              <w:r w:rsidRPr="004D5AFE">
                <w:rPr>
                  <w:rStyle w:val="Hyperlink"/>
                </w:rPr>
                <w:t>healthservicegovernance@health.vic.gov.au</w:t>
              </w:r>
            </w:hyperlink>
          </w:p>
          <w:p w14:paraId="1563903F" w14:textId="77777777" w:rsidR="00A27DE4" w:rsidRPr="003B2043" w:rsidRDefault="00A27DE4" w:rsidP="001E47E6">
            <w:pPr>
              <w:pStyle w:val="DHHSbody"/>
            </w:pPr>
            <w:r w:rsidRPr="003B2043">
              <w:t>Authorised and published by the Victorian Government, 1 Treasury Place, Melbourne.</w:t>
            </w:r>
          </w:p>
          <w:p w14:paraId="27A187C5" w14:textId="7F90E330" w:rsidR="00A27DE4" w:rsidRPr="003B2043" w:rsidRDefault="00A27DE4" w:rsidP="001E47E6">
            <w:pPr>
              <w:pStyle w:val="DHHSbody"/>
            </w:pPr>
            <w:r w:rsidRPr="003B2043">
              <w:t xml:space="preserve">© State of Victoria, </w:t>
            </w:r>
            <w:r>
              <w:t xml:space="preserve">Australia, </w:t>
            </w:r>
            <w:r w:rsidRPr="003B2043">
              <w:t>Department of Health</w:t>
            </w:r>
            <w:r>
              <w:t>,</w:t>
            </w:r>
            <w:r w:rsidRPr="003B2043">
              <w:t xml:space="preserve"> </w:t>
            </w:r>
            <w:r>
              <w:t xml:space="preserve">October </w:t>
            </w:r>
            <w:r w:rsidRPr="003B2043">
              <w:t>20</w:t>
            </w:r>
            <w:r>
              <w:t>2</w:t>
            </w:r>
            <w:r w:rsidR="00DA3F26">
              <w:t>5</w:t>
            </w:r>
            <w:r w:rsidRPr="003B2043">
              <w:t>.</w:t>
            </w:r>
          </w:p>
          <w:p w14:paraId="7AE263F5" w14:textId="5DE9BFB9" w:rsidR="00A27DE4" w:rsidRDefault="00A27DE4" w:rsidP="001E47E6">
            <w:pPr>
              <w:pStyle w:val="Imprint"/>
            </w:pPr>
            <w:r w:rsidRPr="00136F1B">
              <w:rPr>
                <w:szCs w:val="19"/>
              </w:rPr>
              <w:t xml:space="preserve">Available at </w:t>
            </w:r>
            <w:hyperlink r:id="rId12" w:history="1">
              <w:r w:rsidR="00CC3188" w:rsidRPr="00AC4305">
                <w:rPr>
                  <w:rStyle w:val="Hyperlink"/>
                  <w:szCs w:val="19"/>
                </w:rPr>
                <w:t>Applying for board positions</w:t>
              </w:r>
            </w:hyperlink>
            <w:r w:rsidR="0049515B">
              <w:rPr>
                <w:szCs w:val="19"/>
              </w:rPr>
              <w:t xml:space="preserve"> </w:t>
            </w:r>
            <w:r w:rsidRPr="00136F1B">
              <w:t>&lt;</w:t>
            </w:r>
            <w:r w:rsidR="00322460" w:rsidRPr="0003648E">
              <w:t>https://www.health.vic.gov.au/board-applications</w:t>
            </w:r>
            <w:r w:rsidRPr="00136F1B">
              <w:t>&gt;</w:t>
            </w:r>
          </w:p>
        </w:tc>
      </w:tr>
    </w:tbl>
    <w:p w14:paraId="661B3F09" w14:textId="56F7A7B8" w:rsidR="00A27DE4" w:rsidRDefault="00A27DE4" w:rsidP="003C0315"/>
    <w:sectPr w:rsidR="00A27DE4" w:rsidSect="00B32226">
      <w:headerReference w:type="default" r:id="rId13"/>
      <w:footerReference w:type="even" r:id="rId14"/>
      <w:footerReference w:type="default" r:id="rId15"/>
      <w:footerReference w:type="first" r:id="rId16"/>
      <w:pgSz w:w="11906" w:h="16838"/>
      <w:pgMar w:top="1440" w:right="1440" w:bottom="1440" w:left="1440"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6D4C" w14:textId="77777777" w:rsidR="00FD49D2" w:rsidRDefault="00FD49D2" w:rsidP="00B36C6E">
      <w:pPr>
        <w:spacing w:after="0" w:line="240" w:lineRule="auto"/>
      </w:pPr>
      <w:r>
        <w:separator/>
      </w:r>
    </w:p>
  </w:endnote>
  <w:endnote w:type="continuationSeparator" w:id="0">
    <w:p w14:paraId="3C11609A" w14:textId="77777777" w:rsidR="00FD49D2" w:rsidRDefault="00FD49D2" w:rsidP="00B36C6E">
      <w:pPr>
        <w:spacing w:after="0" w:line="240" w:lineRule="auto"/>
      </w:pPr>
      <w:r>
        <w:continuationSeparator/>
      </w:r>
    </w:p>
  </w:endnote>
  <w:endnote w:type="continuationNotice" w:id="1">
    <w:p w14:paraId="6AB68082" w14:textId="77777777" w:rsidR="00FD49D2" w:rsidRDefault="00FD4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E9D" w14:textId="15AA9071" w:rsidR="0079681C" w:rsidRDefault="0079681C">
    <w:pPr>
      <w:pStyle w:val="Footer"/>
    </w:pPr>
    <w:r>
      <w:rPr>
        <w:noProof/>
      </w:rPr>
      <mc:AlternateContent>
        <mc:Choice Requires="wps">
          <w:drawing>
            <wp:anchor distT="0" distB="0" distL="0" distR="0" simplePos="0" relativeHeight="251658242" behindDoc="0" locked="0" layoutInCell="1" allowOverlap="1" wp14:anchorId="4B740841" wp14:editId="192739B3">
              <wp:simplePos x="635" y="635"/>
              <wp:positionH relativeFrom="page">
                <wp:align>center</wp:align>
              </wp:positionH>
              <wp:positionV relativeFrom="page">
                <wp:align>bottom</wp:align>
              </wp:positionV>
              <wp:extent cx="443865" cy="443865"/>
              <wp:effectExtent l="0" t="0" r="1016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24B0A" w14:textId="1F2598EC"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40841"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A24B0A" w14:textId="1F2598EC"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1369" w14:textId="7135AA4E" w:rsidR="0079681C" w:rsidRDefault="0079681C">
    <w:pPr>
      <w:pStyle w:val="Footer"/>
    </w:pPr>
    <w:r>
      <w:rPr>
        <w:noProof/>
      </w:rPr>
      <mc:AlternateContent>
        <mc:Choice Requires="wps">
          <w:drawing>
            <wp:anchor distT="0" distB="0" distL="0" distR="0" simplePos="0" relativeHeight="251658243" behindDoc="0" locked="0" layoutInCell="1" allowOverlap="1" wp14:anchorId="32D35864" wp14:editId="10DD538F">
              <wp:simplePos x="914400" y="10070275"/>
              <wp:positionH relativeFrom="page">
                <wp:align>center</wp:align>
              </wp:positionH>
              <wp:positionV relativeFrom="page">
                <wp:align>bottom</wp:align>
              </wp:positionV>
              <wp:extent cx="443865" cy="443865"/>
              <wp:effectExtent l="0" t="0" r="1016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BC576" w14:textId="35A31BBB"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35864"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30BC576" w14:textId="35A31BBB"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BD56" w14:textId="1906052E" w:rsidR="0079681C" w:rsidRDefault="0079681C">
    <w:pPr>
      <w:pStyle w:val="Footer"/>
    </w:pPr>
    <w:r>
      <w:rPr>
        <w:noProof/>
      </w:rPr>
      <mc:AlternateContent>
        <mc:Choice Requires="wps">
          <w:drawing>
            <wp:anchor distT="0" distB="0" distL="0" distR="0" simplePos="0" relativeHeight="251658241" behindDoc="0" locked="0" layoutInCell="1" allowOverlap="1" wp14:anchorId="170165AB" wp14:editId="15DB4C06">
              <wp:simplePos x="635" y="635"/>
              <wp:positionH relativeFrom="page">
                <wp:align>center</wp:align>
              </wp:positionH>
              <wp:positionV relativeFrom="page">
                <wp:align>bottom</wp:align>
              </wp:positionV>
              <wp:extent cx="443865" cy="443865"/>
              <wp:effectExtent l="0" t="0" r="1016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F1002" w14:textId="0045F48C"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165AB"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EF1002" w14:textId="0045F48C" w:rsidR="0079681C" w:rsidRPr="0079681C" w:rsidRDefault="0079681C" w:rsidP="0079681C">
                    <w:pPr>
                      <w:spacing w:after="0"/>
                      <w:rPr>
                        <w:rFonts w:ascii="Arial Black" w:eastAsia="Arial Black" w:hAnsi="Arial Black" w:cs="Arial Black"/>
                        <w:noProof/>
                        <w:color w:val="000000"/>
                        <w:sz w:val="20"/>
                        <w:szCs w:val="20"/>
                      </w:rPr>
                    </w:pPr>
                    <w:r w:rsidRPr="0079681C">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8602" w14:textId="77777777" w:rsidR="00FD49D2" w:rsidRDefault="00FD49D2" w:rsidP="00B36C6E">
      <w:pPr>
        <w:spacing w:after="0" w:line="240" w:lineRule="auto"/>
      </w:pPr>
      <w:r>
        <w:separator/>
      </w:r>
    </w:p>
  </w:footnote>
  <w:footnote w:type="continuationSeparator" w:id="0">
    <w:p w14:paraId="6DCECD72" w14:textId="77777777" w:rsidR="00FD49D2" w:rsidRDefault="00FD49D2" w:rsidP="00B36C6E">
      <w:pPr>
        <w:spacing w:after="0" w:line="240" w:lineRule="auto"/>
      </w:pPr>
      <w:r>
        <w:continuationSeparator/>
      </w:r>
    </w:p>
  </w:footnote>
  <w:footnote w:type="continuationNotice" w:id="1">
    <w:p w14:paraId="3F112CCF" w14:textId="77777777" w:rsidR="00FD49D2" w:rsidRDefault="00FD49D2">
      <w:pPr>
        <w:spacing w:after="0" w:line="240" w:lineRule="auto"/>
      </w:pPr>
    </w:p>
  </w:footnote>
  <w:footnote w:id="2">
    <w:p w14:paraId="4CFA3A09" w14:textId="77777777" w:rsidR="0044436F" w:rsidRDefault="0044436F" w:rsidP="0044436F">
      <w:pPr>
        <w:pStyle w:val="FootnoteText"/>
      </w:pPr>
      <w:r>
        <w:rPr>
          <w:rStyle w:val="FootnoteReference"/>
        </w:rPr>
        <w:footnoteRef/>
      </w:r>
      <w:r>
        <w:t xml:space="preserve"> </w:t>
      </w:r>
      <w:hyperlink r:id="rId1" w:anchor=":~:text=The%20VPSC%20has%20developed%20tools%20and%20guidance%20to,actions%20in%20the%20performance%20of%20their%20public%20duties." w:history="1">
        <w:r>
          <w:rPr>
            <w:rStyle w:val="Hyperlink"/>
          </w:rPr>
          <w:t>Conflict of Interest - VPSC</w:t>
        </w:r>
      </w:hyperlink>
    </w:p>
  </w:footnote>
  <w:footnote w:id="3">
    <w:p w14:paraId="501B97AB" w14:textId="50C06286" w:rsidR="00755DB7" w:rsidRPr="00D72C32" w:rsidRDefault="00755DB7" w:rsidP="00755DB7">
      <w:pPr>
        <w:pStyle w:val="FootnoteText"/>
      </w:pPr>
      <w:r>
        <w:rPr>
          <w:rStyle w:val="FootnoteReference"/>
        </w:rPr>
        <w:footnoteRef/>
      </w:r>
      <w:r>
        <w:t xml:space="preserve"> Section 32 of the </w:t>
      </w:r>
      <w:r w:rsidRPr="0023585B">
        <w:rPr>
          <w:i/>
        </w:rPr>
        <w:t>Public Administration Act 2004</w:t>
      </w:r>
      <w:r>
        <w:rPr>
          <w:i/>
        </w:rPr>
        <w:t xml:space="preserve"> (Act)</w:t>
      </w:r>
      <w:r w:rsidRPr="0023585B">
        <w:t xml:space="preserve"> </w:t>
      </w:r>
      <w:r>
        <w:t>requires approval for individuals employed under Part 3 of the Act engaging in outside employment.</w:t>
      </w:r>
    </w:p>
  </w:footnote>
  <w:footnote w:id="4">
    <w:p w14:paraId="4F57E58E" w14:textId="2CC2791F" w:rsidR="0076410C" w:rsidRDefault="0076410C">
      <w:pPr>
        <w:pStyle w:val="FootnoteText"/>
      </w:pPr>
      <w:r>
        <w:rPr>
          <w:rStyle w:val="FootnoteReference"/>
        </w:rPr>
        <w:footnoteRef/>
      </w:r>
      <w:r>
        <w:t xml:space="preserve"> </w:t>
      </w:r>
      <w:r w:rsidR="00EA78A6" w:rsidRPr="00EA78A6">
        <w:rPr>
          <w:i/>
          <w:iCs/>
        </w:rPr>
        <w:t>Appointment and Remuneration Guidelines</w:t>
      </w:r>
      <w:r w:rsidR="00A23F0B">
        <w:rPr>
          <w:i/>
          <w:iCs/>
        </w:rPr>
        <w:t xml:space="preserve"> </w:t>
      </w:r>
      <w:hyperlink r:id="rId2" w:history="1">
        <w:r w:rsidR="00A23F0B">
          <w:rPr>
            <w:rStyle w:val="Hyperlink"/>
          </w:rPr>
          <w:t>Board appointment, remuneration and diversity guidance | Victorian Government (www.vic.gov.au)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A5DD" w14:textId="5155CA2E" w:rsidR="00B36C6E" w:rsidRDefault="00B36C6E">
    <w:pPr>
      <w:pStyle w:val="Header"/>
    </w:pPr>
    <w:r>
      <w:rPr>
        <w:noProof/>
      </w:rPr>
      <w:drawing>
        <wp:anchor distT="0" distB="0" distL="114300" distR="114300" simplePos="0" relativeHeight="251658240" behindDoc="1" locked="1" layoutInCell="1" allowOverlap="0" wp14:anchorId="2804F3EE" wp14:editId="66A47E2B">
          <wp:simplePos x="0" y="0"/>
          <wp:positionH relativeFrom="page">
            <wp:align>right</wp:align>
          </wp:positionH>
          <wp:positionV relativeFrom="page">
            <wp:align>top</wp:align>
          </wp:positionV>
          <wp:extent cx="7555865" cy="136017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99C"/>
    <w:multiLevelType w:val="hybridMultilevel"/>
    <w:tmpl w:val="3C98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3E3911"/>
    <w:multiLevelType w:val="multilevel"/>
    <w:tmpl w:val="84FAF3BA"/>
    <w:lvl w:ilvl="0">
      <w:start w:val="4"/>
      <w:numFmt w:val="decimal"/>
      <w:lvlText w:val="%1."/>
      <w:lvlJc w:val="left"/>
      <w:pPr>
        <w:ind w:left="360" w:hanging="360"/>
      </w:pPr>
      <w:rPr>
        <w:rFonts w:hint="default"/>
      </w:rPr>
    </w:lvl>
    <w:lvl w:ilvl="1">
      <w:start w:val="1"/>
      <w:numFmt w:val="decimal"/>
      <w:lvlText w:val="%1.%2."/>
      <w:lvlJc w:val="left"/>
      <w:pPr>
        <w:ind w:left="907" w:hanging="547"/>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BC217D"/>
    <w:multiLevelType w:val="hybridMultilevel"/>
    <w:tmpl w:val="0FD6FD34"/>
    <w:lvl w:ilvl="0" w:tplc="6908D31C">
      <w:start w:val="1"/>
      <w:numFmt w:val="bullet"/>
      <w:lvlText w:val=""/>
      <w:lvlJc w:val="left"/>
      <w:pPr>
        <w:ind w:left="720" w:hanging="360"/>
      </w:pPr>
      <w:rPr>
        <w:rFonts w:ascii="Symbol" w:hAnsi="Symbol" w:hint="default"/>
      </w:rPr>
    </w:lvl>
    <w:lvl w:ilvl="1" w:tplc="5DCA8AE8">
      <w:start w:val="1"/>
      <w:numFmt w:val="bullet"/>
      <w:lvlText w:val="o"/>
      <w:lvlJc w:val="left"/>
      <w:pPr>
        <w:ind w:left="1440" w:hanging="360"/>
      </w:pPr>
      <w:rPr>
        <w:rFonts w:ascii="Courier New" w:hAnsi="Courier New" w:hint="default"/>
      </w:rPr>
    </w:lvl>
    <w:lvl w:ilvl="2" w:tplc="617A1676">
      <w:start w:val="1"/>
      <w:numFmt w:val="bullet"/>
      <w:lvlText w:val=""/>
      <w:lvlJc w:val="left"/>
      <w:pPr>
        <w:ind w:left="2160" w:hanging="360"/>
      </w:pPr>
      <w:rPr>
        <w:rFonts w:ascii="Wingdings" w:hAnsi="Wingdings" w:hint="default"/>
      </w:rPr>
    </w:lvl>
    <w:lvl w:ilvl="3" w:tplc="1B887ED2">
      <w:start w:val="1"/>
      <w:numFmt w:val="bullet"/>
      <w:lvlText w:val=""/>
      <w:lvlJc w:val="left"/>
      <w:pPr>
        <w:ind w:left="2880" w:hanging="360"/>
      </w:pPr>
      <w:rPr>
        <w:rFonts w:ascii="Symbol" w:hAnsi="Symbol" w:hint="default"/>
      </w:rPr>
    </w:lvl>
    <w:lvl w:ilvl="4" w:tplc="E64A4E4C">
      <w:start w:val="1"/>
      <w:numFmt w:val="bullet"/>
      <w:lvlText w:val="o"/>
      <w:lvlJc w:val="left"/>
      <w:pPr>
        <w:ind w:left="3600" w:hanging="360"/>
      </w:pPr>
      <w:rPr>
        <w:rFonts w:ascii="Courier New" w:hAnsi="Courier New" w:hint="default"/>
      </w:rPr>
    </w:lvl>
    <w:lvl w:ilvl="5" w:tplc="44B8A410">
      <w:start w:val="1"/>
      <w:numFmt w:val="bullet"/>
      <w:lvlText w:val=""/>
      <w:lvlJc w:val="left"/>
      <w:pPr>
        <w:ind w:left="4320" w:hanging="360"/>
      </w:pPr>
      <w:rPr>
        <w:rFonts w:ascii="Wingdings" w:hAnsi="Wingdings" w:hint="default"/>
      </w:rPr>
    </w:lvl>
    <w:lvl w:ilvl="6" w:tplc="8A44E0C6">
      <w:start w:val="1"/>
      <w:numFmt w:val="bullet"/>
      <w:lvlText w:val=""/>
      <w:lvlJc w:val="left"/>
      <w:pPr>
        <w:ind w:left="5040" w:hanging="360"/>
      </w:pPr>
      <w:rPr>
        <w:rFonts w:ascii="Symbol" w:hAnsi="Symbol" w:hint="default"/>
      </w:rPr>
    </w:lvl>
    <w:lvl w:ilvl="7" w:tplc="A1C6B578">
      <w:start w:val="1"/>
      <w:numFmt w:val="bullet"/>
      <w:lvlText w:val="o"/>
      <w:lvlJc w:val="left"/>
      <w:pPr>
        <w:ind w:left="5760" w:hanging="360"/>
      </w:pPr>
      <w:rPr>
        <w:rFonts w:ascii="Courier New" w:hAnsi="Courier New" w:hint="default"/>
      </w:rPr>
    </w:lvl>
    <w:lvl w:ilvl="8" w:tplc="46C8B478">
      <w:start w:val="1"/>
      <w:numFmt w:val="bullet"/>
      <w:lvlText w:val=""/>
      <w:lvlJc w:val="left"/>
      <w:pPr>
        <w:ind w:left="6480" w:hanging="360"/>
      </w:pPr>
      <w:rPr>
        <w:rFonts w:ascii="Wingdings" w:hAnsi="Wingdings" w:hint="default"/>
      </w:rPr>
    </w:lvl>
  </w:abstractNum>
  <w:abstractNum w:abstractNumId="3" w15:restartNumberingAfterBreak="0">
    <w:nsid w:val="3C2478D2"/>
    <w:multiLevelType w:val="multilevel"/>
    <w:tmpl w:val="6AE413A0"/>
    <w:styleLink w:val="ZZBullets"/>
    <w:lvl w:ilvl="0">
      <w:start w:val="1"/>
      <w:numFmt w:val="bullet"/>
      <w:pStyle w:val="DPCbullet1"/>
      <w:lvlText w:val="▪"/>
      <w:lvlJc w:val="left"/>
      <w:pPr>
        <w:ind w:left="1004" w:hanging="284"/>
      </w:pPr>
      <w:rPr>
        <w:rFonts w:hint="default"/>
        <w:sz w:val="24"/>
      </w:rPr>
    </w:lvl>
    <w:lvl w:ilvl="1">
      <w:start w:val="1"/>
      <w:numFmt w:val="bullet"/>
      <w:lvlRestart w:val="0"/>
      <w:pStyle w:val="DPCbullet2"/>
      <w:lvlText w:val="–"/>
      <w:lvlJc w:val="left"/>
      <w:pPr>
        <w:tabs>
          <w:tab w:val="num" w:pos="1004"/>
        </w:tabs>
        <w:ind w:left="1287" w:hanging="283"/>
      </w:pPr>
      <w:rPr>
        <w:rFonts w:ascii="Arial" w:hAnsi="Arial" w:hint="default"/>
        <w:color w:val="auto"/>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4" w15:restartNumberingAfterBreak="0">
    <w:nsid w:val="707751B2"/>
    <w:multiLevelType w:val="hybridMultilevel"/>
    <w:tmpl w:val="A7D63F14"/>
    <w:lvl w:ilvl="0" w:tplc="6908D3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2142760">
    <w:abstractNumId w:val="2"/>
  </w:num>
  <w:num w:numId="2" w16cid:durableId="579366396">
    <w:abstractNumId w:val="0"/>
  </w:num>
  <w:num w:numId="3" w16cid:durableId="1571646803">
    <w:abstractNumId w:val="1"/>
  </w:num>
  <w:num w:numId="4" w16cid:durableId="631205733">
    <w:abstractNumId w:val="4"/>
  </w:num>
  <w:num w:numId="5" w16cid:durableId="1651707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1C"/>
    <w:rsid w:val="00006792"/>
    <w:rsid w:val="0002196E"/>
    <w:rsid w:val="0002737D"/>
    <w:rsid w:val="00027812"/>
    <w:rsid w:val="00043588"/>
    <w:rsid w:val="00067230"/>
    <w:rsid w:val="00074719"/>
    <w:rsid w:val="000807B6"/>
    <w:rsid w:val="0008197D"/>
    <w:rsid w:val="000854F0"/>
    <w:rsid w:val="000C66B7"/>
    <w:rsid w:val="000D33DE"/>
    <w:rsid w:val="000E1565"/>
    <w:rsid w:val="000E2936"/>
    <w:rsid w:val="000E717F"/>
    <w:rsid w:val="00101546"/>
    <w:rsid w:val="00116020"/>
    <w:rsid w:val="00117D83"/>
    <w:rsid w:val="001209A4"/>
    <w:rsid w:val="00121A30"/>
    <w:rsid w:val="00121A8D"/>
    <w:rsid w:val="00130BFB"/>
    <w:rsid w:val="00131284"/>
    <w:rsid w:val="00140371"/>
    <w:rsid w:val="00145491"/>
    <w:rsid w:val="00153DF0"/>
    <w:rsid w:val="001546F0"/>
    <w:rsid w:val="00167DC0"/>
    <w:rsid w:val="00170356"/>
    <w:rsid w:val="00176FE4"/>
    <w:rsid w:val="0018405C"/>
    <w:rsid w:val="001879A9"/>
    <w:rsid w:val="0019657D"/>
    <w:rsid w:val="001A5B75"/>
    <w:rsid w:val="001A75DF"/>
    <w:rsid w:val="001B613C"/>
    <w:rsid w:val="001C1A34"/>
    <w:rsid w:val="001C5E9D"/>
    <w:rsid w:val="001D11FF"/>
    <w:rsid w:val="001D22ED"/>
    <w:rsid w:val="001E2489"/>
    <w:rsid w:val="001F21D2"/>
    <w:rsid w:val="001F495A"/>
    <w:rsid w:val="001F75A5"/>
    <w:rsid w:val="00200E54"/>
    <w:rsid w:val="00214892"/>
    <w:rsid w:val="00216C73"/>
    <w:rsid w:val="00220A15"/>
    <w:rsid w:val="00224C74"/>
    <w:rsid w:val="002321D4"/>
    <w:rsid w:val="00232B2F"/>
    <w:rsid w:val="0024650B"/>
    <w:rsid w:val="00251B1B"/>
    <w:rsid w:val="002557B8"/>
    <w:rsid w:val="00256F60"/>
    <w:rsid w:val="00257648"/>
    <w:rsid w:val="0026390A"/>
    <w:rsid w:val="00267691"/>
    <w:rsid w:val="00280B85"/>
    <w:rsid w:val="00281605"/>
    <w:rsid w:val="002869E9"/>
    <w:rsid w:val="00294372"/>
    <w:rsid w:val="002C4B4F"/>
    <w:rsid w:val="002C7C9E"/>
    <w:rsid w:val="002D2E46"/>
    <w:rsid w:val="002D33CF"/>
    <w:rsid w:val="002D6455"/>
    <w:rsid w:val="00301B84"/>
    <w:rsid w:val="003218B7"/>
    <w:rsid w:val="00322460"/>
    <w:rsid w:val="00323004"/>
    <w:rsid w:val="00335CE0"/>
    <w:rsid w:val="0034131F"/>
    <w:rsid w:val="0035095E"/>
    <w:rsid w:val="003538FF"/>
    <w:rsid w:val="0036444C"/>
    <w:rsid w:val="003674B1"/>
    <w:rsid w:val="00367B9C"/>
    <w:rsid w:val="00371637"/>
    <w:rsid w:val="0038238C"/>
    <w:rsid w:val="0038391E"/>
    <w:rsid w:val="00385E84"/>
    <w:rsid w:val="003B289C"/>
    <w:rsid w:val="003B5905"/>
    <w:rsid w:val="003B6691"/>
    <w:rsid w:val="003C0315"/>
    <w:rsid w:val="003C61D6"/>
    <w:rsid w:val="003C7580"/>
    <w:rsid w:val="003F7C91"/>
    <w:rsid w:val="00401FCB"/>
    <w:rsid w:val="00407E14"/>
    <w:rsid w:val="00420354"/>
    <w:rsid w:val="004236F5"/>
    <w:rsid w:val="0042549E"/>
    <w:rsid w:val="00432F6D"/>
    <w:rsid w:val="0044436F"/>
    <w:rsid w:val="0045025C"/>
    <w:rsid w:val="004561EA"/>
    <w:rsid w:val="004602F5"/>
    <w:rsid w:val="00464E8C"/>
    <w:rsid w:val="00466432"/>
    <w:rsid w:val="00474B9F"/>
    <w:rsid w:val="00474BC5"/>
    <w:rsid w:val="0047659C"/>
    <w:rsid w:val="00480BB3"/>
    <w:rsid w:val="0048436D"/>
    <w:rsid w:val="0049515B"/>
    <w:rsid w:val="00497729"/>
    <w:rsid w:val="004B3576"/>
    <w:rsid w:val="004B3AE7"/>
    <w:rsid w:val="004B41B1"/>
    <w:rsid w:val="004B46FD"/>
    <w:rsid w:val="004C1AC2"/>
    <w:rsid w:val="004C43F7"/>
    <w:rsid w:val="004C6706"/>
    <w:rsid w:val="004D2123"/>
    <w:rsid w:val="004D666E"/>
    <w:rsid w:val="004F121A"/>
    <w:rsid w:val="005140A2"/>
    <w:rsid w:val="0051670C"/>
    <w:rsid w:val="00531FCC"/>
    <w:rsid w:val="00540E26"/>
    <w:rsid w:val="00543F97"/>
    <w:rsid w:val="00557B69"/>
    <w:rsid w:val="00560F59"/>
    <w:rsid w:val="0056583B"/>
    <w:rsid w:val="0056693E"/>
    <w:rsid w:val="0057144A"/>
    <w:rsid w:val="00575383"/>
    <w:rsid w:val="00586596"/>
    <w:rsid w:val="005B0D87"/>
    <w:rsid w:val="005B49C8"/>
    <w:rsid w:val="005E6690"/>
    <w:rsid w:val="005E70C6"/>
    <w:rsid w:val="005F2362"/>
    <w:rsid w:val="005F5C97"/>
    <w:rsid w:val="005F7D12"/>
    <w:rsid w:val="006054B5"/>
    <w:rsid w:val="00610E14"/>
    <w:rsid w:val="0061220C"/>
    <w:rsid w:val="006518B7"/>
    <w:rsid w:val="006574DA"/>
    <w:rsid w:val="0066429C"/>
    <w:rsid w:val="00682092"/>
    <w:rsid w:val="00685438"/>
    <w:rsid w:val="006970FC"/>
    <w:rsid w:val="006B4E0A"/>
    <w:rsid w:val="006C133D"/>
    <w:rsid w:val="006C2B4D"/>
    <w:rsid w:val="006D0155"/>
    <w:rsid w:val="006D0201"/>
    <w:rsid w:val="006D6046"/>
    <w:rsid w:val="006E41C3"/>
    <w:rsid w:val="006F6519"/>
    <w:rsid w:val="007001FD"/>
    <w:rsid w:val="00702D25"/>
    <w:rsid w:val="00703FF0"/>
    <w:rsid w:val="00705133"/>
    <w:rsid w:val="00706210"/>
    <w:rsid w:val="007079E2"/>
    <w:rsid w:val="00726275"/>
    <w:rsid w:val="00726838"/>
    <w:rsid w:val="00740CB5"/>
    <w:rsid w:val="007452FE"/>
    <w:rsid w:val="00745CBF"/>
    <w:rsid w:val="00745F10"/>
    <w:rsid w:val="00754E8D"/>
    <w:rsid w:val="00755DB7"/>
    <w:rsid w:val="0076197E"/>
    <w:rsid w:val="0076399D"/>
    <w:rsid w:val="0076410C"/>
    <w:rsid w:val="007743DB"/>
    <w:rsid w:val="00784C2C"/>
    <w:rsid w:val="007900BB"/>
    <w:rsid w:val="00793E16"/>
    <w:rsid w:val="0079681C"/>
    <w:rsid w:val="007A43CC"/>
    <w:rsid w:val="007B13C6"/>
    <w:rsid w:val="007C7CDA"/>
    <w:rsid w:val="007D3D8C"/>
    <w:rsid w:val="007F3A24"/>
    <w:rsid w:val="0080386F"/>
    <w:rsid w:val="008075AD"/>
    <w:rsid w:val="00820E16"/>
    <w:rsid w:val="00822498"/>
    <w:rsid w:val="00833127"/>
    <w:rsid w:val="008363B3"/>
    <w:rsid w:val="00840075"/>
    <w:rsid w:val="0085233A"/>
    <w:rsid w:val="00856E60"/>
    <w:rsid w:val="00857D0A"/>
    <w:rsid w:val="00863EBE"/>
    <w:rsid w:val="00864FC9"/>
    <w:rsid w:val="00867AB8"/>
    <w:rsid w:val="00872BD3"/>
    <w:rsid w:val="00874EA1"/>
    <w:rsid w:val="008773D3"/>
    <w:rsid w:val="00887880"/>
    <w:rsid w:val="008A0552"/>
    <w:rsid w:val="008B2492"/>
    <w:rsid w:val="008C4CF7"/>
    <w:rsid w:val="008C7D90"/>
    <w:rsid w:val="008D54E2"/>
    <w:rsid w:val="008F4366"/>
    <w:rsid w:val="008F64A2"/>
    <w:rsid w:val="00903269"/>
    <w:rsid w:val="00905F51"/>
    <w:rsid w:val="009232A0"/>
    <w:rsid w:val="00931411"/>
    <w:rsid w:val="00933813"/>
    <w:rsid w:val="00934541"/>
    <w:rsid w:val="00940A1C"/>
    <w:rsid w:val="00945C58"/>
    <w:rsid w:val="009466B0"/>
    <w:rsid w:val="00957192"/>
    <w:rsid w:val="00986B24"/>
    <w:rsid w:val="00992A3B"/>
    <w:rsid w:val="00992EDB"/>
    <w:rsid w:val="009A461C"/>
    <w:rsid w:val="009B4F81"/>
    <w:rsid w:val="009B74C0"/>
    <w:rsid w:val="009C5BA8"/>
    <w:rsid w:val="009D386F"/>
    <w:rsid w:val="009E5CDA"/>
    <w:rsid w:val="009F3080"/>
    <w:rsid w:val="00A04AB8"/>
    <w:rsid w:val="00A123A9"/>
    <w:rsid w:val="00A22E1F"/>
    <w:rsid w:val="00A23A79"/>
    <w:rsid w:val="00A23F0B"/>
    <w:rsid w:val="00A27DE4"/>
    <w:rsid w:val="00A35FA3"/>
    <w:rsid w:val="00A53F0B"/>
    <w:rsid w:val="00A84875"/>
    <w:rsid w:val="00A91D98"/>
    <w:rsid w:val="00A956DB"/>
    <w:rsid w:val="00A95C38"/>
    <w:rsid w:val="00AA2DEA"/>
    <w:rsid w:val="00AA678E"/>
    <w:rsid w:val="00AB45FF"/>
    <w:rsid w:val="00AB52AA"/>
    <w:rsid w:val="00AB7D4F"/>
    <w:rsid w:val="00AE62AE"/>
    <w:rsid w:val="00AE73C9"/>
    <w:rsid w:val="00AF30A7"/>
    <w:rsid w:val="00AF4AD6"/>
    <w:rsid w:val="00B006A3"/>
    <w:rsid w:val="00B03743"/>
    <w:rsid w:val="00B07B59"/>
    <w:rsid w:val="00B12B85"/>
    <w:rsid w:val="00B277B2"/>
    <w:rsid w:val="00B30804"/>
    <w:rsid w:val="00B30807"/>
    <w:rsid w:val="00B32226"/>
    <w:rsid w:val="00B327F1"/>
    <w:rsid w:val="00B36C6E"/>
    <w:rsid w:val="00B43803"/>
    <w:rsid w:val="00B5557D"/>
    <w:rsid w:val="00B56447"/>
    <w:rsid w:val="00B61B44"/>
    <w:rsid w:val="00B627B8"/>
    <w:rsid w:val="00B70670"/>
    <w:rsid w:val="00B85715"/>
    <w:rsid w:val="00B945F0"/>
    <w:rsid w:val="00BA1B10"/>
    <w:rsid w:val="00BA6E8F"/>
    <w:rsid w:val="00BA7623"/>
    <w:rsid w:val="00BB60CC"/>
    <w:rsid w:val="00BE147B"/>
    <w:rsid w:val="00BE43F2"/>
    <w:rsid w:val="00BF1831"/>
    <w:rsid w:val="00BF3EE9"/>
    <w:rsid w:val="00BF4505"/>
    <w:rsid w:val="00BF7059"/>
    <w:rsid w:val="00C02DC5"/>
    <w:rsid w:val="00C03F79"/>
    <w:rsid w:val="00C13581"/>
    <w:rsid w:val="00C34B04"/>
    <w:rsid w:val="00C37B3A"/>
    <w:rsid w:val="00C508D7"/>
    <w:rsid w:val="00C5366E"/>
    <w:rsid w:val="00C743EE"/>
    <w:rsid w:val="00C77D6E"/>
    <w:rsid w:val="00C83EC4"/>
    <w:rsid w:val="00C921A7"/>
    <w:rsid w:val="00C93AFC"/>
    <w:rsid w:val="00C96CAE"/>
    <w:rsid w:val="00CA5C08"/>
    <w:rsid w:val="00CB097B"/>
    <w:rsid w:val="00CC3188"/>
    <w:rsid w:val="00CC5527"/>
    <w:rsid w:val="00CC62AE"/>
    <w:rsid w:val="00CF0082"/>
    <w:rsid w:val="00D05D26"/>
    <w:rsid w:val="00D13D1E"/>
    <w:rsid w:val="00D2150B"/>
    <w:rsid w:val="00D30265"/>
    <w:rsid w:val="00D37B45"/>
    <w:rsid w:val="00D7482C"/>
    <w:rsid w:val="00D7656C"/>
    <w:rsid w:val="00D77327"/>
    <w:rsid w:val="00D91DDF"/>
    <w:rsid w:val="00D920C5"/>
    <w:rsid w:val="00DA1431"/>
    <w:rsid w:val="00DA3F26"/>
    <w:rsid w:val="00DA4245"/>
    <w:rsid w:val="00DA50D5"/>
    <w:rsid w:val="00DB1012"/>
    <w:rsid w:val="00DB212A"/>
    <w:rsid w:val="00DB5EC0"/>
    <w:rsid w:val="00DB773E"/>
    <w:rsid w:val="00DC1C94"/>
    <w:rsid w:val="00DC79BA"/>
    <w:rsid w:val="00DD28C9"/>
    <w:rsid w:val="00DF5A53"/>
    <w:rsid w:val="00DF7CE7"/>
    <w:rsid w:val="00E166DA"/>
    <w:rsid w:val="00E42366"/>
    <w:rsid w:val="00E46284"/>
    <w:rsid w:val="00E52E6B"/>
    <w:rsid w:val="00E619E0"/>
    <w:rsid w:val="00E641E2"/>
    <w:rsid w:val="00E648C3"/>
    <w:rsid w:val="00E67A3A"/>
    <w:rsid w:val="00E71C2D"/>
    <w:rsid w:val="00E9764F"/>
    <w:rsid w:val="00EA5686"/>
    <w:rsid w:val="00EA78A6"/>
    <w:rsid w:val="00EB20E2"/>
    <w:rsid w:val="00EC5A38"/>
    <w:rsid w:val="00EC6427"/>
    <w:rsid w:val="00EC7070"/>
    <w:rsid w:val="00ED158B"/>
    <w:rsid w:val="00EE4A3E"/>
    <w:rsid w:val="00EF3F71"/>
    <w:rsid w:val="00F0498F"/>
    <w:rsid w:val="00F250F1"/>
    <w:rsid w:val="00F37FCA"/>
    <w:rsid w:val="00F517F4"/>
    <w:rsid w:val="00F57951"/>
    <w:rsid w:val="00F614B2"/>
    <w:rsid w:val="00F63E88"/>
    <w:rsid w:val="00F6436D"/>
    <w:rsid w:val="00F70804"/>
    <w:rsid w:val="00F712E9"/>
    <w:rsid w:val="00F73A7E"/>
    <w:rsid w:val="00F81788"/>
    <w:rsid w:val="00F820B6"/>
    <w:rsid w:val="00F94B1B"/>
    <w:rsid w:val="00F96862"/>
    <w:rsid w:val="00FA1A38"/>
    <w:rsid w:val="00FA1DD4"/>
    <w:rsid w:val="00FB7C0E"/>
    <w:rsid w:val="00FD49D2"/>
    <w:rsid w:val="00FE48DD"/>
    <w:rsid w:val="00FE5991"/>
    <w:rsid w:val="00FE7866"/>
    <w:rsid w:val="00FE7F3A"/>
    <w:rsid w:val="00FF3DDE"/>
    <w:rsid w:val="00FF3DE1"/>
    <w:rsid w:val="00FF5FB0"/>
    <w:rsid w:val="00FF7AFC"/>
    <w:rsid w:val="0548D3AF"/>
    <w:rsid w:val="0CE4599B"/>
    <w:rsid w:val="164E58F4"/>
    <w:rsid w:val="1AE02F8F"/>
    <w:rsid w:val="1CD0B1A9"/>
    <w:rsid w:val="1EC22DE0"/>
    <w:rsid w:val="21CF9F09"/>
    <w:rsid w:val="29ED19EB"/>
    <w:rsid w:val="2FFE85A5"/>
    <w:rsid w:val="30BEF71C"/>
    <w:rsid w:val="30D432A5"/>
    <w:rsid w:val="33392657"/>
    <w:rsid w:val="340BD367"/>
    <w:rsid w:val="34D4F6B8"/>
    <w:rsid w:val="37ECC20F"/>
    <w:rsid w:val="430265AC"/>
    <w:rsid w:val="47618579"/>
    <w:rsid w:val="4CEE0AF4"/>
    <w:rsid w:val="4E0E18D7"/>
    <w:rsid w:val="56FF290D"/>
    <w:rsid w:val="598FB880"/>
    <w:rsid w:val="5BA00D08"/>
    <w:rsid w:val="5D25B4FC"/>
    <w:rsid w:val="5EBE856D"/>
    <w:rsid w:val="605A55CE"/>
    <w:rsid w:val="61529DB5"/>
    <w:rsid w:val="6394F680"/>
    <w:rsid w:val="649FC74E"/>
    <w:rsid w:val="663F4D01"/>
    <w:rsid w:val="686867A3"/>
    <w:rsid w:val="6C83FF8B"/>
    <w:rsid w:val="6CC219FC"/>
    <w:rsid w:val="74275926"/>
    <w:rsid w:val="788379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AEC0"/>
  <w15:chartTrackingRefBased/>
  <w15:docId w15:val="{BF1B14C7-84D8-48B9-96B2-710CDB64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uiPriority w:val="1"/>
    <w:qFormat/>
    <w:rsid w:val="00B36C6E"/>
    <w:pPr>
      <w:keepNext/>
      <w:keepLines/>
      <w:spacing w:before="240" w:after="90" w:line="340" w:lineRule="atLeast"/>
      <w:outlineLvl w:val="1"/>
    </w:pPr>
    <w:rPr>
      <w:rFonts w:ascii="Arial" w:eastAsia="Times New Roman" w:hAnsi="Arial" w:cs="Times New Roman"/>
      <w:b/>
      <w:color w:val="53565A"/>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C6E"/>
  </w:style>
  <w:style w:type="paragraph" w:styleId="Footer">
    <w:name w:val="footer"/>
    <w:basedOn w:val="Normal"/>
    <w:link w:val="FooterChar"/>
    <w:uiPriority w:val="99"/>
    <w:unhideWhenUsed/>
    <w:rsid w:val="00B36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C6E"/>
  </w:style>
  <w:style w:type="character" w:customStyle="1" w:styleId="Heading2Char">
    <w:name w:val="Heading 2 Char"/>
    <w:basedOn w:val="DefaultParagraphFont"/>
    <w:link w:val="Heading2"/>
    <w:uiPriority w:val="1"/>
    <w:rsid w:val="00B36C6E"/>
    <w:rPr>
      <w:rFonts w:ascii="Arial" w:eastAsia="Times New Roman" w:hAnsi="Arial" w:cs="Times New Roman"/>
      <w:b/>
      <w:color w:val="53565A"/>
      <w:sz w:val="32"/>
      <w:szCs w:val="28"/>
    </w:rPr>
  </w:style>
  <w:style w:type="paragraph" w:customStyle="1" w:styleId="Body">
    <w:name w:val="Body"/>
    <w:link w:val="BodyChar"/>
    <w:qFormat/>
    <w:rsid w:val="00B36C6E"/>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B36C6E"/>
    <w:rPr>
      <w:rFonts w:ascii="Arial" w:eastAsia="Times" w:hAnsi="Arial" w:cs="Times New Roman"/>
      <w:sz w:val="21"/>
      <w:szCs w:val="20"/>
    </w:rPr>
  </w:style>
  <w:style w:type="paragraph" w:styleId="ListParagraph">
    <w:name w:val="List Paragraph"/>
    <w:basedOn w:val="Normal"/>
    <w:uiPriority w:val="34"/>
    <w:qFormat/>
    <w:rsid w:val="00B277B2"/>
    <w:pPr>
      <w:ind w:left="720"/>
      <w:contextualSpacing/>
    </w:pPr>
  </w:style>
  <w:style w:type="character" w:styleId="CommentReference">
    <w:name w:val="annotation reference"/>
    <w:basedOn w:val="DefaultParagraphFont"/>
    <w:uiPriority w:val="99"/>
    <w:semiHidden/>
    <w:unhideWhenUsed/>
    <w:rsid w:val="007001FD"/>
    <w:rPr>
      <w:sz w:val="16"/>
      <w:szCs w:val="16"/>
    </w:rPr>
  </w:style>
  <w:style w:type="paragraph" w:styleId="CommentText">
    <w:name w:val="annotation text"/>
    <w:basedOn w:val="Normal"/>
    <w:link w:val="CommentTextChar"/>
    <w:uiPriority w:val="99"/>
    <w:unhideWhenUsed/>
    <w:rsid w:val="007001FD"/>
    <w:pPr>
      <w:spacing w:line="240" w:lineRule="auto"/>
    </w:pPr>
    <w:rPr>
      <w:sz w:val="20"/>
      <w:szCs w:val="20"/>
    </w:rPr>
  </w:style>
  <w:style w:type="character" w:customStyle="1" w:styleId="CommentTextChar">
    <w:name w:val="Comment Text Char"/>
    <w:basedOn w:val="DefaultParagraphFont"/>
    <w:link w:val="CommentText"/>
    <w:uiPriority w:val="99"/>
    <w:rsid w:val="007001FD"/>
    <w:rPr>
      <w:sz w:val="20"/>
      <w:szCs w:val="20"/>
    </w:rPr>
  </w:style>
  <w:style w:type="paragraph" w:styleId="CommentSubject">
    <w:name w:val="annotation subject"/>
    <w:basedOn w:val="CommentText"/>
    <w:next w:val="CommentText"/>
    <w:link w:val="CommentSubjectChar"/>
    <w:uiPriority w:val="99"/>
    <w:semiHidden/>
    <w:unhideWhenUsed/>
    <w:rsid w:val="007001FD"/>
    <w:rPr>
      <w:b/>
      <w:bCs/>
    </w:rPr>
  </w:style>
  <w:style w:type="character" w:customStyle="1" w:styleId="CommentSubjectChar">
    <w:name w:val="Comment Subject Char"/>
    <w:basedOn w:val="CommentTextChar"/>
    <w:link w:val="CommentSubject"/>
    <w:uiPriority w:val="99"/>
    <w:semiHidden/>
    <w:rsid w:val="007001FD"/>
    <w:rPr>
      <w:b/>
      <w:bCs/>
      <w:sz w:val="20"/>
      <w:szCs w:val="20"/>
    </w:rPr>
  </w:style>
  <w:style w:type="paragraph" w:customStyle="1" w:styleId="DPCbody">
    <w:name w:val="DPC body"/>
    <w:qFormat/>
    <w:rsid w:val="00C921A7"/>
    <w:pPr>
      <w:spacing w:line="300" w:lineRule="atLeast"/>
    </w:pPr>
    <w:rPr>
      <w:rFonts w:eastAsia="Times" w:cs="Arial"/>
      <w:color w:val="000000" w:themeColor="text1"/>
    </w:rPr>
  </w:style>
  <w:style w:type="character" w:customStyle="1" w:styleId="FootnoteTextChar">
    <w:name w:val="Footnote Text Char"/>
    <w:link w:val="FootnoteText"/>
    <w:uiPriority w:val="99"/>
    <w:rsid w:val="00BA7623"/>
    <w:rPr>
      <w:rFonts w:eastAsia="MS Gothic"/>
      <w:sz w:val="18"/>
      <w:szCs w:val="18"/>
    </w:rPr>
  </w:style>
  <w:style w:type="character" w:styleId="FootnoteReference">
    <w:name w:val="footnote reference"/>
    <w:uiPriority w:val="99"/>
    <w:rsid w:val="00BA7623"/>
    <w:rPr>
      <w:vertAlign w:val="superscript"/>
    </w:rPr>
  </w:style>
  <w:style w:type="paragraph" w:styleId="FootnoteText">
    <w:name w:val="footnote text"/>
    <w:link w:val="FootnoteTextChar"/>
    <w:uiPriority w:val="99"/>
    <w:rsid w:val="00BA7623"/>
    <w:pPr>
      <w:spacing w:before="60" w:after="60" w:line="240" w:lineRule="auto"/>
    </w:pPr>
    <w:rPr>
      <w:rFonts w:eastAsia="MS Gothic"/>
      <w:sz w:val="18"/>
      <w:szCs w:val="18"/>
    </w:rPr>
  </w:style>
  <w:style w:type="character" w:customStyle="1" w:styleId="FootnoteTextChar1">
    <w:name w:val="Footnote Text Char1"/>
    <w:basedOn w:val="DefaultParagraphFont"/>
    <w:uiPriority w:val="99"/>
    <w:semiHidden/>
    <w:rsid w:val="00BA7623"/>
    <w:rPr>
      <w:sz w:val="20"/>
      <w:szCs w:val="20"/>
    </w:rPr>
  </w:style>
  <w:style w:type="paragraph" w:styleId="NormalWeb">
    <w:name w:val="Normal (Web)"/>
    <w:basedOn w:val="Normal"/>
    <w:uiPriority w:val="99"/>
    <w:unhideWhenUsed/>
    <w:rsid w:val="007062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712E9"/>
    <w:rPr>
      <w:color w:val="0000FF"/>
      <w:u w:val="single"/>
    </w:rPr>
  </w:style>
  <w:style w:type="numbering" w:customStyle="1" w:styleId="ZZBullets">
    <w:name w:val="ZZ Bullets"/>
    <w:rsid w:val="0085233A"/>
    <w:pPr>
      <w:numPr>
        <w:numId w:val="5"/>
      </w:numPr>
    </w:pPr>
  </w:style>
  <w:style w:type="paragraph" w:customStyle="1" w:styleId="DPCbullet1">
    <w:name w:val="DPC bullet 1"/>
    <w:basedOn w:val="DPCbody"/>
    <w:qFormat/>
    <w:rsid w:val="0085233A"/>
    <w:pPr>
      <w:numPr>
        <w:numId w:val="5"/>
      </w:numPr>
      <w:spacing w:after="60"/>
    </w:pPr>
  </w:style>
  <w:style w:type="paragraph" w:customStyle="1" w:styleId="DPCbullet2">
    <w:name w:val="DPC bullet 2"/>
    <w:basedOn w:val="DPCbody"/>
    <w:uiPriority w:val="2"/>
    <w:qFormat/>
    <w:rsid w:val="0085233A"/>
    <w:pPr>
      <w:numPr>
        <w:ilvl w:val="1"/>
        <w:numId w:val="5"/>
      </w:numPr>
      <w:tabs>
        <w:tab w:val="clear" w:pos="1004"/>
        <w:tab w:val="num" w:pos="794"/>
      </w:tabs>
      <w:spacing w:after="60"/>
      <w:ind w:left="794" w:hanging="397"/>
    </w:pPr>
  </w:style>
  <w:style w:type="character" w:customStyle="1" w:styleId="normaltextrun">
    <w:name w:val="normaltextrun"/>
    <w:basedOn w:val="DefaultParagraphFont"/>
    <w:rsid w:val="00F57951"/>
  </w:style>
  <w:style w:type="character" w:customStyle="1" w:styleId="eop">
    <w:name w:val="eop"/>
    <w:basedOn w:val="DefaultParagraphFont"/>
    <w:rsid w:val="00F57951"/>
  </w:style>
  <w:style w:type="paragraph" w:styleId="Revision">
    <w:name w:val="Revision"/>
    <w:hidden/>
    <w:uiPriority w:val="99"/>
    <w:semiHidden/>
    <w:rsid w:val="00043588"/>
    <w:pPr>
      <w:spacing w:after="0" w:line="240" w:lineRule="auto"/>
    </w:pPr>
  </w:style>
  <w:style w:type="table" w:styleId="TableGrid">
    <w:name w:val="Table Grid"/>
    <w:basedOn w:val="TableNormal"/>
    <w:rsid w:val="00A27DE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essibilitypara">
    <w:name w:val="Accessibility para"/>
    <w:uiPriority w:val="8"/>
    <w:rsid w:val="00A27DE4"/>
    <w:pPr>
      <w:spacing w:before="240" w:after="200" w:line="300" w:lineRule="atLeast"/>
    </w:pPr>
    <w:rPr>
      <w:rFonts w:ascii="Arial" w:eastAsia="Times" w:hAnsi="Arial" w:cs="Times New Roman"/>
      <w:sz w:val="24"/>
      <w:szCs w:val="19"/>
    </w:rPr>
  </w:style>
  <w:style w:type="paragraph" w:customStyle="1" w:styleId="Imprint">
    <w:name w:val="Imprint"/>
    <w:basedOn w:val="Body"/>
    <w:uiPriority w:val="11"/>
    <w:rsid w:val="00A27DE4"/>
    <w:pPr>
      <w:spacing w:after="60" w:line="270" w:lineRule="atLeast"/>
    </w:pPr>
    <w:rPr>
      <w:color w:val="000000" w:themeColor="text1"/>
      <w:sz w:val="20"/>
    </w:rPr>
  </w:style>
  <w:style w:type="paragraph" w:customStyle="1" w:styleId="DHHSbody">
    <w:name w:val="DHHS body"/>
    <w:link w:val="DHHSbodyChar"/>
    <w:qFormat/>
    <w:rsid w:val="00A27DE4"/>
    <w:pPr>
      <w:spacing w:after="120" w:line="270" w:lineRule="atLeast"/>
    </w:pPr>
    <w:rPr>
      <w:rFonts w:ascii="Arial" w:eastAsia="Times" w:hAnsi="Arial" w:cs="Times New Roman"/>
      <w:sz w:val="20"/>
      <w:szCs w:val="20"/>
    </w:rPr>
  </w:style>
  <w:style w:type="character" w:customStyle="1" w:styleId="DHHSbodyChar">
    <w:name w:val="DHHS body Char"/>
    <w:link w:val="DHHSbody"/>
    <w:rsid w:val="00A27DE4"/>
    <w:rPr>
      <w:rFonts w:ascii="Arial" w:eastAsia="Times" w:hAnsi="Arial" w:cs="Times New Roman"/>
      <w:sz w:val="20"/>
      <w:szCs w:val="20"/>
    </w:rPr>
  </w:style>
  <w:style w:type="character" w:styleId="UnresolvedMention">
    <w:name w:val="Unresolved Mention"/>
    <w:basedOn w:val="DefaultParagraphFont"/>
    <w:uiPriority w:val="99"/>
    <w:semiHidden/>
    <w:unhideWhenUsed/>
    <w:rsid w:val="00495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5757">
      <w:bodyDiv w:val="1"/>
      <w:marLeft w:val="0"/>
      <w:marRight w:val="0"/>
      <w:marTop w:val="0"/>
      <w:marBottom w:val="0"/>
      <w:divBdr>
        <w:top w:val="none" w:sz="0" w:space="0" w:color="auto"/>
        <w:left w:val="none" w:sz="0" w:space="0" w:color="auto"/>
        <w:bottom w:val="none" w:sz="0" w:space="0" w:color="auto"/>
        <w:right w:val="none" w:sz="0" w:space="0" w:color="auto"/>
      </w:divBdr>
    </w:div>
    <w:div w:id="12340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vic.gov.au/board-app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servicegovernance@health.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vic.gov.au/guidelines-appointment-remuneration" TargetMode="External"/><Relationship Id="rId1" Type="http://schemas.openxmlformats.org/officeDocument/2006/relationships/hyperlink" Target="https://vpsc.vic.gov.au/ethics-behaviours-culture/conflict-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Props1.xml><?xml version="1.0" encoding="utf-8"?>
<ds:datastoreItem xmlns:ds="http://schemas.openxmlformats.org/officeDocument/2006/customXml" ds:itemID="{EFA9BE3E-D495-4EEA-94BF-5EA87DF49A1B}">
  <ds:schemaRefs>
    <ds:schemaRef ds:uri="http://schemas.openxmlformats.org/officeDocument/2006/bibliography"/>
  </ds:schemaRefs>
</ds:datastoreItem>
</file>

<file path=customXml/itemProps2.xml><?xml version="1.0" encoding="utf-8"?>
<ds:datastoreItem xmlns:ds="http://schemas.openxmlformats.org/officeDocument/2006/customXml" ds:itemID="{ED2BCA5D-11AA-48F2-B926-EABA71EEC62F}">
  <ds:schemaRefs>
    <ds:schemaRef ds:uri="http://schemas.microsoft.com/sharepoint/v3/contenttype/forms"/>
  </ds:schemaRefs>
</ds:datastoreItem>
</file>

<file path=customXml/itemProps3.xml><?xml version="1.0" encoding="utf-8"?>
<ds:datastoreItem xmlns:ds="http://schemas.openxmlformats.org/officeDocument/2006/customXml" ds:itemID="{5A6EBA84-7E09-471B-BDA9-DA9C2306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64B4A-BD8D-4D1F-A6DE-3BDA94625F76}">
  <ds:schemaRefs>
    <ds:schemaRef ds:uri="http://purl.org/dc/elements/1.1/"/>
    <ds:schemaRef ds:uri="http://schemas.openxmlformats.org/package/2006/metadata/core-properties"/>
    <ds:schemaRef ds:uri="http://schemas.microsoft.com/office/infopath/2007/PartnerControls"/>
    <ds:schemaRef ds:uri="http://purl.org/dc/terms/"/>
    <ds:schemaRef ds:uri="5ce0f2b5-5be5-4508-bce9-d7011ece0659"/>
    <ds:schemaRef ds:uri="http://schemas.microsoft.com/office/2006/documentManagement/types"/>
    <ds:schemaRef ds:uri="add73ec2-c5fa-4fd3-8424-81af2714d9e8"/>
    <ds:schemaRef ds:uri="9d008163-efe8-41c9-8a6e-39d389fb6c2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Board Eligibility Criteria for Victorian Public Sector Employees 2023</vt:lpstr>
    </vt:vector>
  </TitlesOfParts>
  <Company>State Government Victoria, Department of Health</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Eligibility Criteria for Victorian Public Sector Employees 2023</dc:title>
  <dc:subject>Board Eligibility Criteria for Victorian Public Sector Employees 2023</dc:subject>
  <dc:creator>Health Service Support and Improvement Branch</dc:creator>
  <cp:keywords>Eligibility, Public Sector Employee</cp:keywords>
  <dc:description/>
  <cp:lastModifiedBy>Danielle Sweeney (Health)</cp:lastModifiedBy>
  <cp:revision>2</cp:revision>
  <dcterms:created xsi:type="dcterms:W3CDTF">2025-10-27T00:12:00Z</dcterms:created>
  <dcterms:modified xsi:type="dcterms:W3CDTF">2025-10-27T00:12:00Z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0x01010085541A90C2B1EB4FA6FF32C97F5625AE</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2023-10-26T02:27:05Z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a17f20cb-ace7-4f80-aa2e-ef3e6248de47</vt:lpwstr>
  </property>
  <property fmtid="{D5CDD505-2E9C-101B-9397-08002B2CF9AE}" pid="13" name="MSIP_Label_43e64453-338c-4f93-8a4d-0039a0a41f2a_ContentBits">
    <vt:lpwstr>2</vt:lpwstr>
  </property>
</Properties>
</file>