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6B2DF" w14:textId="77777777" w:rsidR="007976B6" w:rsidRPr="004C6EEE" w:rsidRDefault="007976B6" w:rsidP="007976B6">
      <w:pPr>
        <w:pStyle w:val="Sectionbreakfirstpage"/>
      </w:pPr>
      <w:r>
        <w:drawing>
          <wp:anchor distT="0" distB="0" distL="114300" distR="114300" simplePos="0" relativeHeight="251658240" behindDoc="1" locked="1" layoutInCell="1" allowOverlap="0" wp14:anchorId="0A6CD066" wp14:editId="0B839BE5">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45790687" w14:textId="77777777" w:rsidR="007976B6" w:rsidRPr="004C6EEE" w:rsidRDefault="007976B6" w:rsidP="007976B6">
      <w:pPr>
        <w:pStyle w:val="Sectionbreakfirstpage"/>
        <w:sectPr w:rsidR="007976B6" w:rsidRPr="004C6EEE" w:rsidSect="007976B6">
          <w:headerReference w:type="default" r:id="rId12"/>
          <w:footerReference w:type="even" r:id="rId13"/>
          <w:footerReference w:type="default" r:id="rId14"/>
          <w:footerReference w:type="first" r:id="rId15"/>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7976B6" w14:paraId="3FAFBD7D" w14:textId="77777777" w:rsidTr="008D5B2D">
        <w:trPr>
          <w:trHeight w:val="622"/>
        </w:trPr>
        <w:tc>
          <w:tcPr>
            <w:tcW w:w="10348" w:type="dxa"/>
            <w:tcMar>
              <w:top w:w="1531" w:type="dxa"/>
              <w:left w:w="0" w:type="dxa"/>
              <w:right w:w="0" w:type="dxa"/>
            </w:tcMar>
          </w:tcPr>
          <w:p w14:paraId="4EFC4A00" w14:textId="77777777" w:rsidR="007976B6" w:rsidRPr="003B5733" w:rsidRDefault="007976B6">
            <w:pPr>
              <w:pStyle w:val="Documenttitle"/>
            </w:pPr>
            <w:r>
              <w:t>Managing contacts of a confirmed case of measles</w:t>
            </w:r>
          </w:p>
        </w:tc>
      </w:tr>
      <w:tr w:rsidR="007976B6" w14:paraId="0E1FC343" w14:textId="77777777" w:rsidTr="008D5B2D">
        <w:tc>
          <w:tcPr>
            <w:tcW w:w="10348" w:type="dxa"/>
          </w:tcPr>
          <w:p w14:paraId="540535EE" w14:textId="0AEB8F41" w:rsidR="007976B6" w:rsidRDefault="00350D65">
            <w:pPr>
              <w:pStyle w:val="Documentsubtitle"/>
            </w:pPr>
            <w:r>
              <w:t xml:space="preserve">Emergency Department / </w:t>
            </w:r>
            <w:r w:rsidR="007976B6">
              <w:t>Health Service step-by-step guide</w:t>
            </w:r>
          </w:p>
          <w:p w14:paraId="66F2DD46" w14:textId="0F3D5099" w:rsidR="007976B6" w:rsidRPr="00A1389F" w:rsidRDefault="007976B6">
            <w:pPr>
              <w:pStyle w:val="Documentsubtitle"/>
            </w:pPr>
            <w:r>
              <w:t xml:space="preserve">Updated </w:t>
            </w:r>
            <w:r w:rsidR="00917E4F">
              <w:t>October</w:t>
            </w:r>
            <w:r>
              <w:t xml:space="preserve"> 2025</w:t>
            </w:r>
          </w:p>
        </w:tc>
      </w:tr>
      <w:tr w:rsidR="007976B6" w14:paraId="5CEA7EFD" w14:textId="77777777" w:rsidTr="008D5B2D">
        <w:tc>
          <w:tcPr>
            <w:tcW w:w="10348" w:type="dxa"/>
          </w:tcPr>
          <w:p w14:paraId="7392AC57" w14:textId="77777777" w:rsidR="007976B6" w:rsidRPr="001E5058" w:rsidRDefault="007976B6">
            <w:pPr>
              <w:pStyle w:val="Bannermarking"/>
            </w:pPr>
            <w:fldSimple w:instr="FILLIN  &quot;Type the protective marking&quot; \d OFFICIAL \o  \* MERGEFORMAT">
              <w:r>
                <w:t>OFFICIAL</w:t>
              </w:r>
            </w:fldSimple>
          </w:p>
        </w:tc>
      </w:tr>
    </w:tbl>
    <w:p w14:paraId="2B1693A4" w14:textId="77777777" w:rsidR="007976B6" w:rsidRDefault="007976B6" w:rsidP="007976B6">
      <w:pPr>
        <w:pStyle w:val="Body"/>
      </w:pPr>
    </w:p>
    <w:p w14:paraId="1C2ACB5A" w14:textId="77777777" w:rsidR="007976B6" w:rsidRPr="00B519CD" w:rsidRDefault="007976B6" w:rsidP="007976B6">
      <w:pPr>
        <w:pStyle w:val="Body"/>
        <w:sectPr w:rsidR="007976B6" w:rsidRPr="00B519CD" w:rsidSect="007976B6">
          <w:headerReference w:type="default" r:id="rId16"/>
          <w:footerReference w:type="even" r:id="rId17"/>
          <w:footerReference w:type="default" r:id="rId18"/>
          <w:footerReference w:type="first" r:id="rId19"/>
          <w:type w:val="continuous"/>
          <w:pgSz w:w="11906" w:h="16838" w:code="9"/>
          <w:pgMar w:top="1418" w:right="851" w:bottom="1418" w:left="851" w:header="851" w:footer="851" w:gutter="0"/>
          <w:cols w:space="340"/>
          <w:titlePg/>
          <w:docGrid w:linePitch="360"/>
        </w:sectPr>
      </w:pPr>
    </w:p>
    <w:p w14:paraId="656D38CB" w14:textId="557A8465" w:rsidR="00545EC1" w:rsidRDefault="00917E4F" w:rsidP="007976B6">
      <w:pPr>
        <w:pStyle w:val="Body"/>
        <w:rPr>
          <w:rStyle w:val="BodyChar"/>
        </w:rPr>
      </w:pPr>
      <w:r>
        <w:rPr>
          <w:rStyle w:val="BodyChar"/>
        </w:rPr>
        <w:t xml:space="preserve">This document provides a step-by-step guide for </w:t>
      </w:r>
      <w:r w:rsidR="00545EC1">
        <w:rPr>
          <w:rStyle w:val="BodyChar"/>
        </w:rPr>
        <w:t xml:space="preserve">Emergency Departments and Health Services to follow when managing contacts of a confirmed measles case who attended their facility while infectious.  If you suspect your patient has measles you must notify the </w:t>
      </w:r>
      <w:hyperlink r:id="rId20" w:history="1">
        <w:r w:rsidR="00545EC1" w:rsidRPr="00F96728">
          <w:rPr>
            <w:rStyle w:val="Hyperlink"/>
          </w:rPr>
          <w:t>Department of Health</w:t>
        </w:r>
      </w:hyperlink>
      <w:r w:rsidR="00545EC1">
        <w:rPr>
          <w:rStyle w:val="BodyChar"/>
        </w:rPr>
        <w:t xml:space="preserve"> immediately via 1300 651 160.</w:t>
      </w:r>
    </w:p>
    <w:p w14:paraId="68B43C4B" w14:textId="77777777" w:rsidR="00B33849" w:rsidRDefault="00B33849" w:rsidP="007976B6">
      <w:pPr>
        <w:pStyle w:val="Body"/>
        <w:rPr>
          <w:rStyle w:val="BodyChar"/>
        </w:rPr>
      </w:pPr>
      <w:r>
        <w:rPr>
          <w:rStyle w:val="BodyChar"/>
        </w:rPr>
        <w:t>When to use this guide:</w:t>
      </w:r>
    </w:p>
    <w:p w14:paraId="3CC6C046" w14:textId="710220BC" w:rsidR="00E20E27" w:rsidRDefault="00B33849" w:rsidP="00B33849">
      <w:pPr>
        <w:pStyle w:val="Body"/>
        <w:numPr>
          <w:ilvl w:val="0"/>
          <w:numId w:val="21"/>
        </w:numPr>
        <w:rPr>
          <w:rStyle w:val="BodyChar"/>
        </w:rPr>
      </w:pPr>
      <w:r>
        <w:rPr>
          <w:rStyle w:val="BodyChar"/>
        </w:rPr>
        <w:t xml:space="preserve">When notified by your </w:t>
      </w:r>
      <w:hyperlink r:id="rId21" w:history="1">
        <w:r w:rsidRPr="003F5940">
          <w:rPr>
            <w:rStyle w:val="Hyperlink"/>
          </w:rPr>
          <w:t>Local Public Health Unit (LPHU)</w:t>
        </w:r>
      </w:hyperlink>
      <w:r w:rsidR="00766D2F">
        <w:rPr>
          <w:rStyle w:val="BodyChar"/>
        </w:rPr>
        <w:t xml:space="preserve"> that a confirmed measles case attended your facility while infectious. </w:t>
      </w:r>
    </w:p>
    <w:p w14:paraId="76499981" w14:textId="77777777" w:rsidR="00E837E2" w:rsidRDefault="00E20E27" w:rsidP="00E20E27">
      <w:pPr>
        <w:pStyle w:val="Body"/>
        <w:rPr>
          <w:rStyle w:val="BodyChar"/>
        </w:rPr>
      </w:pPr>
      <w:r>
        <w:rPr>
          <w:rStyle w:val="BodyChar"/>
        </w:rPr>
        <w:t>How to use th</w:t>
      </w:r>
      <w:r w:rsidR="00E837E2">
        <w:rPr>
          <w:rStyle w:val="BodyChar"/>
        </w:rPr>
        <w:t>is guide:</w:t>
      </w:r>
    </w:p>
    <w:p w14:paraId="14EE3021" w14:textId="77777777" w:rsidR="00E837E2" w:rsidRDefault="00E837E2" w:rsidP="00E837E2">
      <w:pPr>
        <w:pStyle w:val="Body"/>
        <w:numPr>
          <w:ilvl w:val="0"/>
          <w:numId w:val="21"/>
        </w:numPr>
        <w:rPr>
          <w:rStyle w:val="BodyChar"/>
        </w:rPr>
      </w:pPr>
      <w:r>
        <w:rPr>
          <w:rStyle w:val="BodyChar"/>
        </w:rPr>
        <w:t>Follow each step in sequence to identify and manage susceptible contacts.</w:t>
      </w:r>
    </w:p>
    <w:p w14:paraId="596AFBC4" w14:textId="77777777" w:rsidR="009242BC" w:rsidRDefault="009242BC" w:rsidP="00E837E2">
      <w:pPr>
        <w:pStyle w:val="Body"/>
        <w:numPr>
          <w:ilvl w:val="0"/>
          <w:numId w:val="21"/>
        </w:numPr>
        <w:rPr>
          <w:rStyle w:val="BodyChar"/>
        </w:rPr>
      </w:pPr>
      <w:r>
        <w:rPr>
          <w:rStyle w:val="BodyChar"/>
        </w:rPr>
        <w:t xml:space="preserve">Refer to the tables at the end of the document for post-exposures prophylaxis (PEP) eligibility and example contact lines lists. </w:t>
      </w:r>
    </w:p>
    <w:p w14:paraId="24A78165" w14:textId="368CCC33" w:rsidR="00E63B18" w:rsidRDefault="00E63B18" w:rsidP="00E837E2">
      <w:pPr>
        <w:pStyle w:val="Body"/>
        <w:numPr>
          <w:ilvl w:val="0"/>
          <w:numId w:val="21"/>
        </w:numPr>
        <w:rPr>
          <w:rStyle w:val="BodyChar"/>
        </w:rPr>
      </w:pPr>
      <w:r>
        <w:rPr>
          <w:rStyle w:val="BodyChar"/>
        </w:rPr>
        <w:t>Use the guide in conjunction with advice from your LPHU.</w:t>
      </w:r>
    </w:p>
    <w:p w14:paraId="30C80E31" w14:textId="41BB91ED" w:rsidR="007976B6" w:rsidRDefault="648053B5" w:rsidP="007976B6">
      <w:pPr>
        <w:pStyle w:val="Body"/>
      </w:pPr>
      <w:r w:rsidRPr="1D5357BB">
        <w:rPr>
          <w:rStyle w:val="BodyChar"/>
        </w:rPr>
        <w:t>P</w:t>
      </w:r>
      <w:r w:rsidR="70B27261" w:rsidRPr="1D5357BB">
        <w:rPr>
          <w:rStyle w:val="BodyChar"/>
        </w:rPr>
        <w:t>rompt contact tracing</w:t>
      </w:r>
      <w:r w:rsidR="007532CA">
        <w:rPr>
          <w:rStyle w:val="BodyChar"/>
        </w:rPr>
        <w:t xml:space="preserve"> of </w:t>
      </w:r>
      <w:r w:rsidR="008C33BB">
        <w:rPr>
          <w:rStyle w:val="BodyChar"/>
        </w:rPr>
        <w:t>individuals</w:t>
      </w:r>
      <w:r w:rsidR="007532CA">
        <w:rPr>
          <w:rStyle w:val="BodyChar"/>
        </w:rPr>
        <w:t xml:space="preserve"> who were</w:t>
      </w:r>
      <w:r w:rsidR="008C33BB">
        <w:rPr>
          <w:rStyle w:val="BodyChar"/>
        </w:rPr>
        <w:t xml:space="preserve"> exposed within your</w:t>
      </w:r>
      <w:r w:rsidR="00ED0C46">
        <w:rPr>
          <w:rStyle w:val="BodyChar"/>
        </w:rPr>
        <w:t xml:space="preserve"> </w:t>
      </w:r>
      <w:r w:rsidR="008C33BB">
        <w:rPr>
          <w:rStyle w:val="BodyChar"/>
        </w:rPr>
        <w:t xml:space="preserve">health </w:t>
      </w:r>
      <w:r w:rsidR="00ED0C46">
        <w:rPr>
          <w:rStyle w:val="BodyChar"/>
        </w:rPr>
        <w:t>service</w:t>
      </w:r>
      <w:r w:rsidR="331E121A" w:rsidRPr="1D5357BB">
        <w:rPr>
          <w:rStyle w:val="BodyChar"/>
        </w:rPr>
        <w:t>,</w:t>
      </w:r>
      <w:r w:rsidR="70B27261" w:rsidRPr="1D5357BB">
        <w:rPr>
          <w:rStyle w:val="BodyChar"/>
        </w:rPr>
        <w:t xml:space="preserve"> </w:t>
      </w:r>
      <w:r w:rsidR="07D14A72" w:rsidRPr="1D5357BB">
        <w:rPr>
          <w:rStyle w:val="BodyChar"/>
        </w:rPr>
        <w:t xml:space="preserve">including </w:t>
      </w:r>
      <w:r w:rsidR="6363FD9F" w:rsidRPr="1D5357BB">
        <w:rPr>
          <w:rStyle w:val="BodyChar"/>
        </w:rPr>
        <w:t>provision of</w:t>
      </w:r>
      <w:r w:rsidR="07D14A72" w:rsidRPr="1D5357BB">
        <w:rPr>
          <w:rStyle w:val="BodyChar"/>
        </w:rPr>
        <w:t xml:space="preserve"> </w:t>
      </w:r>
      <w:r w:rsidR="00E63B18">
        <w:rPr>
          <w:rStyle w:val="BodyChar"/>
        </w:rPr>
        <w:t>PEP</w:t>
      </w:r>
      <w:r w:rsidR="7F2E8845" w:rsidRPr="1D5357BB">
        <w:rPr>
          <w:rStyle w:val="BodyChar"/>
        </w:rPr>
        <w:t xml:space="preserve"> and </w:t>
      </w:r>
      <w:r w:rsidR="2D72D33B" w:rsidRPr="1D5357BB">
        <w:rPr>
          <w:rStyle w:val="BodyChar"/>
        </w:rPr>
        <w:t>dissemination of information</w:t>
      </w:r>
      <w:r w:rsidR="00E77069">
        <w:rPr>
          <w:rStyle w:val="BodyChar"/>
        </w:rPr>
        <w:t>,</w:t>
      </w:r>
      <w:r w:rsidR="3255B6DB" w:rsidRPr="1D5357BB">
        <w:rPr>
          <w:rStyle w:val="BodyChar"/>
        </w:rPr>
        <w:t xml:space="preserve"> </w:t>
      </w:r>
      <w:r w:rsidR="2D72D33B" w:rsidRPr="1D5357BB">
        <w:rPr>
          <w:rStyle w:val="BodyChar"/>
        </w:rPr>
        <w:t>may prevent onward transmission</w:t>
      </w:r>
      <w:r w:rsidR="00FE21A2">
        <w:rPr>
          <w:rStyle w:val="BodyChar"/>
        </w:rPr>
        <w:t xml:space="preserve">. This process </w:t>
      </w:r>
      <w:r w:rsidR="6363FD9F" w:rsidRPr="1D5357BB">
        <w:rPr>
          <w:rStyle w:val="BodyChar"/>
        </w:rPr>
        <w:t xml:space="preserve">is the responsibility of </w:t>
      </w:r>
      <w:r w:rsidR="00A71B19">
        <w:rPr>
          <w:rStyle w:val="BodyChar"/>
        </w:rPr>
        <w:t>your</w:t>
      </w:r>
      <w:r w:rsidR="6363FD9F" w:rsidRPr="1D5357BB">
        <w:rPr>
          <w:rStyle w:val="BodyChar"/>
        </w:rPr>
        <w:t xml:space="preserve"> </w:t>
      </w:r>
      <w:r w:rsidR="4AB43252" w:rsidRPr="1D5357BB">
        <w:rPr>
          <w:rStyle w:val="BodyChar"/>
        </w:rPr>
        <w:t>health service.</w:t>
      </w:r>
      <w:r w:rsidR="00253E37">
        <w:rPr>
          <w:rStyle w:val="BodyChar"/>
        </w:rPr>
        <w:t xml:space="preserve">  </w:t>
      </w:r>
      <w:hyperlink r:id="rId22" w:history="1">
        <w:r w:rsidR="00253E37" w:rsidRPr="0058016F">
          <w:rPr>
            <w:rStyle w:val="Hyperlink"/>
          </w:rPr>
          <w:t>Contact your LPHU</w:t>
        </w:r>
      </w:hyperlink>
      <w:r w:rsidR="00253E37">
        <w:rPr>
          <w:rStyle w:val="BodyChar"/>
        </w:rPr>
        <w:t xml:space="preserve"> for further advice. </w:t>
      </w:r>
    </w:p>
    <w:p w14:paraId="05D5471F" w14:textId="3B58B636" w:rsidR="007976B6" w:rsidRPr="00A07A5A" w:rsidRDefault="007976B6" w:rsidP="007976B6">
      <w:pPr>
        <w:pStyle w:val="Heading1"/>
        <w:rPr>
          <w:rFonts w:ascii="Arial" w:hAnsi="Arial" w:cs="Arial"/>
        </w:rPr>
      </w:pPr>
      <w:bookmarkStart w:id="0" w:name="_Toc63347079"/>
      <w:r w:rsidRPr="00A07A5A">
        <w:rPr>
          <w:rFonts w:ascii="Arial" w:hAnsi="Arial" w:cs="Arial"/>
        </w:rPr>
        <w:t>Required actions for your Emergency Department</w:t>
      </w:r>
      <w:r w:rsidR="00CB1945">
        <w:rPr>
          <w:rFonts w:ascii="Arial" w:hAnsi="Arial" w:cs="Arial"/>
        </w:rPr>
        <w:t xml:space="preserve"> / h</w:t>
      </w:r>
      <w:r w:rsidRPr="00A07A5A">
        <w:rPr>
          <w:rFonts w:ascii="Arial" w:hAnsi="Arial" w:cs="Arial"/>
        </w:rPr>
        <w:t>ealth service</w:t>
      </w:r>
    </w:p>
    <w:p w14:paraId="10A601B8" w14:textId="080B1D10" w:rsidR="0091412F" w:rsidRPr="00A07A5A" w:rsidRDefault="0091412F" w:rsidP="007976B6">
      <w:pPr>
        <w:pStyle w:val="Heading2"/>
        <w:rPr>
          <w:rFonts w:ascii="Arial" w:hAnsi="Arial" w:cs="Arial"/>
          <w:b/>
          <w:bCs/>
        </w:rPr>
      </w:pPr>
      <w:r w:rsidRPr="00A07A5A">
        <w:rPr>
          <w:rFonts w:ascii="Arial" w:hAnsi="Arial" w:cs="Arial"/>
          <w:b/>
          <w:bCs/>
        </w:rPr>
        <w:t>Step 1: Confirm exposure risk</w:t>
      </w:r>
    </w:p>
    <w:p w14:paraId="5D13230D" w14:textId="16D10365" w:rsidR="0075628B" w:rsidRDefault="0075628B" w:rsidP="0075628B">
      <w:pPr>
        <w:pStyle w:val="Body"/>
      </w:pPr>
      <w:r>
        <w:t xml:space="preserve">Confirm the time(s) and date(s) that the case attended your </w:t>
      </w:r>
      <w:r w:rsidR="0079770C">
        <w:t>health service</w:t>
      </w:r>
      <w:r>
        <w:t>, and determine whether the following</w:t>
      </w:r>
      <w:r w:rsidRPr="00A751D6">
        <w:t xml:space="preserve"> infection control practices were in place:</w:t>
      </w:r>
    </w:p>
    <w:p w14:paraId="4234A32E" w14:textId="77777777" w:rsidR="0075628B" w:rsidRDefault="0075628B" w:rsidP="0075628B">
      <w:pPr>
        <w:pStyle w:val="Body"/>
        <w:numPr>
          <w:ilvl w:val="0"/>
          <w:numId w:val="11"/>
        </w:numPr>
      </w:pPr>
      <w:r>
        <w:t xml:space="preserve">The case wore a P2/N95 respirator prior to entering the facility, and did not remove the mask until they were placed into appropriate isolation, or left the service; AND </w:t>
      </w:r>
    </w:p>
    <w:p w14:paraId="78650668" w14:textId="4B5B59D9" w:rsidR="0075628B" w:rsidRDefault="0075628B" w:rsidP="0075628B">
      <w:pPr>
        <w:pStyle w:val="Body"/>
        <w:numPr>
          <w:ilvl w:val="0"/>
          <w:numId w:val="11"/>
        </w:numPr>
      </w:pPr>
      <w:r>
        <w:t>All staff who attended to the case were wearing appropriate PPE (without any breaches); AND</w:t>
      </w:r>
    </w:p>
    <w:p w14:paraId="56B3B6CC" w14:textId="77777777" w:rsidR="0075628B" w:rsidRDefault="0075628B" w:rsidP="0075628B">
      <w:pPr>
        <w:pStyle w:val="Body"/>
        <w:numPr>
          <w:ilvl w:val="0"/>
          <w:numId w:val="11"/>
        </w:numPr>
      </w:pPr>
      <w:r>
        <w:t xml:space="preserve">The case was managed in an isolation room that was subsequently left unused for 30 minutes. </w:t>
      </w:r>
    </w:p>
    <w:p w14:paraId="4778830E" w14:textId="77777777" w:rsidR="0075628B" w:rsidRDefault="0075628B" w:rsidP="0075628B">
      <w:pPr>
        <w:pStyle w:val="Body"/>
      </w:pPr>
      <w:r w:rsidRPr="00A751D6">
        <w:t xml:space="preserve">If these conditions were </w:t>
      </w:r>
      <w:r w:rsidRPr="00A751D6">
        <w:rPr>
          <w:b/>
          <w:bCs/>
          <w:u w:val="single"/>
        </w:rPr>
        <w:t>all</w:t>
      </w:r>
      <w:r w:rsidRPr="00A751D6">
        <w:t xml:space="preserve"> met, no further action is required. If any of these conditions were not met, proceed to contact tracing. If there is any uncertainty around exposures or adequate PPE, the LPHU is available to provide guidance.</w:t>
      </w:r>
    </w:p>
    <w:p w14:paraId="19CC52F8" w14:textId="77777777" w:rsidR="0075628B" w:rsidRPr="00A751D6" w:rsidRDefault="0075628B" w:rsidP="0075628B">
      <w:pPr>
        <w:pStyle w:val="Body"/>
      </w:pPr>
    </w:p>
    <w:p w14:paraId="0FB3236E" w14:textId="6BD74D5C" w:rsidR="0032706B" w:rsidRPr="00D64BDA" w:rsidRDefault="0032706B" w:rsidP="0032706B">
      <w:pPr>
        <w:pStyle w:val="Heading2"/>
        <w:rPr>
          <w:rFonts w:ascii="Arial" w:hAnsi="Arial" w:cs="Arial"/>
          <w:b/>
          <w:bCs/>
        </w:rPr>
      </w:pPr>
      <w:r w:rsidRPr="00D64BDA">
        <w:rPr>
          <w:rFonts w:ascii="Arial" w:hAnsi="Arial" w:cs="Arial"/>
          <w:b/>
          <w:bCs/>
        </w:rPr>
        <w:lastRenderedPageBreak/>
        <w:t>Step 2:</w:t>
      </w:r>
      <w:r w:rsidR="00A13C8F" w:rsidRPr="00D64BDA">
        <w:rPr>
          <w:rFonts w:ascii="Arial" w:hAnsi="Arial" w:cs="Arial"/>
          <w:b/>
          <w:bCs/>
        </w:rPr>
        <w:t xml:space="preserve"> Determine PEP window</w:t>
      </w:r>
      <w:r w:rsidR="00777C2C">
        <w:rPr>
          <w:rFonts w:ascii="Arial" w:hAnsi="Arial" w:cs="Arial"/>
          <w:b/>
          <w:bCs/>
        </w:rPr>
        <w:t>s</w:t>
      </w:r>
    </w:p>
    <w:p w14:paraId="25CB60B7" w14:textId="3FEEBD96" w:rsidR="00777C2C" w:rsidRDefault="00777C2C" w:rsidP="00777C2C">
      <w:pPr>
        <w:pStyle w:val="Body"/>
      </w:pPr>
      <w:r>
        <w:t>Susceptible contacts may be eligible PEP in the form of M</w:t>
      </w:r>
      <w:r w:rsidR="009444D3">
        <w:t xml:space="preserve">easles </w:t>
      </w:r>
      <w:r w:rsidR="00E97B0B">
        <w:t>Mumps</w:t>
      </w:r>
      <w:r w:rsidR="009444D3">
        <w:t xml:space="preserve"> </w:t>
      </w:r>
      <w:r>
        <w:t>R</w:t>
      </w:r>
      <w:r w:rsidR="009444D3">
        <w:t>ubella (MMR)</w:t>
      </w:r>
      <w:r>
        <w:t xml:space="preserve"> vaccine or Normal Human Immunoglobulin (NHIg) to reduce their risk of infection. These must be administered within strict timeframes to be effective:</w:t>
      </w:r>
    </w:p>
    <w:p w14:paraId="064A1889" w14:textId="77777777" w:rsidR="00777C2C" w:rsidRDefault="00777C2C" w:rsidP="00777C2C">
      <w:pPr>
        <w:pStyle w:val="Body"/>
        <w:numPr>
          <w:ilvl w:val="0"/>
          <w:numId w:val="6"/>
        </w:numPr>
      </w:pPr>
      <w:r w:rsidRPr="0012748D">
        <w:rPr>
          <w:b/>
          <w:bCs/>
        </w:rPr>
        <w:t>MMR vaccine</w:t>
      </w:r>
      <w:r>
        <w:t xml:space="preserve"> within 72 hours of first exposure</w:t>
      </w:r>
    </w:p>
    <w:p w14:paraId="639C0141" w14:textId="77777777" w:rsidR="00777C2C" w:rsidRDefault="00777C2C" w:rsidP="00777C2C">
      <w:pPr>
        <w:pStyle w:val="Body"/>
        <w:numPr>
          <w:ilvl w:val="0"/>
          <w:numId w:val="6"/>
        </w:numPr>
      </w:pPr>
      <w:r w:rsidRPr="0012748D">
        <w:rPr>
          <w:b/>
          <w:bCs/>
        </w:rPr>
        <w:t>NHIg intramuscular injection</w:t>
      </w:r>
      <w:r>
        <w:t xml:space="preserve"> within 144 hours of first exposure.</w:t>
      </w:r>
    </w:p>
    <w:p w14:paraId="72E9115F" w14:textId="77777777" w:rsidR="00777C2C" w:rsidRDefault="00777C2C" w:rsidP="00777C2C">
      <w:pPr>
        <w:pStyle w:val="Body"/>
      </w:pPr>
      <w:r>
        <w:t xml:space="preserve">Contacts whose first exposure to the case was greater than 144 hours ago are ineligible for PEP.  </w:t>
      </w:r>
    </w:p>
    <w:p w14:paraId="587EAE21" w14:textId="636D1427" w:rsidR="00CB1945" w:rsidRDefault="15F473F2" w:rsidP="00CB1945">
      <w:pPr>
        <w:pStyle w:val="Body"/>
      </w:pPr>
      <w:r>
        <w:t xml:space="preserve">Note that if a case attended your </w:t>
      </w:r>
      <w:r w:rsidR="59BBC911">
        <w:t xml:space="preserve">health </w:t>
      </w:r>
      <w:r w:rsidR="59704FAA">
        <w:t>service</w:t>
      </w:r>
      <w:r>
        <w:t xml:space="preserve"> on more than one occasion whilst infectious there may be different contact groups to follow up with different times elapsed since first exposure. </w:t>
      </w:r>
      <w:r w:rsidR="001B451F">
        <w:t>In th</w:t>
      </w:r>
      <w:r w:rsidR="008B0EC9">
        <w:t>ese</w:t>
      </w:r>
      <w:r w:rsidR="001B451F">
        <w:t xml:space="preserve"> instance</w:t>
      </w:r>
      <w:r w:rsidR="008B0EC9">
        <w:t>s</w:t>
      </w:r>
      <w:r>
        <w:t xml:space="preserve">, start with the </w:t>
      </w:r>
      <w:r w:rsidRPr="1D5357BB">
        <w:rPr>
          <w:b/>
          <w:bCs/>
          <w:u w:val="single"/>
        </w:rPr>
        <w:t>earliest</w:t>
      </w:r>
      <w:r>
        <w:t xml:space="preserve"> attendance, to ensure identified contacts have the greatest likelihood of falling within a PEP window. </w:t>
      </w:r>
    </w:p>
    <w:p w14:paraId="65D18651" w14:textId="77777777" w:rsidR="00323571" w:rsidRDefault="00323571">
      <w:pPr>
        <w:pStyle w:val="Heading3"/>
        <w:rPr>
          <w:b/>
          <w:bCs/>
          <w:sz w:val="32"/>
          <w:szCs w:val="32"/>
        </w:rPr>
      </w:pPr>
    </w:p>
    <w:p w14:paraId="62161127" w14:textId="1E9B652A" w:rsidR="007976B6" w:rsidRPr="000D25D1" w:rsidRDefault="007976B6" w:rsidP="000D25D1">
      <w:pPr>
        <w:pStyle w:val="Heading3"/>
        <w:rPr>
          <w:b/>
          <w:bCs/>
        </w:rPr>
      </w:pPr>
      <w:r w:rsidRPr="000D25D1">
        <w:rPr>
          <w:b/>
          <w:bCs/>
          <w:sz w:val="32"/>
          <w:szCs w:val="32"/>
        </w:rPr>
        <w:t xml:space="preserve">Step </w:t>
      </w:r>
      <w:r w:rsidR="00135F2A">
        <w:rPr>
          <w:b/>
          <w:bCs/>
          <w:sz w:val="32"/>
          <w:szCs w:val="32"/>
        </w:rPr>
        <w:t>3</w:t>
      </w:r>
      <w:r w:rsidRPr="000D25D1">
        <w:rPr>
          <w:b/>
          <w:bCs/>
          <w:sz w:val="32"/>
          <w:szCs w:val="32"/>
        </w:rPr>
        <w:t>: Identify contacts</w:t>
      </w:r>
    </w:p>
    <w:p w14:paraId="7E18DEA3" w14:textId="3CAE9E98" w:rsidR="00DC6118" w:rsidRDefault="003B06EF" w:rsidP="007976B6">
      <w:pPr>
        <w:pStyle w:val="Body"/>
      </w:pPr>
      <w:r>
        <w:t xml:space="preserve">Identify all contacts including staff, patients and visitors who were exposed to the case. This includes anybody who was within the same space </w:t>
      </w:r>
      <w:r w:rsidRPr="739D86CC">
        <w:rPr>
          <w:b/>
          <w:bCs/>
          <w:i/>
          <w:iCs/>
        </w:rPr>
        <w:t>at the same time</w:t>
      </w:r>
      <w:r>
        <w:rPr>
          <w:b/>
          <w:bCs/>
          <w:i/>
          <w:iCs/>
        </w:rPr>
        <w:t xml:space="preserve"> </w:t>
      </w:r>
      <w:r w:rsidRPr="739D86CC">
        <w:rPr>
          <w:b/>
          <w:bCs/>
          <w:i/>
          <w:iCs/>
        </w:rPr>
        <w:t>and for 30 minutes after</w:t>
      </w:r>
      <w:r>
        <w:t xml:space="preserve"> the measles case was present, or until they were appropriately isolated. Consider </w:t>
      </w:r>
      <w:r w:rsidR="00252BC6">
        <w:t xml:space="preserve">emergency department </w:t>
      </w:r>
      <w:r>
        <w:t>waiting rooms, consultation</w:t>
      </w:r>
      <w:r w:rsidR="00583767">
        <w:t xml:space="preserve"> or procedure</w:t>
      </w:r>
      <w:r>
        <w:t xml:space="preserve"> rooms, </w:t>
      </w:r>
      <w:r w:rsidR="00252BC6">
        <w:t>radiology units,</w:t>
      </w:r>
      <w:r>
        <w:t xml:space="preserve"> toilets</w:t>
      </w:r>
      <w:r w:rsidR="00583767">
        <w:t>, wards</w:t>
      </w:r>
      <w:r>
        <w:t xml:space="preserve"> or any other location the case transited through within your </w:t>
      </w:r>
      <w:r w:rsidR="00252BC6">
        <w:t xml:space="preserve">health service. </w:t>
      </w:r>
    </w:p>
    <w:p w14:paraId="288F3D03" w14:textId="024A2235" w:rsidR="00DC6118" w:rsidRDefault="00DC6118" w:rsidP="00DC6118">
      <w:pPr>
        <w:pStyle w:val="Body"/>
      </w:pPr>
      <w:r>
        <w:t xml:space="preserve">Information including full legal name, date of birth, mobile number, email address and exact times and locations of </w:t>
      </w:r>
      <w:r w:rsidR="002C109E">
        <w:t xml:space="preserve">attendance </w:t>
      </w:r>
      <w:r>
        <w:t xml:space="preserve">should be collected for every contact </w:t>
      </w:r>
      <w:r w:rsidR="00115758">
        <w:t xml:space="preserve">within a line list spreadsheet. See </w:t>
      </w:r>
      <w:hyperlink w:anchor="_Table_3:_Example" w:history="1">
        <w:r w:rsidR="00115758" w:rsidRPr="00115758">
          <w:rPr>
            <w:rStyle w:val="Hyperlink"/>
          </w:rPr>
          <w:t>Table 3</w:t>
        </w:r>
      </w:hyperlink>
      <w:r w:rsidR="00115758">
        <w:t xml:space="preserve"> for an example of such a line list. </w:t>
      </w:r>
    </w:p>
    <w:p w14:paraId="7A9F2439" w14:textId="77777777" w:rsidR="00891911" w:rsidRDefault="00891911" w:rsidP="007976B6">
      <w:pPr>
        <w:pStyle w:val="Body"/>
      </w:pPr>
    </w:p>
    <w:p w14:paraId="38659062" w14:textId="2C59A035" w:rsidR="007976B6" w:rsidRPr="009311A2" w:rsidRDefault="00AA0553" w:rsidP="007976B6">
      <w:pPr>
        <w:pStyle w:val="Heading3"/>
        <w:rPr>
          <w:b/>
          <w:bCs/>
        </w:rPr>
      </w:pPr>
      <w:r w:rsidRPr="00266D62">
        <w:rPr>
          <w:b/>
          <w:bCs/>
        </w:rPr>
        <w:t xml:space="preserve">Step </w:t>
      </w:r>
      <w:r w:rsidR="00135F2A">
        <w:rPr>
          <w:b/>
          <w:bCs/>
        </w:rPr>
        <w:t>4</w:t>
      </w:r>
      <w:r w:rsidRPr="00266D62">
        <w:rPr>
          <w:b/>
          <w:bCs/>
        </w:rPr>
        <w:t xml:space="preserve">: </w:t>
      </w:r>
      <w:r w:rsidR="00A42723" w:rsidRPr="00266D62">
        <w:rPr>
          <w:b/>
          <w:bCs/>
        </w:rPr>
        <w:t xml:space="preserve">Determine </w:t>
      </w:r>
      <w:r w:rsidR="001F0D02" w:rsidRPr="00266D62">
        <w:rPr>
          <w:b/>
          <w:bCs/>
        </w:rPr>
        <w:t xml:space="preserve">measles immunity </w:t>
      </w:r>
      <w:r w:rsidR="005E5DC8">
        <w:rPr>
          <w:b/>
          <w:bCs/>
        </w:rPr>
        <w:t>/</w:t>
      </w:r>
      <w:r w:rsidR="001F0D02" w:rsidRPr="008C6187">
        <w:rPr>
          <w:b/>
          <w:bCs/>
        </w:rPr>
        <w:t xml:space="preserve"> susceptibility </w:t>
      </w:r>
      <w:r w:rsidR="00D94A17">
        <w:rPr>
          <w:b/>
          <w:bCs/>
        </w:rPr>
        <w:t>of contacts</w:t>
      </w:r>
    </w:p>
    <w:p w14:paraId="55142469" w14:textId="77777777" w:rsidR="001058A2" w:rsidRDefault="001058A2" w:rsidP="001058A2">
      <w:pPr>
        <w:pStyle w:val="Body"/>
      </w:pPr>
      <w:r>
        <w:t xml:space="preserve">Contacts are considered </w:t>
      </w:r>
      <w:r>
        <w:rPr>
          <w:b/>
          <w:bCs/>
        </w:rPr>
        <w:t>immune</w:t>
      </w:r>
      <w:r>
        <w:t xml:space="preserve"> to measles and </w:t>
      </w:r>
      <w:r w:rsidRPr="00A751D6">
        <w:rPr>
          <w:b/>
          <w:bCs/>
        </w:rPr>
        <w:t>do not require PEP</w:t>
      </w:r>
      <w:r>
        <w:t xml:space="preserve"> if they:</w:t>
      </w:r>
    </w:p>
    <w:p w14:paraId="00C5A7D1" w14:textId="77777777" w:rsidR="001058A2" w:rsidRDefault="001058A2" w:rsidP="001058A2">
      <w:pPr>
        <w:pStyle w:val="Body"/>
        <w:numPr>
          <w:ilvl w:val="0"/>
          <w:numId w:val="4"/>
        </w:numPr>
      </w:pPr>
      <w:r>
        <w:t xml:space="preserve">Have had </w:t>
      </w:r>
      <w:r>
        <w:rPr>
          <w:b/>
          <w:bCs/>
        </w:rPr>
        <w:t>two</w:t>
      </w:r>
      <w:r>
        <w:t xml:space="preserve"> documented doses of a measles-containing vaccine and are not considered immunocompromised (e.g., cancer, chemotherapy, or high-dose steroids) OR</w:t>
      </w:r>
    </w:p>
    <w:p w14:paraId="39C39DF8" w14:textId="77777777" w:rsidR="001058A2" w:rsidRDefault="001058A2" w:rsidP="001058A2">
      <w:pPr>
        <w:pStyle w:val="Body"/>
        <w:numPr>
          <w:ilvl w:val="0"/>
          <w:numId w:val="4"/>
        </w:numPr>
      </w:pPr>
      <w:r>
        <w:t>Have documented evidence of a previous measles infection OR</w:t>
      </w:r>
    </w:p>
    <w:p w14:paraId="209010E8" w14:textId="77777777" w:rsidR="001058A2" w:rsidRDefault="001058A2" w:rsidP="001058A2">
      <w:pPr>
        <w:pStyle w:val="Body"/>
        <w:numPr>
          <w:ilvl w:val="0"/>
          <w:numId w:val="4"/>
        </w:numPr>
      </w:pPr>
      <w:r>
        <w:t>Have documented serological markers of immunity (i.e. a detectable measles-specific IgG) OR</w:t>
      </w:r>
    </w:p>
    <w:p w14:paraId="51E5631B" w14:textId="3F879A11" w:rsidR="001058A2" w:rsidRDefault="0FFDFF34" w:rsidP="001058A2">
      <w:pPr>
        <w:pStyle w:val="Body"/>
        <w:numPr>
          <w:ilvl w:val="0"/>
          <w:numId w:val="4"/>
        </w:numPr>
      </w:pPr>
      <w:r>
        <w:t xml:space="preserve">Were born </w:t>
      </w:r>
      <w:r w:rsidR="00767419">
        <w:t>before</w:t>
      </w:r>
      <w:r>
        <w:t xml:space="preserve"> 1966 (as likely to have immunity from childhood measles infection). </w:t>
      </w:r>
    </w:p>
    <w:p w14:paraId="6817DFF1" w14:textId="77777777" w:rsidR="001058A2" w:rsidRDefault="001058A2" w:rsidP="001058A2">
      <w:pPr>
        <w:pStyle w:val="Body"/>
      </w:pPr>
      <w:r>
        <w:t xml:space="preserve">All other contacts who do not meet above criteria are considered </w:t>
      </w:r>
      <w:r>
        <w:rPr>
          <w:b/>
          <w:bCs/>
        </w:rPr>
        <w:t xml:space="preserve">susceptible </w:t>
      </w:r>
      <w:r>
        <w:t xml:space="preserve">and should be </w:t>
      </w:r>
      <w:r w:rsidRPr="00A751D6">
        <w:rPr>
          <w:b/>
          <w:bCs/>
        </w:rPr>
        <w:t>offered PEP</w:t>
      </w:r>
      <w:r>
        <w:t xml:space="preserve"> as appropriate, with the following considerations:</w:t>
      </w:r>
    </w:p>
    <w:p w14:paraId="76F71848" w14:textId="77777777" w:rsidR="001058A2" w:rsidRPr="00676678" w:rsidRDefault="001058A2" w:rsidP="001058A2">
      <w:pPr>
        <w:pStyle w:val="Body"/>
        <w:numPr>
          <w:ilvl w:val="0"/>
          <w:numId w:val="5"/>
        </w:numPr>
      </w:pPr>
      <w:r>
        <w:t>Do not wait for IgG testing to administer MMR vaccine.</w:t>
      </w:r>
    </w:p>
    <w:p w14:paraId="006B8C67" w14:textId="77777777" w:rsidR="001058A2" w:rsidRDefault="001058A2" w:rsidP="001058A2">
      <w:pPr>
        <w:pStyle w:val="Body"/>
        <w:numPr>
          <w:ilvl w:val="0"/>
          <w:numId w:val="5"/>
        </w:numPr>
      </w:pPr>
      <w:r>
        <w:t>For pregnant women, immunocompromised individuals and healthcare workers with uncertain immune status, urgent IgG testing can be requested (if time permits) to determine NHIg eligibility. If results will not be available within NHIg PEP window, do not wait to administer NHIg.</w:t>
      </w:r>
    </w:p>
    <w:p w14:paraId="38F603D7" w14:textId="77777777" w:rsidR="00AF21A0" w:rsidRPr="00676678" w:rsidRDefault="001058A2" w:rsidP="00AF21A0">
      <w:pPr>
        <w:pStyle w:val="Body"/>
        <w:numPr>
          <w:ilvl w:val="0"/>
          <w:numId w:val="5"/>
        </w:numPr>
      </w:pPr>
      <w:r>
        <w:t>It is still safe to provide MMR (or NHIg, as indicated) to individuals who are already immune, if unsure of immunity status.</w:t>
      </w:r>
    </w:p>
    <w:p w14:paraId="50FE2054" w14:textId="77777777" w:rsidR="001058A2" w:rsidRDefault="001058A2" w:rsidP="001058A2">
      <w:pPr>
        <w:pStyle w:val="Body"/>
        <w:rPr>
          <w:i/>
          <w:iCs/>
        </w:rPr>
      </w:pPr>
      <w:r>
        <w:t xml:space="preserve">Check/confirm immunisation status via </w:t>
      </w:r>
      <w:r w:rsidRPr="00600702">
        <w:t xml:space="preserve">the </w:t>
      </w:r>
      <w:hyperlink r:id="rId23" w:history="1">
        <w:r w:rsidRPr="00885761">
          <w:rPr>
            <w:rStyle w:val="Hyperlink"/>
          </w:rPr>
          <w:t>Australian Immunisation Register</w:t>
        </w:r>
      </w:hyperlink>
      <w:r w:rsidRPr="00600702">
        <w:t>.</w:t>
      </w:r>
      <w:r w:rsidRPr="00885761">
        <w:rPr>
          <w:i/>
          <w:iCs/>
        </w:rPr>
        <w:t xml:space="preserve"> </w:t>
      </w:r>
    </w:p>
    <w:p w14:paraId="72602159" w14:textId="77777777" w:rsidR="00AF21A0" w:rsidRDefault="00AF21A0" w:rsidP="00AF21A0">
      <w:pPr>
        <w:pStyle w:val="Body"/>
      </w:pPr>
      <w:r>
        <w:t xml:space="preserve">The priority for follow-up of contacts (staff, patients and visitors) is as follows: </w:t>
      </w:r>
    </w:p>
    <w:p w14:paraId="6CEC5495" w14:textId="77777777" w:rsidR="00AF21A0" w:rsidRDefault="00AF21A0" w:rsidP="00AF21A0">
      <w:pPr>
        <w:pStyle w:val="Body"/>
        <w:numPr>
          <w:ilvl w:val="0"/>
          <w:numId w:val="2"/>
        </w:numPr>
      </w:pPr>
      <w:r>
        <w:lastRenderedPageBreak/>
        <w:t>Infants &lt;12 months</w:t>
      </w:r>
    </w:p>
    <w:p w14:paraId="4175BEB5" w14:textId="77777777" w:rsidR="00AF21A0" w:rsidRDefault="00AF21A0" w:rsidP="00AF21A0">
      <w:pPr>
        <w:pStyle w:val="Body"/>
        <w:numPr>
          <w:ilvl w:val="0"/>
          <w:numId w:val="2"/>
        </w:numPr>
      </w:pPr>
      <w:r>
        <w:t>Immunocompromised individuals</w:t>
      </w:r>
    </w:p>
    <w:p w14:paraId="5D21F2DB" w14:textId="77777777" w:rsidR="00AF21A0" w:rsidRDefault="00AF21A0" w:rsidP="00AF21A0">
      <w:pPr>
        <w:pStyle w:val="Body"/>
        <w:numPr>
          <w:ilvl w:val="0"/>
          <w:numId w:val="2"/>
        </w:numPr>
      </w:pPr>
      <w:r>
        <w:t xml:space="preserve">Susceptible pregnant women </w:t>
      </w:r>
    </w:p>
    <w:p w14:paraId="7A6E91DF" w14:textId="7599005B" w:rsidR="00AF21A0" w:rsidRDefault="00AF21A0" w:rsidP="00AF21A0">
      <w:pPr>
        <w:pStyle w:val="Body"/>
        <w:numPr>
          <w:ilvl w:val="0"/>
          <w:numId w:val="2"/>
        </w:numPr>
      </w:pPr>
      <w:r>
        <w:t xml:space="preserve">Susceptible children &gt;12 months </w:t>
      </w:r>
    </w:p>
    <w:p w14:paraId="7EDF21CD" w14:textId="77777777" w:rsidR="00AF21A0" w:rsidRDefault="00AF21A0" w:rsidP="00AF21A0">
      <w:pPr>
        <w:pStyle w:val="Body"/>
        <w:numPr>
          <w:ilvl w:val="0"/>
          <w:numId w:val="2"/>
        </w:numPr>
      </w:pPr>
      <w:r>
        <w:t>Adults born during or after 1966</w:t>
      </w:r>
      <w:r w:rsidRPr="00103394">
        <w:t xml:space="preserve"> with</w:t>
      </w:r>
      <w:r>
        <w:t xml:space="preserve"> no evidence of measles vaccine </w:t>
      </w:r>
    </w:p>
    <w:p w14:paraId="5B3BC3B7" w14:textId="77777777" w:rsidR="00AF21A0" w:rsidRPr="00600702" w:rsidRDefault="00AF21A0" w:rsidP="001058A2">
      <w:pPr>
        <w:pStyle w:val="Body"/>
        <w:rPr>
          <w:i/>
        </w:rPr>
      </w:pPr>
    </w:p>
    <w:bookmarkEnd w:id="0"/>
    <w:p w14:paraId="266C358F" w14:textId="3E496C69" w:rsidR="007976B6" w:rsidRPr="00A071C3" w:rsidRDefault="007976B6" w:rsidP="007976B6">
      <w:pPr>
        <w:pStyle w:val="Heading2"/>
        <w:rPr>
          <w:rFonts w:ascii="Arial" w:hAnsi="Arial" w:cs="Arial"/>
          <w:b/>
          <w:bCs/>
        </w:rPr>
      </w:pPr>
      <w:r w:rsidRPr="00A071C3">
        <w:rPr>
          <w:rFonts w:ascii="Arial" w:hAnsi="Arial" w:cs="Arial"/>
          <w:b/>
          <w:bCs/>
        </w:rPr>
        <w:t xml:space="preserve">Step </w:t>
      </w:r>
      <w:r w:rsidR="00135F2A">
        <w:rPr>
          <w:rFonts w:ascii="Arial" w:hAnsi="Arial" w:cs="Arial"/>
          <w:b/>
          <w:bCs/>
        </w:rPr>
        <w:t>5</w:t>
      </w:r>
      <w:r w:rsidRPr="009A4115">
        <w:rPr>
          <w:rFonts w:ascii="Arial" w:hAnsi="Arial" w:cs="Arial"/>
          <w:b/>
          <w:bCs/>
        </w:rPr>
        <w:t xml:space="preserve">: Determine PEP eligibility </w:t>
      </w:r>
    </w:p>
    <w:p w14:paraId="7CE55DCC" w14:textId="77777777" w:rsidR="00FD5D0E" w:rsidRDefault="00851F1A" w:rsidP="007F2C34">
      <w:pPr>
        <w:rPr>
          <w:rFonts w:eastAsia="Aptos" w:cs="Arial"/>
          <w:color w:val="000000" w:themeColor="text1"/>
          <w:szCs w:val="21"/>
        </w:rPr>
      </w:pPr>
      <w:r>
        <w:rPr>
          <w:rFonts w:eastAsia="Aptos" w:cs="Arial"/>
          <w:color w:val="000000" w:themeColor="text1"/>
          <w:szCs w:val="21"/>
        </w:rPr>
        <w:t xml:space="preserve">Group susceptible contacts </w:t>
      </w:r>
      <w:r w:rsidR="003B54E4">
        <w:rPr>
          <w:rFonts w:eastAsia="Aptos" w:cs="Arial"/>
          <w:color w:val="000000" w:themeColor="text1"/>
          <w:szCs w:val="21"/>
        </w:rPr>
        <w:t xml:space="preserve">into PEP eligibility groups based on time </w:t>
      </w:r>
      <w:r w:rsidR="00FD5D0E">
        <w:rPr>
          <w:rFonts w:eastAsia="Aptos" w:cs="Arial"/>
          <w:color w:val="000000" w:themeColor="text1"/>
          <w:szCs w:val="21"/>
        </w:rPr>
        <w:t xml:space="preserve">as follows: </w:t>
      </w:r>
    </w:p>
    <w:p w14:paraId="50B0F531" w14:textId="77777777" w:rsidR="00606DC9" w:rsidRDefault="00FD5D0E" w:rsidP="00FD5D0E">
      <w:pPr>
        <w:pStyle w:val="ListParagraph"/>
        <w:numPr>
          <w:ilvl w:val="0"/>
          <w:numId w:val="17"/>
        </w:numPr>
        <w:rPr>
          <w:rFonts w:eastAsia="Aptos" w:cs="Arial"/>
          <w:color w:val="000000" w:themeColor="text1"/>
          <w:szCs w:val="21"/>
        </w:rPr>
      </w:pPr>
      <w:r>
        <w:rPr>
          <w:rFonts w:eastAsia="Aptos" w:cs="Arial"/>
          <w:color w:val="000000" w:themeColor="text1"/>
          <w:szCs w:val="21"/>
        </w:rPr>
        <w:t xml:space="preserve">&lt;72hrs since first exposure </w:t>
      </w:r>
      <w:r w:rsidR="00606DC9">
        <w:rPr>
          <w:rFonts w:eastAsia="Aptos" w:cs="Arial"/>
          <w:color w:val="000000" w:themeColor="text1"/>
          <w:szCs w:val="21"/>
        </w:rPr>
        <w:t>–</w:t>
      </w:r>
      <w:r>
        <w:rPr>
          <w:rFonts w:eastAsia="Aptos" w:cs="Arial"/>
          <w:color w:val="000000" w:themeColor="text1"/>
          <w:szCs w:val="21"/>
        </w:rPr>
        <w:t xml:space="preserve"> </w:t>
      </w:r>
      <w:r w:rsidR="00606DC9">
        <w:rPr>
          <w:rFonts w:eastAsia="Aptos" w:cs="Arial"/>
          <w:color w:val="000000" w:themeColor="text1"/>
          <w:szCs w:val="21"/>
        </w:rPr>
        <w:t xml:space="preserve">MMR vaccine eligible </w:t>
      </w:r>
    </w:p>
    <w:p w14:paraId="36F4C805" w14:textId="77777777" w:rsidR="00606DC9" w:rsidRDefault="00606DC9" w:rsidP="00FD5D0E">
      <w:pPr>
        <w:pStyle w:val="ListParagraph"/>
        <w:numPr>
          <w:ilvl w:val="0"/>
          <w:numId w:val="17"/>
        </w:numPr>
        <w:rPr>
          <w:rFonts w:eastAsia="Aptos" w:cs="Arial"/>
          <w:color w:val="000000" w:themeColor="text1"/>
          <w:szCs w:val="21"/>
        </w:rPr>
      </w:pPr>
      <w:r>
        <w:rPr>
          <w:rFonts w:eastAsia="Aptos" w:cs="Arial"/>
          <w:color w:val="000000" w:themeColor="text1"/>
          <w:szCs w:val="21"/>
        </w:rPr>
        <w:t xml:space="preserve">&lt;144hrs since first exposure – NHIg eligible </w:t>
      </w:r>
    </w:p>
    <w:p w14:paraId="12D03F0E" w14:textId="77777777" w:rsidR="00606DC9" w:rsidRDefault="00606DC9" w:rsidP="00FD5D0E">
      <w:pPr>
        <w:pStyle w:val="ListParagraph"/>
        <w:numPr>
          <w:ilvl w:val="0"/>
          <w:numId w:val="17"/>
        </w:numPr>
        <w:rPr>
          <w:rFonts w:eastAsia="Aptos" w:cs="Arial"/>
          <w:color w:val="000000" w:themeColor="text1"/>
          <w:szCs w:val="21"/>
        </w:rPr>
      </w:pPr>
      <w:r>
        <w:rPr>
          <w:rFonts w:eastAsia="Aptos" w:cs="Arial"/>
          <w:color w:val="000000" w:themeColor="text1"/>
          <w:szCs w:val="21"/>
        </w:rPr>
        <w:t xml:space="preserve">&gt;145hrs since first exposure – ineligible for PEP </w:t>
      </w:r>
    </w:p>
    <w:p w14:paraId="2AB8661E" w14:textId="3E137246" w:rsidR="009B4D7C" w:rsidRPr="009B4D7C" w:rsidRDefault="009B4D7C" w:rsidP="00A071C3">
      <w:pPr>
        <w:rPr>
          <w:rFonts w:eastAsia="Aptos" w:cs="Arial"/>
          <w:color w:val="000000" w:themeColor="text1"/>
          <w:szCs w:val="21"/>
        </w:rPr>
      </w:pPr>
      <w:r>
        <w:t xml:space="preserve">Refer to </w:t>
      </w:r>
      <w:hyperlink w:anchor="_Table_1:_Post" w:history="1">
        <w:r w:rsidRPr="009B4D7C">
          <w:rPr>
            <w:rStyle w:val="Hyperlink"/>
          </w:rPr>
          <w:t>Table 1</w:t>
        </w:r>
      </w:hyperlink>
      <w:r>
        <w:t xml:space="preserve"> and </w:t>
      </w:r>
      <w:hyperlink w:anchor="_Table_2:_Post" w:history="1">
        <w:r w:rsidRPr="009B4D7C">
          <w:rPr>
            <w:rStyle w:val="Hyperlink"/>
          </w:rPr>
          <w:t>Table 2</w:t>
        </w:r>
      </w:hyperlink>
      <w:r>
        <w:t xml:space="preserve"> at the end of the document for detailed eligibility criteria. </w:t>
      </w:r>
    </w:p>
    <w:p w14:paraId="2468A2B2" w14:textId="77777777" w:rsidR="001C3F33" w:rsidRPr="009311A2" w:rsidRDefault="001C3F33" w:rsidP="001C3F33">
      <w:pPr>
        <w:pStyle w:val="Heading3"/>
      </w:pPr>
      <w:r>
        <w:t xml:space="preserve">Notes on </w:t>
      </w:r>
      <w:r w:rsidRPr="009311A2">
        <w:t>MMR vaccine</w:t>
      </w:r>
    </w:p>
    <w:p w14:paraId="5D365E07" w14:textId="77777777" w:rsidR="001C3F33" w:rsidRDefault="001C3F33" w:rsidP="001C3F33">
      <w:pPr>
        <w:pStyle w:val="Body"/>
        <w:numPr>
          <w:ilvl w:val="0"/>
          <w:numId w:val="18"/>
        </w:numPr>
      </w:pPr>
      <w:r>
        <w:t>C</w:t>
      </w:r>
      <w:r w:rsidRPr="00A751D6">
        <w:t xml:space="preserve">ontraindicated in </w:t>
      </w:r>
      <w:r>
        <w:t>infants</w:t>
      </w:r>
      <w:r w:rsidRPr="00A751D6">
        <w:t xml:space="preserve"> under </w:t>
      </w:r>
      <w:r>
        <w:t>6</w:t>
      </w:r>
      <w:r w:rsidRPr="00A751D6">
        <w:t xml:space="preserve"> months old, pregnant</w:t>
      </w:r>
      <w:r>
        <w:t xml:space="preserve"> women</w:t>
      </w:r>
      <w:r w:rsidRPr="00A751D6">
        <w:t xml:space="preserve">, immunocompromised </w:t>
      </w:r>
      <w:r>
        <w:t xml:space="preserve">individuals and those with </w:t>
      </w:r>
      <w:r w:rsidRPr="00A751D6">
        <w:t>known allergy.</w:t>
      </w:r>
    </w:p>
    <w:p w14:paraId="09C22ACE" w14:textId="77777777" w:rsidR="001C3F33" w:rsidRDefault="001C3F33" w:rsidP="001C3F33">
      <w:pPr>
        <w:pStyle w:val="Body"/>
        <w:numPr>
          <w:ilvl w:val="0"/>
          <w:numId w:val="18"/>
        </w:numPr>
      </w:pPr>
      <w:r w:rsidRPr="00A751D6">
        <w:t xml:space="preserve">Additional doses are safe if </w:t>
      </w:r>
      <w:r>
        <w:t xml:space="preserve">individuals are unsure of prior immunity. </w:t>
      </w:r>
      <w:r w:rsidRPr="00A751D6">
        <w:t xml:space="preserve"> </w:t>
      </w:r>
    </w:p>
    <w:p w14:paraId="78F0E8C4" w14:textId="77777777" w:rsidR="001C3F33" w:rsidRPr="00A751D6" w:rsidRDefault="001C3F33" w:rsidP="001C3F33">
      <w:pPr>
        <w:pStyle w:val="Body"/>
        <w:numPr>
          <w:ilvl w:val="0"/>
          <w:numId w:val="18"/>
        </w:numPr>
      </w:pPr>
      <w:r>
        <w:t>V</w:t>
      </w:r>
      <w:r w:rsidRPr="00A751D6">
        <w:t>accine administered after 72 hours</w:t>
      </w:r>
      <w:r>
        <w:t xml:space="preserve"> is unlikely to prevent</w:t>
      </w:r>
      <w:r w:rsidRPr="00A751D6">
        <w:t xml:space="preserve"> infection from this </w:t>
      </w:r>
      <w:r w:rsidRPr="00701ACA">
        <w:t>exposure but</w:t>
      </w:r>
      <w:r w:rsidRPr="00A751D6">
        <w:t xml:space="preserve"> </w:t>
      </w:r>
      <w:r>
        <w:t>will protect against</w:t>
      </w:r>
      <w:r w:rsidRPr="00A751D6">
        <w:t xml:space="preserve"> future infection.</w:t>
      </w:r>
    </w:p>
    <w:p w14:paraId="4D1E8F6E" w14:textId="77777777" w:rsidR="001C3F33" w:rsidRPr="009311A2" w:rsidRDefault="001C3F33" w:rsidP="001C3F33">
      <w:pPr>
        <w:pStyle w:val="Heading3"/>
      </w:pPr>
      <w:r>
        <w:t xml:space="preserve">Notes on </w:t>
      </w:r>
      <w:r w:rsidRPr="009311A2">
        <w:t>Normal Human Immunoglobulin (NHIg)</w:t>
      </w:r>
    </w:p>
    <w:p w14:paraId="28713BEA" w14:textId="77777777" w:rsidR="001C3F33" w:rsidRDefault="001C3F33" w:rsidP="001C3F33">
      <w:pPr>
        <w:pStyle w:val="Body"/>
        <w:numPr>
          <w:ilvl w:val="0"/>
          <w:numId w:val="19"/>
        </w:numPr>
      </w:pPr>
      <w:r>
        <w:t>NHIg i</w:t>
      </w:r>
      <w:r w:rsidRPr="312C3AE8">
        <w:t xml:space="preserve">s a fractionated blood product made from pooled human plasma from donors, with high concentrations of </w:t>
      </w:r>
      <w:r w:rsidRPr="00621064">
        <w:t>hepatitis A, measles, mumps, varicella</w:t>
      </w:r>
      <w:r>
        <w:t xml:space="preserve"> and </w:t>
      </w:r>
      <w:r w:rsidRPr="00621064">
        <w:t xml:space="preserve">polio </w:t>
      </w:r>
      <w:r>
        <w:t>antibodies. If given shortly after exposure it can prevent infection or reduce disease severity, but does not provide long-term protection, and is therefore not a substitute for immunisation</w:t>
      </w:r>
      <w:r w:rsidRPr="312C3AE8">
        <w:t xml:space="preserve">. </w:t>
      </w:r>
    </w:p>
    <w:p w14:paraId="1B144864" w14:textId="77777777" w:rsidR="001C3F33" w:rsidRDefault="001C3F33" w:rsidP="001C3F33">
      <w:pPr>
        <w:pStyle w:val="Body"/>
        <w:numPr>
          <w:ilvl w:val="0"/>
          <w:numId w:val="19"/>
        </w:numPr>
      </w:pPr>
      <w:r>
        <w:t>NHIg should be</w:t>
      </w:r>
      <w:r w:rsidRPr="312C3AE8">
        <w:t xml:space="preserve"> administered by intramuscular injection within 144 hours of first exposure and is </w:t>
      </w:r>
      <w:r w:rsidRPr="00EB3ECD">
        <w:rPr>
          <w:u w:val="single"/>
        </w:rPr>
        <w:t>reserved for susceptible high-risk contacts</w:t>
      </w:r>
      <w:r w:rsidRPr="312C3AE8">
        <w:t xml:space="preserve"> who are not eligible for MMR. This includes: </w:t>
      </w:r>
    </w:p>
    <w:p w14:paraId="7429E9A2" w14:textId="77777777" w:rsidR="001C3F33" w:rsidRDefault="001C3F33" w:rsidP="001C3F33">
      <w:pPr>
        <w:pStyle w:val="Body"/>
        <w:numPr>
          <w:ilvl w:val="0"/>
          <w:numId w:val="20"/>
        </w:numPr>
      </w:pPr>
      <w:r>
        <w:t>children under 6 months of age</w:t>
      </w:r>
    </w:p>
    <w:p w14:paraId="06F4ECBB" w14:textId="77777777" w:rsidR="001C3F33" w:rsidRPr="00A751D6" w:rsidRDefault="001C3F33" w:rsidP="001C3F33">
      <w:pPr>
        <w:pStyle w:val="Body"/>
        <w:numPr>
          <w:ilvl w:val="0"/>
          <w:numId w:val="20"/>
        </w:numPr>
      </w:pPr>
      <w:r w:rsidRPr="00A751D6">
        <w:t>pregnant women</w:t>
      </w:r>
    </w:p>
    <w:p w14:paraId="7D2A8597" w14:textId="77777777" w:rsidR="001C3F33" w:rsidRDefault="001C3F33" w:rsidP="001C3F33">
      <w:pPr>
        <w:pStyle w:val="Body"/>
        <w:numPr>
          <w:ilvl w:val="0"/>
          <w:numId w:val="20"/>
        </w:numPr>
      </w:pPr>
      <w:r w:rsidRPr="00A751D6">
        <w:t>people with immunocompromise</w:t>
      </w:r>
    </w:p>
    <w:p w14:paraId="6353F2E1" w14:textId="2BADD59C" w:rsidR="001C3F33" w:rsidRDefault="001C3F33" w:rsidP="001C3F33">
      <w:pPr>
        <w:pStyle w:val="Body"/>
        <w:numPr>
          <w:ilvl w:val="0"/>
          <w:numId w:val="20"/>
        </w:numPr>
      </w:pPr>
      <w:r w:rsidRPr="00A751D6">
        <w:t xml:space="preserve">close personal contacts or </w:t>
      </w:r>
      <w:r w:rsidRPr="00A751D6">
        <w:rPr>
          <w:b/>
          <w:bCs/>
        </w:rPr>
        <w:t xml:space="preserve">healthcare workers </w:t>
      </w:r>
      <w:r w:rsidRPr="00A751D6">
        <w:t>(who are</w:t>
      </w:r>
      <w:r>
        <w:t xml:space="preserve"> o</w:t>
      </w:r>
      <w:r w:rsidRPr="00A751D6">
        <w:t xml:space="preserve">ut of time to receive a measles vaccine and </w:t>
      </w:r>
      <w:r w:rsidRPr="00A751D6">
        <w:rPr>
          <w:b/>
          <w:bCs/>
        </w:rPr>
        <w:t>where exclusion may significantly disrupt services</w:t>
      </w:r>
      <w:r w:rsidRPr="00A751D6">
        <w:t>.)</w:t>
      </w:r>
    </w:p>
    <w:p w14:paraId="6E72488F" w14:textId="77777777" w:rsidR="001A3B2A" w:rsidRPr="00E613A7" w:rsidRDefault="001A3B2A" w:rsidP="008D1722"/>
    <w:p w14:paraId="7203A413" w14:textId="57A2113D" w:rsidR="007976B6" w:rsidRPr="00571C2C" w:rsidRDefault="00747AC6" w:rsidP="007976B6">
      <w:pPr>
        <w:pStyle w:val="Heading2"/>
        <w:rPr>
          <w:rFonts w:ascii="Arial" w:hAnsi="Arial" w:cs="Arial"/>
          <w:b/>
          <w:bCs/>
        </w:rPr>
      </w:pPr>
      <w:r w:rsidRPr="00571C2C">
        <w:rPr>
          <w:rFonts w:ascii="Arial" w:hAnsi="Arial" w:cs="Arial"/>
          <w:b/>
          <w:bCs/>
        </w:rPr>
        <w:t>S</w:t>
      </w:r>
      <w:r w:rsidR="007976B6" w:rsidRPr="00571C2C">
        <w:rPr>
          <w:rFonts w:ascii="Arial" w:hAnsi="Arial" w:cs="Arial"/>
          <w:b/>
          <w:bCs/>
        </w:rPr>
        <w:t xml:space="preserve">tep </w:t>
      </w:r>
      <w:r w:rsidR="00135F2A">
        <w:rPr>
          <w:rFonts w:ascii="Arial" w:hAnsi="Arial" w:cs="Arial"/>
          <w:b/>
          <w:bCs/>
        </w:rPr>
        <w:t>6</w:t>
      </w:r>
      <w:r w:rsidR="007976B6" w:rsidRPr="00571C2C">
        <w:rPr>
          <w:rFonts w:ascii="Arial" w:hAnsi="Arial" w:cs="Arial"/>
          <w:b/>
          <w:bCs/>
        </w:rPr>
        <w:t>: Order post-exposure prophylaxis (PEP)</w:t>
      </w:r>
    </w:p>
    <w:p w14:paraId="0F503F1E" w14:textId="77777777" w:rsidR="00A615AF" w:rsidRPr="009311A2" w:rsidRDefault="00A615AF" w:rsidP="00A615AF">
      <w:pPr>
        <w:pStyle w:val="Heading3"/>
        <w:rPr>
          <w:bCs/>
        </w:rPr>
      </w:pPr>
      <w:r w:rsidRPr="009311A2">
        <w:rPr>
          <w:bCs/>
        </w:rPr>
        <w:t xml:space="preserve">MMR vaccine </w:t>
      </w:r>
    </w:p>
    <w:p w14:paraId="149208DD" w14:textId="28DBF3BB" w:rsidR="00A615AF" w:rsidRDefault="00A615AF" w:rsidP="00A615AF">
      <w:pPr>
        <w:pStyle w:val="Body"/>
      </w:pPr>
      <w:r w:rsidRPr="006002E7">
        <w:t xml:space="preserve">Your </w:t>
      </w:r>
      <w:r w:rsidR="004C2A7A">
        <w:t>health service</w:t>
      </w:r>
      <w:r w:rsidR="004C2A7A" w:rsidRPr="006002E7">
        <w:t xml:space="preserve"> </w:t>
      </w:r>
      <w:r w:rsidRPr="006002E7">
        <w:t>may have enough MMR vaccine</w:t>
      </w:r>
      <w:r>
        <w:t xml:space="preserve"> stock to commence PEP provision. Additional MMR vaccines and replacement stock can be ordered via OneLink.  </w:t>
      </w:r>
    </w:p>
    <w:p w14:paraId="416ACB25" w14:textId="77777777" w:rsidR="00A615AF" w:rsidRPr="006002E7" w:rsidRDefault="00A615AF" w:rsidP="00A615AF">
      <w:pPr>
        <w:pStyle w:val="Body"/>
        <w:numPr>
          <w:ilvl w:val="0"/>
          <w:numId w:val="19"/>
        </w:numPr>
      </w:pPr>
      <w:r>
        <w:t xml:space="preserve">Contact your LPHU to expediate access in order meet short PEP windows if required. </w:t>
      </w:r>
    </w:p>
    <w:p w14:paraId="39002182" w14:textId="77777777" w:rsidR="00A615AF" w:rsidRPr="009311A2" w:rsidRDefault="00A615AF" w:rsidP="00A615AF">
      <w:pPr>
        <w:pStyle w:val="Heading3"/>
        <w:rPr>
          <w:bCs/>
        </w:rPr>
      </w:pPr>
      <w:r w:rsidRPr="009311A2">
        <w:rPr>
          <w:bCs/>
        </w:rPr>
        <w:lastRenderedPageBreak/>
        <w:t>NHIg</w:t>
      </w:r>
    </w:p>
    <w:p w14:paraId="5512549D" w14:textId="62AF8320" w:rsidR="00A615AF" w:rsidRDefault="00A615AF" w:rsidP="00A615AF">
      <w:pPr>
        <w:pStyle w:val="Body"/>
        <w:numPr>
          <w:ilvl w:val="0"/>
          <w:numId w:val="8"/>
        </w:numPr>
      </w:pPr>
      <w:r w:rsidRPr="006002E7">
        <w:t>NHI</w:t>
      </w:r>
      <w:r>
        <w:t>g</w:t>
      </w:r>
      <w:r w:rsidRPr="006002E7">
        <w:t xml:space="preserve"> is administered as a weight calculated dos</w:t>
      </w:r>
      <w:r>
        <w:t xml:space="preserve">e. You will need to know the weight and immunocompetent status of contacts in order to calculate their dose and order the appropriate number of vials. See </w:t>
      </w:r>
      <w:hyperlink w:anchor="_Table_2:_Post" w:history="1">
        <w:r w:rsidRPr="00A615AF">
          <w:rPr>
            <w:rStyle w:val="Hyperlink"/>
          </w:rPr>
          <w:t>table 2</w:t>
        </w:r>
      </w:hyperlink>
      <w:r>
        <w:t xml:space="preserve"> for weight dosages. </w:t>
      </w:r>
    </w:p>
    <w:p w14:paraId="3B44E373" w14:textId="77777777" w:rsidR="00A615AF" w:rsidRDefault="00A615AF" w:rsidP="00A615AF">
      <w:pPr>
        <w:pStyle w:val="Body"/>
        <w:numPr>
          <w:ilvl w:val="0"/>
          <w:numId w:val="8"/>
        </w:numPr>
      </w:pPr>
      <w:r>
        <w:t xml:space="preserve">NHIg is </w:t>
      </w:r>
      <w:r w:rsidRPr="006002E7">
        <w:t>available in 2m</w:t>
      </w:r>
      <w:r>
        <w:t>L</w:t>
      </w:r>
      <w:r w:rsidRPr="006002E7">
        <w:t xml:space="preserve"> and 5m</w:t>
      </w:r>
      <w:r>
        <w:t>L</w:t>
      </w:r>
      <w:r w:rsidRPr="006002E7">
        <w:t xml:space="preserve"> vials</w:t>
      </w:r>
      <w:r>
        <w:t>. If more than one patient requires NHIg, order enough vials for each patient individually. Do not share vials between patients.</w:t>
      </w:r>
    </w:p>
    <w:p w14:paraId="7B163973" w14:textId="2F0BBB0F" w:rsidR="00CB326C" w:rsidRPr="00CB326C" w:rsidRDefault="00A615AF" w:rsidP="007976B6">
      <w:pPr>
        <w:pStyle w:val="Body"/>
        <w:numPr>
          <w:ilvl w:val="0"/>
          <w:numId w:val="8"/>
        </w:numPr>
      </w:pPr>
      <w:r>
        <w:t>Order via the Australian Red Cross Blood Bank (s</w:t>
      </w:r>
      <w:r w:rsidR="00152F86">
        <w:t>upplied by your LPHU</w:t>
      </w:r>
      <w:r>
        <w:t xml:space="preserve">). Follow the instructions on the </w:t>
      </w:r>
      <w:r w:rsidR="005B7230">
        <w:t>form and</w:t>
      </w:r>
      <w:r>
        <w:t xml:space="preserve"> follow up with a phone call to ensure urgent delivery. There is no cost to your health service or your patient. </w:t>
      </w:r>
    </w:p>
    <w:p w14:paraId="0B5B6C05" w14:textId="77777777" w:rsidR="004E25CE" w:rsidRDefault="004E25CE" w:rsidP="004E25CE">
      <w:pPr>
        <w:pStyle w:val="Heading2"/>
        <w:rPr>
          <w:rFonts w:ascii="Arial" w:hAnsi="Arial" w:cs="Arial"/>
          <w:b/>
          <w:bCs/>
        </w:rPr>
      </w:pPr>
    </w:p>
    <w:p w14:paraId="2FD6932C" w14:textId="2E121A47" w:rsidR="007976B6" w:rsidRPr="004E25CE" w:rsidRDefault="007976B6" w:rsidP="004E25CE">
      <w:pPr>
        <w:pStyle w:val="Heading2"/>
        <w:rPr>
          <w:rFonts w:ascii="Arial" w:hAnsi="Arial" w:cs="Arial"/>
          <w:b/>
          <w:bCs/>
          <w:color w:val="auto"/>
        </w:rPr>
      </w:pPr>
      <w:r w:rsidRPr="004E25CE">
        <w:rPr>
          <w:rFonts w:ascii="Arial" w:hAnsi="Arial" w:cs="Arial"/>
          <w:b/>
          <w:bCs/>
        </w:rPr>
        <w:t xml:space="preserve">Step </w:t>
      </w:r>
      <w:r w:rsidR="00135F2A">
        <w:rPr>
          <w:rFonts w:ascii="Arial" w:hAnsi="Arial" w:cs="Arial"/>
          <w:b/>
          <w:bCs/>
        </w:rPr>
        <w:t>7</w:t>
      </w:r>
      <w:r w:rsidRPr="004E25CE">
        <w:rPr>
          <w:rFonts w:ascii="Arial" w:hAnsi="Arial" w:cs="Arial"/>
          <w:b/>
          <w:bCs/>
        </w:rPr>
        <w:t xml:space="preserve">: </w:t>
      </w:r>
      <w:r w:rsidR="00B965C6" w:rsidRPr="004E25CE">
        <w:rPr>
          <w:rFonts w:ascii="Arial" w:hAnsi="Arial" w:cs="Arial"/>
          <w:b/>
          <w:bCs/>
        </w:rPr>
        <w:t xml:space="preserve">Administer </w:t>
      </w:r>
      <w:r w:rsidRPr="004E25CE">
        <w:rPr>
          <w:rFonts w:ascii="Arial" w:hAnsi="Arial" w:cs="Arial"/>
          <w:b/>
          <w:bCs/>
        </w:rPr>
        <w:t>PEP and</w:t>
      </w:r>
      <w:r w:rsidR="00B965C6" w:rsidRPr="004E25CE">
        <w:rPr>
          <w:rFonts w:ascii="Arial" w:hAnsi="Arial" w:cs="Arial"/>
          <w:b/>
          <w:bCs/>
        </w:rPr>
        <w:t xml:space="preserve"> provide</w:t>
      </w:r>
      <w:r w:rsidRPr="004E25CE">
        <w:rPr>
          <w:rFonts w:ascii="Arial" w:hAnsi="Arial" w:cs="Arial"/>
          <w:b/>
          <w:bCs/>
        </w:rPr>
        <w:t xml:space="preserve"> information</w:t>
      </w:r>
    </w:p>
    <w:p w14:paraId="4A804DD1" w14:textId="77777777" w:rsidR="00C8356A" w:rsidRDefault="00C8356A" w:rsidP="00C8356A">
      <w:pPr>
        <w:pStyle w:val="Body"/>
      </w:pPr>
      <w:r>
        <w:t>Schedule</w:t>
      </w:r>
      <w:r w:rsidRPr="006002E7">
        <w:t xml:space="preserve"> appointments for each susceptible contact</w:t>
      </w:r>
      <w:r>
        <w:t xml:space="preserve"> to receive their PEP, ensuring the appointment falls within the appropriate PEP window</w:t>
      </w:r>
      <w:r w:rsidRPr="006002E7">
        <w:t>.</w:t>
      </w:r>
    </w:p>
    <w:p w14:paraId="37361F98" w14:textId="77777777" w:rsidR="00C8356A" w:rsidRDefault="00C8356A" w:rsidP="00C8356A">
      <w:pPr>
        <w:pStyle w:val="Body"/>
      </w:pPr>
      <w:r w:rsidRPr="006002E7">
        <w:t>Please highlight the need</w:t>
      </w:r>
      <w:r>
        <w:t xml:space="preserve"> for </w:t>
      </w:r>
      <w:r w:rsidRPr="00A751D6">
        <w:rPr>
          <w:b/>
          <w:bCs/>
        </w:rPr>
        <w:t>any contact</w:t>
      </w:r>
      <w:r>
        <w:t xml:space="preserve"> (regardless of whether PEP was received)</w:t>
      </w:r>
      <w:r w:rsidRPr="006002E7">
        <w:t xml:space="preserve"> </w:t>
      </w:r>
      <w:r>
        <w:t>to isolate and contact their LPHU</w:t>
      </w:r>
      <w:r w:rsidRPr="006002E7">
        <w:t xml:space="preserve"> if symptoms </w:t>
      </w:r>
      <w:r>
        <w:t>consistent with</w:t>
      </w:r>
      <w:r w:rsidRPr="006002E7">
        <w:t xml:space="preserve"> measles develop. </w:t>
      </w:r>
    </w:p>
    <w:p w14:paraId="3266EDCD" w14:textId="77777777" w:rsidR="00C8356A" w:rsidRPr="006002E7" w:rsidRDefault="00C8356A" w:rsidP="00C8356A">
      <w:pPr>
        <w:pStyle w:val="Body"/>
      </w:pPr>
    </w:p>
    <w:p w14:paraId="31BD944F" w14:textId="77777777" w:rsidR="00C8356A" w:rsidRPr="006002E7" w:rsidRDefault="00C8356A" w:rsidP="00C8356A">
      <w:pPr>
        <w:pStyle w:val="Heading3"/>
        <w:rPr>
          <w:bCs/>
        </w:rPr>
      </w:pPr>
      <w:r w:rsidRPr="009311A2">
        <w:rPr>
          <w:bCs/>
        </w:rPr>
        <w:t xml:space="preserve">Contacts </w:t>
      </w:r>
      <w:r w:rsidRPr="009311A2">
        <w:t xml:space="preserve">receiving MMR </w:t>
      </w:r>
      <w:r>
        <w:t xml:space="preserve">vaccine </w:t>
      </w:r>
    </w:p>
    <w:p w14:paraId="50EF7570" w14:textId="68288038" w:rsidR="00C8356A" w:rsidRPr="006002E7" w:rsidRDefault="00C8356A" w:rsidP="00E21008">
      <w:pPr>
        <w:pStyle w:val="Body"/>
        <w:numPr>
          <w:ilvl w:val="0"/>
          <w:numId w:val="8"/>
        </w:numPr>
      </w:pPr>
      <w:r>
        <w:t xml:space="preserve">Provide </w:t>
      </w:r>
      <w:r w:rsidRPr="00A751D6">
        <w:t>MMR immunisation information</w:t>
      </w:r>
      <w:r>
        <w:t xml:space="preserve"> and</w:t>
      </w:r>
      <w:r w:rsidRPr="006002E7">
        <w:t xml:space="preserve"> </w:t>
      </w:r>
      <w:hyperlink r:id="rId24" w:history="1">
        <w:r w:rsidRPr="0069510A">
          <w:rPr>
            <w:rStyle w:val="Hyperlink"/>
          </w:rPr>
          <w:t>Measles contact information</w:t>
        </w:r>
      </w:hyperlink>
      <w:r w:rsidRPr="006002E7">
        <w:t xml:space="preserve"> sheet</w:t>
      </w:r>
      <w:r>
        <w:t>s</w:t>
      </w:r>
      <w:r w:rsidR="00933E79">
        <w:t xml:space="preserve"> (supplied by your LPHU)</w:t>
      </w:r>
      <w:r>
        <w:t>.</w:t>
      </w:r>
    </w:p>
    <w:p w14:paraId="0D792242" w14:textId="77777777" w:rsidR="00C8356A" w:rsidRDefault="00C8356A" w:rsidP="00E21008">
      <w:pPr>
        <w:pStyle w:val="Body"/>
        <w:numPr>
          <w:ilvl w:val="0"/>
          <w:numId w:val="8"/>
        </w:numPr>
      </w:pPr>
      <w:r>
        <w:t xml:space="preserve">Ensure vaccination is recorded on AIR. </w:t>
      </w:r>
    </w:p>
    <w:p w14:paraId="7B23E5E9" w14:textId="77777777" w:rsidR="00C8356A" w:rsidRDefault="00C8356A" w:rsidP="00C8356A">
      <w:pPr>
        <w:pStyle w:val="Bullet1"/>
        <w:numPr>
          <w:ilvl w:val="0"/>
          <w:numId w:val="0"/>
        </w:numPr>
        <w:ind w:left="284"/>
      </w:pPr>
    </w:p>
    <w:p w14:paraId="2B3814BB" w14:textId="77777777" w:rsidR="00C8356A" w:rsidRPr="006002E7" w:rsidRDefault="00C8356A" w:rsidP="00C8356A">
      <w:pPr>
        <w:pStyle w:val="Heading3"/>
        <w:rPr>
          <w:bCs/>
        </w:rPr>
      </w:pPr>
      <w:r w:rsidRPr="009311A2">
        <w:rPr>
          <w:bCs/>
        </w:rPr>
        <w:t xml:space="preserve">Contacts </w:t>
      </w:r>
      <w:r w:rsidRPr="009311A2">
        <w:t>receiving NHIg</w:t>
      </w:r>
      <w:r>
        <w:t>*</w:t>
      </w:r>
      <w:r w:rsidRPr="009311A2">
        <w:t xml:space="preserve"> </w:t>
      </w:r>
    </w:p>
    <w:p w14:paraId="218011CB" w14:textId="77777777" w:rsidR="00C8356A" w:rsidRPr="006002E7" w:rsidRDefault="00C8356A" w:rsidP="00FD1F22">
      <w:pPr>
        <w:pStyle w:val="Body"/>
        <w:numPr>
          <w:ilvl w:val="0"/>
          <w:numId w:val="8"/>
        </w:numPr>
      </w:pPr>
      <w:r>
        <w:t>NHIg is a human blood product. Obtain and document informed consent from the patient or their guardian prior to administration.</w:t>
      </w:r>
    </w:p>
    <w:p w14:paraId="493753A4" w14:textId="3B63FC6B" w:rsidR="00C8356A" w:rsidRDefault="00C8356A" w:rsidP="00FD1F22">
      <w:pPr>
        <w:pStyle w:val="Body"/>
        <w:numPr>
          <w:ilvl w:val="0"/>
          <w:numId w:val="8"/>
        </w:numPr>
      </w:pPr>
      <w:r>
        <w:t xml:space="preserve">Provide </w:t>
      </w:r>
      <w:r w:rsidRPr="00A751D6">
        <w:t xml:space="preserve">NHIg information </w:t>
      </w:r>
      <w:r w:rsidRPr="006002E7">
        <w:t xml:space="preserve">and </w:t>
      </w:r>
      <w:hyperlink r:id="rId25" w:history="1">
        <w:r w:rsidRPr="0069510A">
          <w:rPr>
            <w:rStyle w:val="Hyperlink"/>
          </w:rPr>
          <w:t>Measles contact information</w:t>
        </w:r>
      </w:hyperlink>
      <w:r w:rsidRPr="006002E7">
        <w:t xml:space="preserve"> sheet</w:t>
      </w:r>
      <w:r>
        <w:t>s</w:t>
      </w:r>
      <w:r w:rsidR="00933E79">
        <w:t xml:space="preserve"> (supplied by your LPHU)</w:t>
      </w:r>
      <w:r>
        <w:t>.</w:t>
      </w:r>
    </w:p>
    <w:p w14:paraId="6A908B93" w14:textId="0FEABFD3" w:rsidR="00C8356A" w:rsidRDefault="5669C481" w:rsidP="00FD1F22">
      <w:pPr>
        <w:pStyle w:val="Body"/>
        <w:numPr>
          <w:ilvl w:val="0"/>
          <w:numId w:val="8"/>
        </w:numPr>
      </w:pPr>
      <w:r>
        <w:t>Advise contacts / parents of infant contacts of the impact NHIg administration may have on timing of subsequent live vaccines.</w:t>
      </w:r>
      <w:r w:rsidR="0081463C">
        <w:t xml:space="preserve"> T</w:t>
      </w:r>
      <w:r w:rsidR="00596CE7">
        <w:t>hey should contact their GP clinic for further</w:t>
      </w:r>
      <w:r w:rsidR="008D6864">
        <w:t xml:space="preserve"> advice as required.</w:t>
      </w:r>
    </w:p>
    <w:p w14:paraId="49DDAC3C" w14:textId="232CC219" w:rsidR="00C8356A" w:rsidRDefault="00C8356A" w:rsidP="00FD1F22">
      <w:pPr>
        <w:pStyle w:val="Body"/>
        <w:numPr>
          <w:ilvl w:val="0"/>
          <w:numId w:val="8"/>
        </w:numPr>
      </w:pPr>
      <w:r>
        <w:t xml:space="preserve">Advise recipients they still may develop measles </w:t>
      </w:r>
      <w:r w:rsidR="0059238A">
        <w:t>infection;</w:t>
      </w:r>
      <w:r>
        <w:t xml:space="preserve"> however, signs and symptoms may be </w:t>
      </w:r>
      <w:r w:rsidR="000C4567">
        <w:t>atypical,</w:t>
      </w:r>
      <w:r>
        <w:t xml:space="preserve"> and the incubation period may be longer than the usual 7 to 18 days.  </w:t>
      </w:r>
    </w:p>
    <w:p w14:paraId="358A03B2" w14:textId="69CD80F9" w:rsidR="007976B6" w:rsidRDefault="00C8356A" w:rsidP="00FD1F22">
      <w:pPr>
        <w:pStyle w:val="Body"/>
        <w:numPr>
          <w:ilvl w:val="0"/>
          <w:numId w:val="8"/>
        </w:numPr>
      </w:pPr>
      <w:r>
        <w:t xml:space="preserve">Note that NHIg does not provide long-term protection from measles and routine childhood immunisation or </w:t>
      </w:r>
      <w:r w:rsidR="0019234B">
        <w:t>catch-up</w:t>
      </w:r>
      <w:r>
        <w:t xml:space="preserve"> vaccination will still be required (where appropriate).</w:t>
      </w:r>
    </w:p>
    <w:p w14:paraId="52F108A4" w14:textId="77777777" w:rsidR="008D5DA3" w:rsidRDefault="008D5DA3" w:rsidP="008D5DA3">
      <w:pPr>
        <w:rPr>
          <w:i/>
          <w:iCs/>
        </w:rPr>
      </w:pPr>
    </w:p>
    <w:p w14:paraId="79B4F507" w14:textId="19CAADAF" w:rsidR="008D5DA3" w:rsidRPr="0069510A" w:rsidRDefault="00F30A22" w:rsidP="008D5DA3">
      <w:pPr>
        <w:rPr>
          <w:rFonts w:eastAsia="Aptos" w:cs="Arial"/>
          <w:color w:val="000000" w:themeColor="text1"/>
          <w:szCs w:val="21"/>
        </w:rPr>
      </w:pPr>
      <w:r>
        <w:rPr>
          <w:i/>
          <w:iCs/>
        </w:rPr>
        <w:t>*</w:t>
      </w:r>
      <w:r w:rsidR="00AC2BE2" w:rsidRPr="007C1F86">
        <w:rPr>
          <w:i/>
          <w:iCs/>
        </w:rPr>
        <w:t>There is no specific accreditation or requirement regarding which clinicians can administer NHIg</w:t>
      </w:r>
      <w:r w:rsidR="00481B70" w:rsidRPr="007C1F86">
        <w:rPr>
          <w:i/>
          <w:iCs/>
        </w:rPr>
        <w:t xml:space="preserve">. As a general </w:t>
      </w:r>
      <w:r w:rsidR="00FD637F">
        <w:rPr>
          <w:i/>
          <w:iCs/>
        </w:rPr>
        <w:t>principle</w:t>
      </w:r>
      <w:r w:rsidR="00481B70" w:rsidRPr="007C1F86">
        <w:rPr>
          <w:i/>
          <w:iCs/>
        </w:rPr>
        <w:t xml:space="preserve">, any </w:t>
      </w:r>
      <w:r w:rsidR="00F55BB3" w:rsidRPr="007C1F86">
        <w:rPr>
          <w:i/>
          <w:iCs/>
        </w:rPr>
        <w:t>clinician</w:t>
      </w:r>
      <w:r w:rsidR="00481B70" w:rsidRPr="007C1F86">
        <w:rPr>
          <w:i/>
          <w:iCs/>
        </w:rPr>
        <w:t xml:space="preserve"> who administers immunisations can administer </w:t>
      </w:r>
      <w:r w:rsidR="006A409C" w:rsidRPr="007C1F86">
        <w:rPr>
          <w:i/>
          <w:iCs/>
        </w:rPr>
        <w:t>NHIg</w:t>
      </w:r>
      <w:r w:rsidR="00F55BB3" w:rsidRPr="007C1F86">
        <w:rPr>
          <w:i/>
          <w:iCs/>
        </w:rPr>
        <w:t xml:space="preserve">. </w:t>
      </w:r>
      <w:r w:rsidR="005E4AA2">
        <w:rPr>
          <w:i/>
          <w:iCs/>
        </w:rPr>
        <w:t>NHIg is administered intramuscularly</w:t>
      </w:r>
      <w:r w:rsidR="00AC27AF">
        <w:rPr>
          <w:i/>
          <w:iCs/>
        </w:rPr>
        <w:t>, and due to</w:t>
      </w:r>
      <w:r w:rsidR="00D463DF">
        <w:rPr>
          <w:i/>
          <w:iCs/>
        </w:rPr>
        <w:t xml:space="preserve"> dose </w:t>
      </w:r>
      <w:r w:rsidR="007C1F86">
        <w:rPr>
          <w:i/>
          <w:iCs/>
        </w:rPr>
        <w:t>volumes,</w:t>
      </w:r>
      <w:r w:rsidR="00D463DF">
        <w:rPr>
          <w:i/>
          <w:iCs/>
        </w:rPr>
        <w:t xml:space="preserve"> the preferred administration sites are the Vastus Lateralis or Ventrogluteal regions. W</w:t>
      </w:r>
      <w:r w:rsidR="00D76384" w:rsidRPr="007C1F86">
        <w:rPr>
          <w:i/>
          <w:iCs/>
        </w:rPr>
        <w:t>here more than 2-3mls</w:t>
      </w:r>
      <w:r w:rsidR="00026230" w:rsidRPr="007C1F86">
        <w:rPr>
          <w:i/>
          <w:iCs/>
        </w:rPr>
        <w:t xml:space="preserve"> is to be given to children</w:t>
      </w:r>
      <w:r w:rsidR="00D463DF">
        <w:rPr>
          <w:i/>
          <w:iCs/>
        </w:rPr>
        <w:t xml:space="preserve"> or adolescents</w:t>
      </w:r>
      <w:r w:rsidR="00026230" w:rsidRPr="007C1F86">
        <w:rPr>
          <w:i/>
          <w:iCs/>
        </w:rPr>
        <w:t xml:space="preserve">, </w:t>
      </w:r>
      <w:r w:rsidR="005C2DC4" w:rsidRPr="007C1F86">
        <w:rPr>
          <w:i/>
          <w:iCs/>
        </w:rPr>
        <w:t xml:space="preserve">or more than </w:t>
      </w:r>
      <w:r w:rsidR="00D463DF">
        <w:rPr>
          <w:i/>
          <w:iCs/>
        </w:rPr>
        <w:t>3-</w:t>
      </w:r>
      <w:r w:rsidR="005C2DC4" w:rsidRPr="007C1F86">
        <w:rPr>
          <w:i/>
          <w:iCs/>
        </w:rPr>
        <w:t>5mls to adults</w:t>
      </w:r>
      <w:r w:rsidR="00636DFC">
        <w:rPr>
          <w:i/>
          <w:iCs/>
        </w:rPr>
        <w:t xml:space="preserve"> (depending on muscle mass)</w:t>
      </w:r>
      <w:r w:rsidR="005C2DC4" w:rsidRPr="007C1F86">
        <w:rPr>
          <w:i/>
          <w:iCs/>
        </w:rPr>
        <w:t>, consideration should be given to dividing the immunoglobulin and administering at different sites.</w:t>
      </w:r>
      <w:r w:rsidR="00510C8D">
        <w:rPr>
          <w:i/>
          <w:iCs/>
        </w:rPr>
        <w:t xml:space="preserve"> S</w:t>
      </w:r>
      <w:r w:rsidR="005E4AA2">
        <w:rPr>
          <w:i/>
          <w:iCs/>
        </w:rPr>
        <w:t>ee</w:t>
      </w:r>
      <w:r w:rsidR="008D5DA3" w:rsidRPr="0012748D">
        <w:rPr>
          <w:rFonts w:eastAsia="Aptos" w:cs="Arial"/>
          <w:color w:val="000000" w:themeColor="text1"/>
          <w:szCs w:val="21"/>
        </w:rPr>
        <w:t xml:space="preserve"> </w:t>
      </w:r>
      <w:r w:rsidR="008D5DA3" w:rsidRPr="007C1F86">
        <w:rPr>
          <w:rFonts w:eastAsia="Aptos" w:cs="Arial"/>
          <w:i/>
          <w:iCs/>
          <w:color w:val="000000" w:themeColor="text1"/>
          <w:szCs w:val="21"/>
        </w:rPr>
        <w:t xml:space="preserve">the </w:t>
      </w:r>
      <w:hyperlink r:id="rId26" w:anchor="managing-contacts-of-measles-cases">
        <w:r w:rsidR="008D5DA3" w:rsidRPr="0069510A">
          <w:rPr>
            <w:rStyle w:val="Hyperlink"/>
            <w:rFonts w:eastAsia="Aptos" w:cs="Arial"/>
            <w:i/>
            <w:iCs/>
            <w:szCs w:val="21"/>
          </w:rPr>
          <w:t>Australian Immunisation Handbook - Public Health Management of Measles</w:t>
        </w:r>
      </w:hyperlink>
      <w:r w:rsidR="008D5DA3" w:rsidRPr="0069510A">
        <w:rPr>
          <w:rFonts w:eastAsia="Arial" w:cs="Arial"/>
          <w:i/>
          <w:iCs/>
          <w:color w:val="000000" w:themeColor="text1"/>
          <w:szCs w:val="21"/>
        </w:rPr>
        <w:t xml:space="preserve"> </w:t>
      </w:r>
      <w:r w:rsidR="008D5DA3" w:rsidRPr="0069510A">
        <w:rPr>
          <w:rFonts w:eastAsia="Aptos" w:cs="Arial"/>
          <w:i/>
          <w:iCs/>
          <w:color w:val="000000" w:themeColor="text1"/>
          <w:szCs w:val="21"/>
        </w:rPr>
        <w:t>for more information.</w:t>
      </w:r>
    </w:p>
    <w:p w14:paraId="4D277744" w14:textId="2E2919A9" w:rsidR="006A409C" w:rsidRDefault="006A409C">
      <w:pPr>
        <w:pStyle w:val="Bullet1"/>
        <w:numPr>
          <w:ilvl w:val="0"/>
          <w:numId w:val="0"/>
        </w:numPr>
        <w:rPr>
          <w:i/>
        </w:rPr>
      </w:pPr>
    </w:p>
    <w:p w14:paraId="2F93D792" w14:textId="77777777" w:rsidR="00ED5301" w:rsidRPr="009311A2" w:rsidRDefault="00ED5301" w:rsidP="00ED5301">
      <w:pPr>
        <w:pStyle w:val="Heading3"/>
        <w:rPr>
          <w:bCs/>
        </w:rPr>
      </w:pPr>
      <w:r w:rsidRPr="009311A2">
        <w:rPr>
          <w:bCs/>
        </w:rPr>
        <w:t xml:space="preserve">Contacts requiring Information only (exposure </w:t>
      </w:r>
      <w:r>
        <w:rPr>
          <w:bCs/>
        </w:rPr>
        <w:t>&gt;</w:t>
      </w:r>
      <w:r w:rsidRPr="009311A2">
        <w:rPr>
          <w:bCs/>
        </w:rPr>
        <w:t>144 hours ago</w:t>
      </w:r>
      <w:r w:rsidRPr="009311A2">
        <w:t xml:space="preserve">, or </w:t>
      </w:r>
      <w:r>
        <w:t>ineligible</w:t>
      </w:r>
      <w:r w:rsidRPr="009311A2">
        <w:t xml:space="preserve"> for PEP</w:t>
      </w:r>
      <w:r w:rsidRPr="009311A2">
        <w:rPr>
          <w:bCs/>
        </w:rPr>
        <w:t>)</w:t>
      </w:r>
    </w:p>
    <w:p w14:paraId="55C1D80D" w14:textId="286B431B" w:rsidR="00ED5301" w:rsidRPr="006002E7" w:rsidRDefault="00ED5301" w:rsidP="00ED5301">
      <w:pPr>
        <w:pStyle w:val="Body"/>
      </w:pPr>
      <w:r w:rsidRPr="006002E7">
        <w:t xml:space="preserve">Contacts </w:t>
      </w:r>
      <w:r>
        <w:t>who fall outside of the</w:t>
      </w:r>
      <w:r w:rsidRPr="006002E7">
        <w:t xml:space="preserve"> PEP</w:t>
      </w:r>
      <w:r>
        <w:t xml:space="preserve"> window, are ineligible or are considered immune </w:t>
      </w:r>
      <w:r w:rsidRPr="006002E7">
        <w:t>should</w:t>
      </w:r>
      <w:r>
        <w:t xml:space="preserve"> still</w:t>
      </w:r>
      <w:r w:rsidRPr="006002E7">
        <w:t xml:space="preserve"> be </w:t>
      </w:r>
      <w:r>
        <w:t>provided with</w:t>
      </w:r>
      <w:r w:rsidRPr="006002E7">
        <w:t xml:space="preserve"> the </w:t>
      </w:r>
      <w:hyperlink r:id="rId27" w:history="1">
        <w:r w:rsidRPr="00303244">
          <w:rPr>
            <w:rStyle w:val="Hyperlink"/>
            <w:i/>
            <w:iCs/>
          </w:rPr>
          <w:t>Measles contact information</w:t>
        </w:r>
      </w:hyperlink>
      <w:r>
        <w:t xml:space="preserve"> </w:t>
      </w:r>
      <w:r w:rsidRPr="006002E7">
        <w:t>sheet</w:t>
      </w:r>
      <w:r>
        <w:t xml:space="preserve"> and advised to monitor for symptoms. </w:t>
      </w:r>
    </w:p>
    <w:p w14:paraId="0E635ADB" w14:textId="77777777" w:rsidR="00ED5301" w:rsidRPr="002107D1" w:rsidRDefault="00ED5301" w:rsidP="002107D1">
      <w:pPr>
        <w:pStyle w:val="Bullet1"/>
        <w:numPr>
          <w:ilvl w:val="0"/>
          <w:numId w:val="0"/>
        </w:numPr>
        <w:rPr>
          <w:i/>
          <w:iCs/>
        </w:rPr>
      </w:pPr>
    </w:p>
    <w:p w14:paraId="047CEC45" w14:textId="70D84ACA" w:rsidR="007976B6" w:rsidRPr="006002E7" w:rsidRDefault="007976B6" w:rsidP="007976B6">
      <w:pPr>
        <w:pStyle w:val="Body"/>
      </w:pPr>
    </w:p>
    <w:p w14:paraId="4780BB61" w14:textId="69CC9DB2" w:rsidR="007976B6" w:rsidRPr="00A25D68" w:rsidRDefault="007976B6" w:rsidP="007976B6">
      <w:pPr>
        <w:pStyle w:val="Heading2"/>
        <w:rPr>
          <w:rFonts w:ascii="Arial" w:hAnsi="Arial" w:cs="Arial"/>
          <w:b/>
          <w:bCs/>
        </w:rPr>
      </w:pPr>
      <w:r w:rsidRPr="00003F2C">
        <w:rPr>
          <w:rFonts w:ascii="Arial" w:hAnsi="Arial" w:cs="Arial"/>
          <w:b/>
          <w:bCs/>
        </w:rPr>
        <w:t xml:space="preserve">Step </w:t>
      </w:r>
      <w:r w:rsidR="00135F2A">
        <w:rPr>
          <w:rFonts w:ascii="Arial" w:hAnsi="Arial" w:cs="Arial"/>
          <w:b/>
          <w:bCs/>
        </w:rPr>
        <w:t>8</w:t>
      </w:r>
      <w:r w:rsidRPr="00003F2C">
        <w:rPr>
          <w:rFonts w:ascii="Arial" w:hAnsi="Arial" w:cs="Arial"/>
          <w:b/>
          <w:bCs/>
        </w:rPr>
        <w:t>: Inform the LPHU of PEP recipients</w:t>
      </w:r>
    </w:p>
    <w:p w14:paraId="6E6E2296" w14:textId="77777777" w:rsidR="0068652E" w:rsidRDefault="008B2EC3" w:rsidP="007976B6">
      <w:pPr>
        <w:pStyle w:val="Body"/>
      </w:pPr>
      <w:r>
        <w:t xml:space="preserve">Once PEP has been </w:t>
      </w:r>
      <w:r w:rsidR="009B19AA">
        <w:t>offered/</w:t>
      </w:r>
      <w:r>
        <w:t xml:space="preserve">delivered to all </w:t>
      </w:r>
      <w:r w:rsidR="00563932">
        <w:t>el</w:t>
      </w:r>
      <w:r w:rsidR="00F7689F">
        <w:t>igible contacts, provi</w:t>
      </w:r>
      <w:r w:rsidR="0057655D">
        <w:t>de your LPHU with the</w:t>
      </w:r>
      <w:r w:rsidR="0068652E">
        <w:t>:</w:t>
      </w:r>
    </w:p>
    <w:p w14:paraId="6CDF3347" w14:textId="3D959D58" w:rsidR="0068652E" w:rsidRDefault="0068652E" w:rsidP="0068652E">
      <w:pPr>
        <w:pStyle w:val="Body"/>
        <w:numPr>
          <w:ilvl w:val="0"/>
          <w:numId w:val="16"/>
        </w:numPr>
      </w:pPr>
      <w:r>
        <w:t>Total</w:t>
      </w:r>
      <w:r w:rsidR="0057655D">
        <w:t xml:space="preserve"> number of </w:t>
      </w:r>
      <w:r>
        <w:t>contacts</w:t>
      </w:r>
      <w:r w:rsidR="00663523">
        <w:t xml:space="preserve"> identified</w:t>
      </w:r>
    </w:p>
    <w:p w14:paraId="3BA8189A" w14:textId="77777777" w:rsidR="009076FC" w:rsidRDefault="009076FC" w:rsidP="0068652E">
      <w:pPr>
        <w:pStyle w:val="Body"/>
        <w:numPr>
          <w:ilvl w:val="0"/>
          <w:numId w:val="16"/>
        </w:numPr>
      </w:pPr>
      <w:r>
        <w:t>Total number of susceptible contacts</w:t>
      </w:r>
    </w:p>
    <w:p w14:paraId="4E8C88CA" w14:textId="18353332" w:rsidR="009076FC" w:rsidRDefault="009076FC" w:rsidP="0068652E">
      <w:pPr>
        <w:pStyle w:val="Body"/>
        <w:numPr>
          <w:ilvl w:val="0"/>
          <w:numId w:val="16"/>
        </w:numPr>
      </w:pPr>
      <w:r>
        <w:t>Number of</w:t>
      </w:r>
      <w:r w:rsidR="0057655D">
        <w:t xml:space="preserve"> susceptible contacts who </w:t>
      </w:r>
      <w:r w:rsidR="00CA1EC9">
        <w:t>received PEP</w:t>
      </w:r>
      <w:r w:rsidR="00111A5C">
        <w:t xml:space="preserve"> (and the type of PEP provided)</w:t>
      </w:r>
    </w:p>
    <w:p w14:paraId="2BB966C3" w14:textId="4618D52D" w:rsidR="00CA1EC9" w:rsidRDefault="00FB669C" w:rsidP="009076FC">
      <w:pPr>
        <w:pStyle w:val="Body"/>
      </w:pPr>
      <w:r>
        <w:t>Please retain a record</w:t>
      </w:r>
      <w:r w:rsidR="00BA2B02">
        <w:t xml:space="preserve"> </w:t>
      </w:r>
      <w:r w:rsidR="0024445B">
        <w:t xml:space="preserve">of </w:t>
      </w:r>
      <w:r w:rsidR="00BA2B02">
        <w:t xml:space="preserve">your </w:t>
      </w:r>
      <w:r w:rsidR="00E70E06">
        <w:t>log sheet in case</w:t>
      </w:r>
      <w:r w:rsidR="006137E8">
        <w:t xml:space="preserve"> information contain</w:t>
      </w:r>
      <w:r w:rsidR="00E8726E">
        <w:t>ed</w:t>
      </w:r>
      <w:r w:rsidR="006137E8">
        <w:t xml:space="preserve"> within it is later required by </w:t>
      </w:r>
      <w:r w:rsidR="0041233D">
        <w:t>the</w:t>
      </w:r>
      <w:r w:rsidR="006137E8">
        <w:t xml:space="preserve"> LPHU.</w:t>
      </w:r>
    </w:p>
    <w:p w14:paraId="363E6D4D" w14:textId="77777777" w:rsidR="007976B6" w:rsidRDefault="007976B6" w:rsidP="007976B6">
      <w:pPr>
        <w:pStyle w:val="Body"/>
      </w:pPr>
    </w:p>
    <w:p w14:paraId="13F4061B" w14:textId="62218EC7" w:rsidR="007976B6" w:rsidRPr="00B45DE8" w:rsidRDefault="007976B6" w:rsidP="007976B6">
      <w:pPr>
        <w:pStyle w:val="Heading2"/>
        <w:rPr>
          <w:rFonts w:ascii="Arial" w:hAnsi="Arial" w:cs="Arial"/>
          <w:b/>
          <w:bCs/>
        </w:rPr>
      </w:pPr>
      <w:r w:rsidRPr="00B45DE8">
        <w:rPr>
          <w:rFonts w:ascii="Arial" w:hAnsi="Arial" w:cs="Arial"/>
          <w:b/>
          <w:bCs/>
        </w:rPr>
        <w:t xml:space="preserve">Step </w:t>
      </w:r>
      <w:r w:rsidR="00135F2A">
        <w:rPr>
          <w:rFonts w:ascii="Arial" w:hAnsi="Arial" w:cs="Arial"/>
          <w:b/>
          <w:bCs/>
        </w:rPr>
        <w:t>9</w:t>
      </w:r>
      <w:r w:rsidRPr="00C42A2F">
        <w:rPr>
          <w:rFonts w:ascii="Arial" w:hAnsi="Arial" w:cs="Arial"/>
          <w:b/>
          <w:bCs/>
        </w:rPr>
        <w:t xml:space="preserve">: </w:t>
      </w:r>
      <w:r w:rsidR="00884FFF" w:rsidRPr="00B45DE8">
        <w:rPr>
          <w:rFonts w:ascii="Arial" w:hAnsi="Arial" w:cs="Arial"/>
          <w:b/>
          <w:bCs/>
        </w:rPr>
        <w:t xml:space="preserve">Restrictions and exclusions of susceptible staff and patient </w:t>
      </w:r>
      <w:r w:rsidR="00EA46B2" w:rsidRPr="00B45DE8">
        <w:rPr>
          <w:rFonts w:ascii="Arial" w:hAnsi="Arial" w:cs="Arial"/>
          <w:b/>
          <w:bCs/>
        </w:rPr>
        <w:t>contacts</w:t>
      </w:r>
    </w:p>
    <w:p w14:paraId="7CDF9640" w14:textId="77777777" w:rsidR="009B144D" w:rsidRDefault="009B144D" w:rsidP="009B144D">
      <w:pPr>
        <w:pStyle w:val="Body"/>
      </w:pPr>
      <w:r w:rsidRPr="00A751D6">
        <w:rPr>
          <w:b/>
          <w:bCs/>
        </w:rPr>
        <w:t>Susceptible staff</w:t>
      </w:r>
      <w:r>
        <w:rPr>
          <w:b/>
          <w:bCs/>
        </w:rPr>
        <w:t xml:space="preserve"> contacts</w:t>
      </w:r>
      <w:r>
        <w:t xml:space="preserve"> who have missed the PEP window should:</w:t>
      </w:r>
    </w:p>
    <w:p w14:paraId="289400C6" w14:textId="77777777" w:rsidR="009B144D" w:rsidRDefault="009B144D" w:rsidP="009B144D">
      <w:pPr>
        <w:pStyle w:val="Body"/>
        <w:numPr>
          <w:ilvl w:val="0"/>
          <w:numId w:val="16"/>
        </w:numPr>
      </w:pPr>
      <w:r>
        <w:t>undergo urgent serological testing for measles specific IgG to determine true susceptibility</w:t>
      </w:r>
    </w:p>
    <w:p w14:paraId="50EE7895" w14:textId="77777777" w:rsidR="009B144D" w:rsidRPr="00AB1C0A" w:rsidRDefault="009B144D" w:rsidP="009B144D">
      <w:pPr>
        <w:pStyle w:val="Body"/>
        <w:numPr>
          <w:ilvl w:val="0"/>
          <w:numId w:val="16"/>
        </w:numPr>
      </w:pPr>
      <w:r w:rsidRPr="002866AE">
        <w:t xml:space="preserve">be excluded from </w:t>
      </w:r>
      <w:r w:rsidRPr="00A751D6">
        <w:t xml:space="preserve">the </w:t>
      </w:r>
      <w:r>
        <w:t>patient facing clinical work</w:t>
      </w:r>
      <w:r w:rsidRPr="00A751D6">
        <w:t xml:space="preserve"> or redeployed to duties not requiring direct patient </w:t>
      </w:r>
      <w:r>
        <w:t xml:space="preserve">contact </w:t>
      </w:r>
      <w:r w:rsidRPr="00A751D6">
        <w:t xml:space="preserve">for 18 days after the last exposure to the infectious case. </w:t>
      </w:r>
    </w:p>
    <w:p w14:paraId="6794BEFF" w14:textId="77777777" w:rsidR="009B144D" w:rsidRDefault="009B144D" w:rsidP="009B144D">
      <w:pPr>
        <w:pStyle w:val="Bullet1"/>
        <w:numPr>
          <w:ilvl w:val="0"/>
          <w:numId w:val="0"/>
        </w:numPr>
      </w:pPr>
      <w:r>
        <w:rPr>
          <w:b/>
          <w:bCs/>
        </w:rPr>
        <w:t>Susceptible patient contacts</w:t>
      </w:r>
      <w:r>
        <w:t xml:space="preserve"> outside of the PEP window should:</w:t>
      </w:r>
    </w:p>
    <w:p w14:paraId="507038CB" w14:textId="77777777" w:rsidR="009B144D" w:rsidRDefault="009B144D" w:rsidP="009B144D">
      <w:pPr>
        <w:pStyle w:val="Body"/>
        <w:numPr>
          <w:ilvl w:val="0"/>
          <w:numId w:val="16"/>
        </w:numPr>
      </w:pPr>
      <w:r>
        <w:t xml:space="preserve">be isolated in airborne precautions while they remain in hospital until 18 days after the last exposure to the infectious case. </w:t>
      </w:r>
    </w:p>
    <w:p w14:paraId="7C3F9CC2" w14:textId="77777777" w:rsidR="009B144D" w:rsidRDefault="009B144D" w:rsidP="009B144D">
      <w:pPr>
        <w:pStyle w:val="Bullet1"/>
        <w:numPr>
          <w:ilvl w:val="0"/>
          <w:numId w:val="0"/>
        </w:numPr>
      </w:pPr>
      <w:r>
        <w:rPr>
          <w:b/>
          <w:bCs/>
        </w:rPr>
        <w:t>All susceptible contacts</w:t>
      </w:r>
      <w:r>
        <w:t xml:space="preserve"> should:</w:t>
      </w:r>
    </w:p>
    <w:p w14:paraId="2F6DB697" w14:textId="77777777" w:rsidR="009B144D" w:rsidRPr="0080546A" w:rsidRDefault="009B144D" w:rsidP="009B144D">
      <w:pPr>
        <w:pStyle w:val="Body"/>
        <w:numPr>
          <w:ilvl w:val="0"/>
          <w:numId w:val="16"/>
        </w:numPr>
      </w:pPr>
      <w:r w:rsidRPr="00A751D6">
        <w:t xml:space="preserve">avoid contact with young children (under 12 months or unvaccinated), hospitals, pregnant women and immunocompromised </w:t>
      </w:r>
      <w:r>
        <w:t>individuals</w:t>
      </w:r>
      <w:r w:rsidRPr="00A751D6">
        <w:t xml:space="preserve"> </w:t>
      </w:r>
      <w:r>
        <w:t>until 18 days after the last exposure to the infectious case. This includes exclusion from</w:t>
      </w:r>
      <w:r w:rsidRPr="00A751D6">
        <w:t xml:space="preserve"> sensitive settings such as childcare, primary schools or healthcare </w:t>
      </w:r>
      <w:r>
        <w:t>workplaces.</w:t>
      </w:r>
    </w:p>
    <w:p w14:paraId="12822E32" w14:textId="77777777" w:rsidR="004E25CE" w:rsidRDefault="004E25CE" w:rsidP="004E25CE">
      <w:pPr>
        <w:pStyle w:val="Heading2"/>
        <w:rPr>
          <w:rFonts w:ascii="Arial" w:hAnsi="Arial" w:cs="Arial"/>
          <w:b/>
          <w:bCs/>
        </w:rPr>
      </w:pPr>
    </w:p>
    <w:p w14:paraId="6505C788" w14:textId="29AF122E" w:rsidR="00730957" w:rsidRPr="00011BDB" w:rsidRDefault="00730957" w:rsidP="00730957">
      <w:pPr>
        <w:pStyle w:val="Heading2"/>
        <w:rPr>
          <w:rFonts w:ascii="Arial" w:hAnsi="Arial" w:cs="Arial"/>
          <w:b/>
          <w:bCs/>
        </w:rPr>
      </w:pPr>
      <w:r w:rsidRPr="00011BDB">
        <w:rPr>
          <w:rFonts w:ascii="Arial" w:hAnsi="Arial" w:cs="Arial"/>
          <w:b/>
          <w:bCs/>
        </w:rPr>
        <w:t xml:space="preserve">Step </w:t>
      </w:r>
      <w:r w:rsidR="00135F2A">
        <w:rPr>
          <w:rFonts w:ascii="Arial" w:hAnsi="Arial" w:cs="Arial"/>
          <w:b/>
          <w:bCs/>
        </w:rPr>
        <w:t>10</w:t>
      </w:r>
      <w:r w:rsidRPr="00011BDB">
        <w:rPr>
          <w:rFonts w:ascii="Arial" w:hAnsi="Arial" w:cs="Arial"/>
          <w:b/>
          <w:bCs/>
        </w:rPr>
        <w:t xml:space="preserve">: </w:t>
      </w:r>
      <w:r w:rsidR="00C25AB5" w:rsidRPr="009311A2">
        <w:rPr>
          <w:rFonts w:ascii="Arial" w:hAnsi="Arial" w:cs="Arial"/>
          <w:b/>
          <w:bCs/>
        </w:rPr>
        <w:t>Symptom monitoring for 18 days post-exposure</w:t>
      </w:r>
    </w:p>
    <w:p w14:paraId="7DE4CD69" w14:textId="77777777" w:rsidR="00084D15" w:rsidRPr="00A751D6" w:rsidRDefault="00084D15" w:rsidP="00084D15">
      <w:pPr>
        <w:spacing w:line="259" w:lineRule="auto"/>
        <w:rPr>
          <w:rFonts w:eastAsia="Aptos" w:cs="Arial"/>
          <w:color w:val="000000" w:themeColor="text1"/>
          <w:szCs w:val="21"/>
        </w:rPr>
      </w:pPr>
      <w:r w:rsidRPr="00A751D6">
        <w:rPr>
          <w:rFonts w:eastAsia="Aptos" w:cs="Arial"/>
          <w:color w:val="000000" w:themeColor="text1"/>
          <w:szCs w:val="21"/>
          <w:lang w:val="en-US"/>
        </w:rPr>
        <w:t xml:space="preserve">All contacts must monitor for symptoms for 18 days </w:t>
      </w:r>
      <w:r>
        <w:t>after the last exposure to the infectious case.</w:t>
      </w:r>
    </w:p>
    <w:p w14:paraId="4DA93772" w14:textId="77777777" w:rsidR="00084D15" w:rsidRDefault="00084D15" w:rsidP="00084D15">
      <w:pPr>
        <w:spacing w:line="257" w:lineRule="auto"/>
      </w:pPr>
      <w:r>
        <w:rPr>
          <w:rFonts w:eastAsia="Aptos" w:cs="Arial"/>
          <w:color w:val="000000" w:themeColor="text1"/>
        </w:rPr>
        <w:t xml:space="preserve">Measles typically presents with </w:t>
      </w:r>
      <w:r w:rsidRPr="00A751D6">
        <w:rPr>
          <w:rFonts w:eastAsia="Aptos" w:cs="Arial"/>
          <w:color w:val="000000" w:themeColor="text1"/>
          <w:lang w:val="en-US"/>
        </w:rPr>
        <w:t xml:space="preserve">fever, </w:t>
      </w:r>
      <w:r w:rsidRPr="3BAC3D62">
        <w:rPr>
          <w:rFonts w:eastAsia="Aptos" w:cs="Arial"/>
          <w:color w:val="000000" w:themeColor="text1"/>
          <w:lang w:val="en-US"/>
        </w:rPr>
        <w:t>cough, coryza</w:t>
      </w:r>
      <w:r>
        <w:rPr>
          <w:rFonts w:eastAsia="Aptos" w:cs="Arial"/>
          <w:color w:val="000000" w:themeColor="text1"/>
          <w:lang w:val="en-US"/>
        </w:rPr>
        <w:t xml:space="preserve"> and/or</w:t>
      </w:r>
      <w:r w:rsidRPr="3BAC3D62">
        <w:rPr>
          <w:rFonts w:eastAsia="Aptos" w:cs="Arial"/>
          <w:color w:val="000000" w:themeColor="text1"/>
          <w:lang w:val="en-US"/>
        </w:rPr>
        <w:t xml:space="preserve"> conjunctivitis, followed </w:t>
      </w:r>
      <w:r>
        <w:rPr>
          <w:rFonts w:eastAsia="Aptos" w:cs="Arial"/>
          <w:color w:val="000000" w:themeColor="text1"/>
          <w:lang w:val="en-US"/>
        </w:rPr>
        <w:t xml:space="preserve">2-7 days later </w:t>
      </w:r>
      <w:r w:rsidRPr="3BAC3D62">
        <w:rPr>
          <w:rFonts w:eastAsia="Aptos" w:cs="Arial"/>
          <w:color w:val="000000" w:themeColor="text1"/>
          <w:lang w:val="en-US"/>
        </w:rPr>
        <w:t xml:space="preserve">by a </w:t>
      </w:r>
      <w:r>
        <w:rPr>
          <w:rFonts w:eastAsia="Aptos" w:cs="Arial"/>
          <w:color w:val="000000" w:themeColor="text1"/>
          <w:lang w:val="en-US"/>
        </w:rPr>
        <w:t>rash which</w:t>
      </w:r>
      <w:r w:rsidRPr="00A751D6">
        <w:rPr>
          <w:rFonts w:eastAsia="Aptos" w:cs="Arial"/>
          <w:color w:val="000000" w:themeColor="text1"/>
          <w:lang w:val="en-US"/>
        </w:rPr>
        <w:t xml:space="preserve"> usually starts on the face </w:t>
      </w:r>
      <w:r w:rsidRPr="3BAC3D62">
        <w:rPr>
          <w:rFonts w:eastAsia="Aptos" w:cs="Arial"/>
          <w:color w:val="000000" w:themeColor="text1"/>
          <w:lang w:val="en-US"/>
        </w:rPr>
        <w:t>and</w:t>
      </w:r>
      <w:r w:rsidRPr="00A751D6">
        <w:rPr>
          <w:rFonts w:eastAsia="Aptos" w:cs="Arial"/>
          <w:color w:val="000000" w:themeColor="text1"/>
          <w:lang w:val="en-US"/>
        </w:rPr>
        <w:t xml:space="preserve"> spreads </w:t>
      </w:r>
      <w:r w:rsidRPr="3BAC3D62">
        <w:rPr>
          <w:rFonts w:eastAsia="Aptos" w:cs="Arial"/>
          <w:color w:val="000000" w:themeColor="text1"/>
          <w:lang w:val="en-US"/>
        </w:rPr>
        <w:t>down</w:t>
      </w:r>
      <w:r w:rsidRPr="00A751D6">
        <w:rPr>
          <w:rFonts w:eastAsia="Aptos" w:cs="Arial"/>
          <w:color w:val="000000" w:themeColor="text1"/>
          <w:lang w:val="en-US"/>
        </w:rPr>
        <w:t xml:space="preserve"> the body.</w:t>
      </w:r>
      <w:r w:rsidRPr="00A751D6">
        <w:rPr>
          <w:rFonts w:eastAsia="Aptos" w:cs="Arial"/>
          <w:color w:val="000000" w:themeColor="text1"/>
        </w:rPr>
        <w:t xml:space="preserve"> </w:t>
      </w:r>
      <w:r w:rsidRPr="00A751D6">
        <w:rPr>
          <w:rFonts w:eastAsia="Aptos" w:cs="Arial"/>
          <w:color w:val="000000" w:themeColor="text1"/>
          <w:lang w:val="en-US"/>
        </w:rPr>
        <w:t xml:space="preserve"> </w:t>
      </w:r>
    </w:p>
    <w:p w14:paraId="65386C16" w14:textId="5E0027E6" w:rsidR="00200CB0" w:rsidRPr="00200CB0" w:rsidRDefault="00084D15" w:rsidP="00A42094">
      <w:r w:rsidRPr="00A751D6">
        <w:rPr>
          <w:rFonts w:eastAsia="Aptos" w:cs="Arial"/>
          <w:color w:val="000000" w:themeColor="text1"/>
        </w:rPr>
        <w:t xml:space="preserve">Urgently notify the Department of Health on 1300 651 160 </w:t>
      </w:r>
      <w:r>
        <w:rPr>
          <w:rFonts w:eastAsia="Aptos" w:cs="Arial"/>
          <w:color w:val="000000" w:themeColor="text1"/>
        </w:rPr>
        <w:t xml:space="preserve">if you become aware of any </w:t>
      </w:r>
      <w:r w:rsidRPr="00A751D6">
        <w:rPr>
          <w:rFonts w:eastAsia="Aptos" w:cs="Arial"/>
          <w:color w:val="000000" w:themeColor="text1"/>
        </w:rPr>
        <w:t xml:space="preserve">contact who develops symptoms </w:t>
      </w:r>
      <w:r>
        <w:rPr>
          <w:rFonts w:eastAsia="Aptos" w:cs="Arial"/>
          <w:color w:val="000000" w:themeColor="text1"/>
        </w:rPr>
        <w:t xml:space="preserve">consistent with </w:t>
      </w:r>
      <w:r w:rsidRPr="00A751D6">
        <w:rPr>
          <w:rFonts w:eastAsia="Aptos" w:cs="Arial"/>
          <w:color w:val="000000" w:themeColor="text1"/>
        </w:rPr>
        <w:t>measles</w:t>
      </w:r>
      <w:r>
        <w:rPr>
          <w:rFonts w:eastAsia="Aptos" w:cs="Arial"/>
          <w:color w:val="000000" w:themeColor="text1"/>
        </w:rPr>
        <w:t>.</w:t>
      </w:r>
      <w:r w:rsidRPr="00A751D6">
        <w:rPr>
          <w:rFonts w:eastAsia="Aptos" w:cs="Arial"/>
          <w:color w:val="000000" w:themeColor="text1"/>
        </w:rPr>
        <w:t xml:space="preserve"> Advise the symptomatic contact to avoid public settings</w:t>
      </w:r>
      <w:r w:rsidR="00223A45">
        <w:rPr>
          <w:rFonts w:eastAsia="Aptos" w:cs="Arial"/>
          <w:color w:val="000000" w:themeColor="text1"/>
        </w:rPr>
        <w:t>,</w:t>
      </w:r>
      <w:r w:rsidRPr="00A751D6">
        <w:rPr>
          <w:rFonts w:eastAsia="Aptos" w:cs="Arial"/>
          <w:color w:val="000000" w:themeColor="text1"/>
        </w:rPr>
        <w:t xml:space="preserve"> </w:t>
      </w:r>
      <w:r>
        <w:rPr>
          <w:rFonts w:eastAsia="Aptos" w:cs="Arial"/>
          <w:color w:val="000000" w:themeColor="text1"/>
        </w:rPr>
        <w:t xml:space="preserve">contact their LPHU or </w:t>
      </w:r>
      <w:r w:rsidRPr="00A751D6">
        <w:rPr>
          <w:rFonts w:eastAsia="Aptos" w:cs="Arial"/>
          <w:color w:val="000000" w:themeColor="text1"/>
        </w:rPr>
        <w:t xml:space="preserve">call ahead and </w:t>
      </w:r>
      <w:r>
        <w:rPr>
          <w:rFonts w:eastAsia="Aptos" w:cs="Arial"/>
          <w:color w:val="000000" w:themeColor="text1"/>
        </w:rPr>
        <w:t>wear an</w:t>
      </w:r>
      <w:r w:rsidRPr="00A751D6">
        <w:rPr>
          <w:rFonts w:eastAsia="Aptos" w:cs="Arial"/>
          <w:color w:val="000000" w:themeColor="text1"/>
        </w:rPr>
        <w:t xml:space="preserve"> </w:t>
      </w:r>
      <w:r>
        <w:rPr>
          <w:rFonts w:eastAsia="Aptos" w:cs="Arial"/>
          <w:color w:val="000000" w:themeColor="text1"/>
        </w:rPr>
        <w:t xml:space="preserve">P2/N95 </w:t>
      </w:r>
      <w:r w:rsidRPr="00A751D6">
        <w:rPr>
          <w:rFonts w:eastAsia="Aptos" w:cs="Arial"/>
          <w:color w:val="000000" w:themeColor="text1"/>
        </w:rPr>
        <w:t>mask</w:t>
      </w:r>
      <w:r>
        <w:rPr>
          <w:rFonts w:eastAsia="Aptos" w:cs="Arial"/>
          <w:color w:val="000000" w:themeColor="text1"/>
        </w:rPr>
        <w:t xml:space="preserve"> before entering a health service for testing or treatment. </w:t>
      </w:r>
      <w:r w:rsidRPr="00A751D6">
        <w:rPr>
          <w:rFonts w:eastAsia="Aptos" w:cs="Arial"/>
          <w:color w:val="000000" w:themeColor="text1"/>
        </w:rPr>
        <w:t xml:space="preserve"> </w:t>
      </w:r>
    </w:p>
    <w:p w14:paraId="3C72D064" w14:textId="77777777" w:rsidR="00084D15" w:rsidRDefault="00084D15">
      <w:pPr>
        <w:spacing w:after="160" w:line="259" w:lineRule="auto"/>
        <w:rPr>
          <w:rFonts w:eastAsiaTheme="majorEastAsia" w:cs="Arial"/>
          <w:color w:val="2F5496" w:themeColor="accent1" w:themeShade="BF"/>
          <w:sz w:val="40"/>
          <w:szCs w:val="40"/>
        </w:rPr>
      </w:pPr>
      <w:r>
        <w:rPr>
          <w:rFonts w:cs="Arial"/>
        </w:rPr>
        <w:br w:type="page"/>
      </w:r>
    </w:p>
    <w:p w14:paraId="3ACE29F7" w14:textId="28250537" w:rsidR="007976B6" w:rsidRPr="00A42094" w:rsidRDefault="00BB1C37" w:rsidP="007976B6">
      <w:pPr>
        <w:pStyle w:val="Heading1"/>
        <w:rPr>
          <w:rFonts w:ascii="Arial" w:hAnsi="Arial" w:cs="Arial"/>
        </w:rPr>
      </w:pPr>
      <w:r>
        <w:rPr>
          <w:rFonts w:ascii="Arial" w:hAnsi="Arial" w:cs="Arial"/>
        </w:rPr>
        <w:lastRenderedPageBreak/>
        <w:t xml:space="preserve">Role of </w:t>
      </w:r>
      <w:r w:rsidR="007976B6" w:rsidRPr="00A42094">
        <w:rPr>
          <w:rFonts w:ascii="Arial" w:hAnsi="Arial" w:cs="Arial"/>
        </w:rPr>
        <w:t>LPHU</w:t>
      </w:r>
    </w:p>
    <w:p w14:paraId="652F6338" w14:textId="77777777" w:rsidR="0085427B" w:rsidRPr="00A751D6" w:rsidRDefault="0085427B" w:rsidP="0085427B">
      <w:pPr>
        <w:pStyle w:val="Heading2"/>
        <w:rPr>
          <w:rFonts w:ascii="Arial" w:eastAsia="Times" w:hAnsi="Arial" w:cs="Arial"/>
          <w:b/>
        </w:rPr>
      </w:pPr>
      <w:r w:rsidRPr="00A751D6">
        <w:rPr>
          <w:rFonts w:ascii="Arial" w:eastAsia="Times" w:hAnsi="Arial" w:cs="Arial"/>
          <w:b/>
        </w:rPr>
        <w:t xml:space="preserve">1. Assist in understanding this information and determining priorities </w:t>
      </w:r>
    </w:p>
    <w:p w14:paraId="65FE3914" w14:textId="77777777" w:rsidR="0085427B" w:rsidRPr="006002E7" w:rsidRDefault="0085427B" w:rsidP="0085427B">
      <w:pPr>
        <w:pStyle w:val="Body"/>
      </w:pPr>
      <w:r>
        <w:t>T</w:t>
      </w:r>
      <w:r w:rsidRPr="006002E7">
        <w:t>his can be complex information</w:t>
      </w:r>
      <w:r>
        <w:t>,</w:t>
      </w:r>
      <w:r w:rsidRPr="006002E7">
        <w:t xml:space="preserve"> so </w:t>
      </w:r>
      <w:r>
        <w:t xml:space="preserve">your LPHU </w:t>
      </w:r>
      <w:r w:rsidRPr="006002E7">
        <w:t>will ensure you have support in knowing exactly what to do.</w:t>
      </w:r>
    </w:p>
    <w:p w14:paraId="64E09705" w14:textId="77777777" w:rsidR="0085427B" w:rsidRDefault="0085427B" w:rsidP="0085427B">
      <w:pPr>
        <w:pStyle w:val="Heading2"/>
        <w:rPr>
          <w:rFonts w:ascii="Arial" w:eastAsia="Times" w:hAnsi="Arial" w:cs="Arial"/>
          <w:b/>
          <w:bCs/>
        </w:rPr>
      </w:pPr>
    </w:p>
    <w:p w14:paraId="170E8418" w14:textId="71A27C50" w:rsidR="0085427B" w:rsidRPr="00A751D6" w:rsidRDefault="0085427B" w:rsidP="0085427B">
      <w:pPr>
        <w:pStyle w:val="Heading2"/>
        <w:rPr>
          <w:rFonts w:ascii="Arial" w:eastAsia="Times" w:hAnsi="Arial" w:cs="Arial"/>
          <w:b/>
          <w:bCs/>
          <w:color w:val="0070C0"/>
        </w:rPr>
      </w:pPr>
      <w:r w:rsidRPr="00A751D6">
        <w:rPr>
          <w:rFonts w:ascii="Arial" w:eastAsia="Times" w:hAnsi="Arial" w:cs="Arial"/>
          <w:b/>
          <w:bCs/>
        </w:rPr>
        <w:t xml:space="preserve">2. Follow-up all other contacts (outside your </w:t>
      </w:r>
      <w:r w:rsidR="00A42094">
        <w:rPr>
          <w:rFonts w:ascii="Arial" w:eastAsia="Times" w:hAnsi="Arial" w:cs="Arial"/>
          <w:b/>
          <w:bCs/>
        </w:rPr>
        <w:t>health service</w:t>
      </w:r>
      <w:r w:rsidRPr="00A751D6">
        <w:rPr>
          <w:rFonts w:ascii="Arial" w:eastAsia="Times" w:hAnsi="Arial" w:cs="Arial"/>
          <w:b/>
          <w:bCs/>
        </w:rPr>
        <w:t>)</w:t>
      </w:r>
    </w:p>
    <w:p w14:paraId="22EE4810" w14:textId="77777777" w:rsidR="0085427B" w:rsidRPr="006002E7" w:rsidRDefault="0085427B" w:rsidP="0085427B">
      <w:pPr>
        <w:pStyle w:val="Body"/>
      </w:pPr>
      <w:r>
        <w:t>The LPHU is responsible for identifying and managing household contacts, workplaces, public spaces and other exposure sites.</w:t>
      </w:r>
    </w:p>
    <w:p w14:paraId="2A4F6242" w14:textId="77777777" w:rsidR="0085427B" w:rsidRDefault="0085427B" w:rsidP="0085427B">
      <w:pPr>
        <w:pStyle w:val="Heading2"/>
        <w:rPr>
          <w:rFonts w:ascii="Arial" w:eastAsia="Times" w:hAnsi="Arial" w:cs="Arial"/>
          <w:b/>
          <w:bCs/>
        </w:rPr>
      </w:pPr>
    </w:p>
    <w:p w14:paraId="42794CA7" w14:textId="77777777" w:rsidR="0085427B" w:rsidRPr="00A751D6" w:rsidRDefault="0085427B" w:rsidP="0085427B">
      <w:pPr>
        <w:pStyle w:val="Heading2"/>
        <w:rPr>
          <w:rFonts w:ascii="Arial" w:eastAsia="Times" w:hAnsi="Arial" w:cs="Arial"/>
          <w:b/>
          <w:bCs/>
        </w:rPr>
      </w:pPr>
      <w:r w:rsidRPr="00A751D6">
        <w:rPr>
          <w:rFonts w:ascii="Arial" w:eastAsia="Times" w:hAnsi="Arial" w:cs="Arial"/>
          <w:b/>
          <w:bCs/>
        </w:rPr>
        <w:t xml:space="preserve">3. Advise of any unwell contacts who may require </w:t>
      </w:r>
      <w:r>
        <w:rPr>
          <w:rFonts w:ascii="Arial" w:eastAsia="Times" w:hAnsi="Arial" w:cs="Arial"/>
          <w:b/>
          <w:bCs/>
        </w:rPr>
        <w:t>testing or medical attention</w:t>
      </w:r>
    </w:p>
    <w:p w14:paraId="427E71DE" w14:textId="2F3688DD" w:rsidR="0085427B" w:rsidRPr="006002E7" w:rsidRDefault="0085427B" w:rsidP="0085427B">
      <w:pPr>
        <w:pStyle w:val="Body"/>
      </w:pPr>
      <w:r>
        <w:t xml:space="preserve">Suspected cases (including contacts who develop symptoms compatible with measles) are encouraged to stay at home and contact their LPHU to facilitate appropriate testing. You may be contacted by your </w:t>
      </w:r>
      <w:r w:rsidR="00566D40">
        <w:t>LPHU,</w:t>
      </w:r>
      <w:r>
        <w:t xml:space="preserve"> or a measles contact directly to arrange testing and medical care.</w:t>
      </w:r>
    </w:p>
    <w:p w14:paraId="07E32B44" w14:textId="77777777" w:rsidR="0085427B" w:rsidRDefault="0085427B" w:rsidP="0085427B">
      <w:pPr>
        <w:pStyle w:val="Heading2"/>
        <w:rPr>
          <w:rFonts w:ascii="Arial" w:hAnsi="Arial" w:cs="Arial"/>
          <w:b/>
          <w:bCs/>
        </w:rPr>
      </w:pPr>
    </w:p>
    <w:p w14:paraId="30FF8C79" w14:textId="77777777" w:rsidR="0085427B" w:rsidRPr="00A751D6" w:rsidRDefault="0085427B" w:rsidP="0085427B">
      <w:pPr>
        <w:pStyle w:val="Heading2"/>
        <w:rPr>
          <w:rFonts w:ascii="Arial" w:hAnsi="Arial" w:cs="Arial"/>
          <w:b/>
          <w:bCs/>
        </w:rPr>
      </w:pPr>
      <w:r w:rsidRPr="00A751D6">
        <w:rPr>
          <w:rFonts w:ascii="Arial" w:hAnsi="Arial" w:cs="Arial"/>
          <w:b/>
          <w:bCs/>
        </w:rPr>
        <w:t>4. Advise of any alerts, advisories</w:t>
      </w:r>
      <w:r>
        <w:rPr>
          <w:rFonts w:ascii="Arial" w:hAnsi="Arial" w:cs="Arial"/>
          <w:b/>
          <w:bCs/>
        </w:rPr>
        <w:t xml:space="preserve"> or exposure site publications</w:t>
      </w:r>
      <w:r w:rsidRPr="00A751D6">
        <w:rPr>
          <w:rFonts w:ascii="Arial" w:hAnsi="Arial" w:cs="Arial"/>
          <w:b/>
          <w:bCs/>
        </w:rPr>
        <w:t xml:space="preserve"> </w:t>
      </w:r>
    </w:p>
    <w:p w14:paraId="56BCBD58" w14:textId="1CAADAC2" w:rsidR="0085427B" w:rsidRPr="008D5B2D" w:rsidRDefault="0085427B" w:rsidP="0085427B">
      <w:pPr>
        <w:pStyle w:val="Body"/>
      </w:pPr>
      <w:r>
        <w:t xml:space="preserve">In order to minimise further transmission and to reduce the risk of exposing others, the department will </w:t>
      </w:r>
      <w:r w:rsidR="00D35C27">
        <w:t xml:space="preserve">issue public communications e.g. </w:t>
      </w:r>
      <w:hyperlink r:id="rId28" w:history="1">
        <w:r w:rsidR="00D35C27" w:rsidRPr="00447630">
          <w:rPr>
            <w:rStyle w:val="Hyperlink"/>
          </w:rPr>
          <w:t xml:space="preserve">Chief Health Officer </w:t>
        </w:r>
        <w:r w:rsidR="000C1380" w:rsidRPr="00447630">
          <w:rPr>
            <w:rStyle w:val="Hyperlink"/>
          </w:rPr>
          <w:t>A</w:t>
        </w:r>
        <w:r w:rsidR="00D35C27" w:rsidRPr="00447630">
          <w:rPr>
            <w:rStyle w:val="Hyperlink"/>
          </w:rPr>
          <w:t>lerts</w:t>
        </w:r>
      </w:hyperlink>
      <w:r w:rsidR="00DB4B39">
        <w:t xml:space="preserve"> and </w:t>
      </w:r>
      <w:hyperlink r:id="rId29" w:history="1">
        <w:r w:rsidR="000C1380" w:rsidRPr="00AA7CB0">
          <w:rPr>
            <w:rStyle w:val="Hyperlink"/>
          </w:rPr>
          <w:t>lists of public exposure sites</w:t>
        </w:r>
      </w:hyperlink>
      <w:r w:rsidR="000C1380">
        <w:t xml:space="preserve">. </w:t>
      </w:r>
      <w:r>
        <w:t xml:space="preserve">Media stories may accompany such alerts, and this can lead to </w:t>
      </w:r>
      <w:r w:rsidR="00FD14BF">
        <w:t xml:space="preserve">public </w:t>
      </w:r>
      <w:r>
        <w:t xml:space="preserve">enquiries to the </w:t>
      </w:r>
      <w:r w:rsidRPr="007168E4">
        <w:t>LPHU</w:t>
      </w:r>
      <w:r>
        <w:t xml:space="preserve">, </w:t>
      </w:r>
      <w:r w:rsidRPr="007168E4">
        <w:t>the department</w:t>
      </w:r>
      <w:r>
        <w:t xml:space="preserve">, and/or your health service. Your LPHU will advise you when this happens and make sure that the LPHU phone number is the main contact </w:t>
      </w:r>
      <w:r w:rsidRPr="00A751D6">
        <w:t>number for the public.</w:t>
      </w:r>
    </w:p>
    <w:p w14:paraId="21B8CC6F" w14:textId="77777777" w:rsidR="0085427B" w:rsidRDefault="0085427B" w:rsidP="0085427B">
      <w:pPr>
        <w:pStyle w:val="Heading2"/>
        <w:rPr>
          <w:rFonts w:ascii="Arial" w:eastAsia="Times" w:hAnsi="Arial" w:cs="Arial"/>
          <w:b/>
          <w:bCs/>
        </w:rPr>
      </w:pPr>
    </w:p>
    <w:p w14:paraId="498794A4" w14:textId="77777777" w:rsidR="0085427B" w:rsidRPr="00A751D6" w:rsidRDefault="0085427B" w:rsidP="0085427B">
      <w:pPr>
        <w:pStyle w:val="Heading2"/>
        <w:rPr>
          <w:rFonts w:ascii="Arial" w:eastAsia="Times" w:hAnsi="Arial" w:cs="Arial"/>
          <w:b/>
          <w:bCs/>
        </w:rPr>
      </w:pPr>
      <w:r w:rsidRPr="00A751D6">
        <w:rPr>
          <w:rFonts w:ascii="Arial" w:eastAsia="Times" w:hAnsi="Arial" w:cs="Arial"/>
          <w:b/>
          <w:bCs/>
        </w:rPr>
        <w:t xml:space="preserve">5. Answer queries in relation to contacts, testing, isolation and </w:t>
      </w:r>
      <w:r>
        <w:rPr>
          <w:rFonts w:ascii="Arial" w:eastAsia="Times" w:hAnsi="Arial" w:cs="Arial"/>
          <w:b/>
          <w:bCs/>
        </w:rPr>
        <w:t>exclusion</w:t>
      </w:r>
    </w:p>
    <w:p w14:paraId="0DF29F8A" w14:textId="7E7EC698" w:rsidR="007976B6" w:rsidRPr="001B120F" w:rsidRDefault="0085427B" w:rsidP="007976B6">
      <w:pPr>
        <w:pStyle w:val="Body"/>
      </w:pPr>
      <w:hyperlink r:id="rId30" w:history="1">
        <w:r w:rsidRPr="00BB2F91">
          <w:rPr>
            <w:rStyle w:val="Hyperlink"/>
            <w:b/>
            <w:bCs/>
          </w:rPr>
          <w:t xml:space="preserve">Contact your </w:t>
        </w:r>
        <w:r w:rsidR="0068413C" w:rsidRPr="00BB2F91">
          <w:rPr>
            <w:rStyle w:val="Hyperlink"/>
            <w:b/>
            <w:bCs/>
          </w:rPr>
          <w:t>LPHU</w:t>
        </w:r>
      </w:hyperlink>
      <w:r w:rsidRPr="00A751D6">
        <w:rPr>
          <w:b/>
          <w:bCs/>
        </w:rPr>
        <w:t xml:space="preserve"> directly or via 1300 651 160 for any queries.</w:t>
      </w:r>
      <w:r>
        <w:t xml:space="preserve"> </w:t>
      </w:r>
    </w:p>
    <w:p w14:paraId="2FDF33BF" w14:textId="77777777" w:rsidR="007976B6" w:rsidRDefault="007976B6" w:rsidP="007976B6">
      <w:pPr>
        <w:pStyle w:val="Body"/>
      </w:pPr>
    </w:p>
    <w:p w14:paraId="20D0F7B9" w14:textId="77777777" w:rsidR="007976B6" w:rsidRDefault="007976B6" w:rsidP="007976B6">
      <w:pPr>
        <w:pStyle w:val="DHHStablecaption"/>
        <w:sectPr w:rsidR="007976B6" w:rsidSect="007976B6">
          <w:footerReference w:type="even" r:id="rId31"/>
          <w:footerReference w:type="default" r:id="rId32"/>
          <w:footerReference w:type="first" r:id="rId33"/>
          <w:type w:val="continuous"/>
          <w:pgSz w:w="11906" w:h="16838" w:code="9"/>
          <w:pgMar w:top="1418" w:right="851" w:bottom="1418" w:left="851" w:header="680" w:footer="851" w:gutter="0"/>
          <w:cols w:space="340"/>
          <w:docGrid w:linePitch="360"/>
        </w:sectPr>
      </w:pPr>
    </w:p>
    <w:p w14:paraId="0BBC416D" w14:textId="77777777" w:rsidR="007976B6" w:rsidRPr="009311A2" w:rsidRDefault="007976B6" w:rsidP="007976B6">
      <w:pPr>
        <w:pStyle w:val="Heading2"/>
        <w:rPr>
          <w:rFonts w:ascii="Arial" w:eastAsia="Arial" w:hAnsi="Arial" w:cs="Arial"/>
          <w:b/>
          <w:bCs/>
        </w:rPr>
      </w:pPr>
      <w:r w:rsidRPr="009311A2">
        <w:rPr>
          <w:rFonts w:ascii="Arial" w:hAnsi="Arial" w:cs="Arial"/>
          <w:b/>
          <w:bCs/>
        </w:rPr>
        <w:lastRenderedPageBreak/>
        <w:t xml:space="preserve">Table 1: Post exposure guidelines </w:t>
      </w:r>
      <w:r w:rsidRPr="009311A2">
        <w:rPr>
          <w:rFonts w:ascii="Arial" w:hAnsi="Arial" w:cs="Arial"/>
          <w:b/>
          <w:bCs/>
          <w:i/>
        </w:rPr>
        <w:t>within 72 hours</w:t>
      </w:r>
      <w:r w:rsidRPr="009311A2">
        <w:rPr>
          <w:rFonts w:ascii="Arial" w:hAnsi="Arial" w:cs="Arial"/>
          <w:b/>
          <w:bCs/>
        </w:rPr>
        <w:t xml:space="preserve"> of first exposure to infectious case</w:t>
      </w:r>
    </w:p>
    <w:tbl>
      <w:tblPr>
        <w:tblW w:w="15374" w:type="dxa"/>
        <w:tblInd w:w="-577" w:type="dxa"/>
        <w:tblCellMar>
          <w:left w:w="0" w:type="dxa"/>
          <w:right w:w="0" w:type="dxa"/>
        </w:tblCellMar>
        <w:tblLook w:val="01E0" w:firstRow="1" w:lastRow="1" w:firstColumn="1" w:lastColumn="1" w:noHBand="0" w:noVBand="0"/>
      </w:tblPr>
      <w:tblGrid>
        <w:gridCol w:w="2946"/>
        <w:gridCol w:w="4239"/>
        <w:gridCol w:w="3955"/>
        <w:gridCol w:w="4234"/>
      </w:tblGrid>
      <w:tr w:rsidR="007976B6" w:rsidRPr="001B120F" w14:paraId="25FD57B5" w14:textId="77777777" w:rsidTr="00D416BC">
        <w:trPr>
          <w:trHeight w:hRule="exact" w:val="543"/>
        </w:trPr>
        <w:tc>
          <w:tcPr>
            <w:tcW w:w="2946" w:type="dxa"/>
            <w:vMerge w:val="restart"/>
            <w:tcBorders>
              <w:top w:val="single" w:sz="8" w:space="0" w:color="000000" w:themeColor="text1"/>
              <w:left w:val="single" w:sz="4" w:space="0" w:color="auto"/>
              <w:right w:val="single" w:sz="8" w:space="0" w:color="000000" w:themeColor="text1"/>
            </w:tcBorders>
            <w:vAlign w:val="center"/>
          </w:tcPr>
          <w:p w14:paraId="502699D2" w14:textId="77777777" w:rsidR="007976B6" w:rsidRPr="001B120F" w:rsidRDefault="007976B6">
            <w:pPr>
              <w:pStyle w:val="Body"/>
              <w:jc w:val="center"/>
              <w:rPr>
                <w:b/>
                <w:bCs/>
              </w:rPr>
            </w:pPr>
            <w:r w:rsidRPr="001B120F">
              <w:rPr>
                <w:b/>
                <w:bCs/>
              </w:rPr>
              <w:t>Age or immune status</w:t>
            </w:r>
          </w:p>
        </w:tc>
        <w:tc>
          <w:tcPr>
            <w:tcW w:w="12428" w:type="dxa"/>
            <w:gridSpan w:val="3"/>
            <w:tcBorders>
              <w:top w:val="single" w:sz="8" w:space="0" w:color="000000" w:themeColor="text1"/>
              <w:left w:val="single" w:sz="8" w:space="0" w:color="000000" w:themeColor="text1"/>
              <w:bottom w:val="single" w:sz="8" w:space="0" w:color="000000" w:themeColor="text1"/>
              <w:right w:val="single" w:sz="4" w:space="0" w:color="auto"/>
            </w:tcBorders>
            <w:vAlign w:val="center"/>
          </w:tcPr>
          <w:p w14:paraId="73E7FDB7" w14:textId="77777777" w:rsidR="007976B6" w:rsidRPr="001B120F" w:rsidRDefault="007976B6">
            <w:pPr>
              <w:pStyle w:val="Body"/>
              <w:jc w:val="center"/>
              <w:rPr>
                <w:b/>
                <w:bCs/>
              </w:rPr>
            </w:pPr>
            <w:r w:rsidRPr="001B120F">
              <w:rPr>
                <w:b/>
                <w:bCs/>
              </w:rPr>
              <w:t>MMR vaccination history</w:t>
            </w:r>
          </w:p>
        </w:tc>
      </w:tr>
      <w:tr w:rsidR="007976B6" w:rsidRPr="001B120F" w14:paraId="73400186" w14:textId="77777777" w:rsidTr="00D416BC">
        <w:trPr>
          <w:trHeight w:hRule="exact" w:val="724"/>
        </w:trPr>
        <w:tc>
          <w:tcPr>
            <w:tcW w:w="2946" w:type="dxa"/>
            <w:vMerge/>
            <w:tcBorders>
              <w:left w:val="single" w:sz="4" w:space="0" w:color="auto"/>
            </w:tcBorders>
            <w:vAlign w:val="center"/>
          </w:tcPr>
          <w:p w14:paraId="031A88E8" w14:textId="77777777" w:rsidR="007976B6" w:rsidRPr="001B120F" w:rsidRDefault="007976B6">
            <w:pPr>
              <w:pStyle w:val="Body"/>
              <w:jc w:val="center"/>
              <w:rPr>
                <w:b/>
                <w:bCs/>
              </w:rPr>
            </w:pPr>
          </w:p>
        </w:tc>
        <w:tc>
          <w:tcPr>
            <w:tcW w:w="4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2C02F111" w14:textId="77777777" w:rsidR="007976B6" w:rsidRPr="001B120F" w:rsidRDefault="007976B6">
            <w:pPr>
              <w:pStyle w:val="Body"/>
              <w:jc w:val="center"/>
              <w:rPr>
                <w:b/>
                <w:bCs/>
              </w:rPr>
            </w:pPr>
            <w:r w:rsidRPr="001B120F">
              <w:rPr>
                <w:b/>
                <w:bCs/>
              </w:rPr>
              <w:t>0 doses MMR or unknown</w:t>
            </w:r>
          </w:p>
        </w:tc>
        <w:tc>
          <w:tcPr>
            <w:tcW w:w="39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07E6E948" w14:textId="77777777" w:rsidR="007976B6" w:rsidRPr="001B120F" w:rsidRDefault="007976B6">
            <w:pPr>
              <w:pStyle w:val="Body"/>
              <w:jc w:val="center"/>
              <w:rPr>
                <w:b/>
                <w:bCs/>
              </w:rPr>
            </w:pPr>
            <w:r w:rsidRPr="001B120F">
              <w:rPr>
                <w:b/>
                <w:bCs/>
              </w:rPr>
              <w:t>1 dose MMR</w:t>
            </w:r>
          </w:p>
        </w:tc>
        <w:tc>
          <w:tcPr>
            <w:tcW w:w="4234"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2F2F2" w:themeFill="background1" w:themeFillShade="F2"/>
            <w:vAlign w:val="center"/>
          </w:tcPr>
          <w:p w14:paraId="409019F1" w14:textId="77777777" w:rsidR="007976B6" w:rsidRPr="001B120F" w:rsidRDefault="007976B6">
            <w:pPr>
              <w:pStyle w:val="Body"/>
              <w:jc w:val="center"/>
              <w:rPr>
                <w:b/>
                <w:bCs/>
              </w:rPr>
            </w:pPr>
            <w:r w:rsidRPr="001B120F">
              <w:rPr>
                <w:b/>
                <w:bCs/>
              </w:rPr>
              <w:t>2 doses MMR</w:t>
            </w:r>
          </w:p>
        </w:tc>
      </w:tr>
      <w:tr w:rsidR="007976B6" w:rsidRPr="001B120F" w14:paraId="585FB23E" w14:textId="77777777" w:rsidTr="00D416BC">
        <w:trPr>
          <w:trHeight w:hRule="exact" w:val="720"/>
        </w:trPr>
        <w:tc>
          <w:tcPr>
            <w:tcW w:w="2946" w:type="dxa"/>
            <w:tcBorders>
              <w:top w:val="single" w:sz="8" w:space="0" w:color="000000" w:themeColor="text1"/>
              <w:left w:val="single" w:sz="4" w:space="0" w:color="auto"/>
              <w:bottom w:val="single" w:sz="8" w:space="0" w:color="000000" w:themeColor="text1"/>
              <w:right w:val="single" w:sz="8" w:space="0" w:color="000000" w:themeColor="text1"/>
            </w:tcBorders>
            <w:shd w:val="clear" w:color="auto" w:fill="F2F2F2" w:themeFill="background1" w:themeFillShade="F2"/>
            <w:vAlign w:val="center"/>
          </w:tcPr>
          <w:p w14:paraId="79875CC0" w14:textId="4FC9F421" w:rsidR="007976B6" w:rsidRPr="001B120F" w:rsidRDefault="007976B6">
            <w:pPr>
              <w:pStyle w:val="Body"/>
              <w:jc w:val="center"/>
              <w:rPr>
                <w:b/>
                <w:bCs/>
              </w:rPr>
            </w:pPr>
            <w:r w:rsidRPr="001B120F">
              <w:rPr>
                <w:b/>
                <w:bCs/>
              </w:rPr>
              <w:t>Immuno</w:t>
            </w:r>
            <w:r w:rsidR="00B931EE">
              <w:rPr>
                <w:b/>
                <w:bCs/>
              </w:rPr>
              <w:t>compromised</w:t>
            </w:r>
            <w:r w:rsidRPr="001B120F">
              <w:rPr>
                <w:b/>
                <w:bCs/>
              </w:rPr>
              <w:t xml:space="preserve"> (any age)</w:t>
            </w:r>
            <w:r>
              <w:rPr>
                <w:b/>
                <w:bCs/>
              </w:rPr>
              <w:t>*</w:t>
            </w:r>
          </w:p>
        </w:tc>
        <w:tc>
          <w:tcPr>
            <w:tcW w:w="42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FE2151" w14:textId="77777777" w:rsidR="007976B6" w:rsidRPr="001B120F" w:rsidRDefault="007976B6">
            <w:pPr>
              <w:pStyle w:val="Body"/>
              <w:jc w:val="center"/>
            </w:pPr>
            <w:r w:rsidRPr="001B120F">
              <w:t>Normal Human Immunoglobulin 0.5 mL/kg to max of 15 mL</w:t>
            </w:r>
          </w:p>
        </w:tc>
        <w:tc>
          <w:tcPr>
            <w:tcW w:w="39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510C19" w14:textId="77777777" w:rsidR="007976B6" w:rsidRPr="001B120F" w:rsidRDefault="007976B6">
            <w:pPr>
              <w:pStyle w:val="Body"/>
              <w:jc w:val="center"/>
            </w:pPr>
            <w:r w:rsidRPr="001B120F">
              <w:t>Normal Human Immunoglobulin 0.5 mL/kg to max of 15 mL</w:t>
            </w:r>
          </w:p>
        </w:tc>
        <w:tc>
          <w:tcPr>
            <w:tcW w:w="4234" w:type="dxa"/>
            <w:tcBorders>
              <w:top w:val="single" w:sz="8" w:space="0" w:color="000000" w:themeColor="text1"/>
              <w:left w:val="single" w:sz="8" w:space="0" w:color="000000" w:themeColor="text1"/>
              <w:bottom w:val="single" w:sz="8" w:space="0" w:color="000000" w:themeColor="text1"/>
              <w:right w:val="single" w:sz="4" w:space="0" w:color="auto"/>
            </w:tcBorders>
            <w:vAlign w:val="center"/>
          </w:tcPr>
          <w:p w14:paraId="4849F598" w14:textId="77777777" w:rsidR="007976B6" w:rsidRPr="001B120F" w:rsidRDefault="007976B6">
            <w:pPr>
              <w:pStyle w:val="Body"/>
              <w:jc w:val="center"/>
            </w:pPr>
            <w:r w:rsidRPr="001B120F">
              <w:t>Normal Human Immunoglobulin 0.5 mL/kg to max of 15 mL</w:t>
            </w:r>
          </w:p>
        </w:tc>
      </w:tr>
      <w:tr w:rsidR="007976B6" w:rsidRPr="001B120F" w14:paraId="746274AE" w14:textId="77777777" w:rsidTr="00D416BC">
        <w:trPr>
          <w:trHeight w:hRule="exact" w:val="720"/>
        </w:trPr>
        <w:tc>
          <w:tcPr>
            <w:tcW w:w="2946" w:type="dxa"/>
            <w:tcBorders>
              <w:top w:val="single" w:sz="8" w:space="0" w:color="000000" w:themeColor="text1"/>
              <w:left w:val="single" w:sz="4" w:space="0" w:color="auto"/>
              <w:bottom w:val="single" w:sz="8" w:space="0" w:color="000000" w:themeColor="text1"/>
              <w:right w:val="single" w:sz="8" w:space="0" w:color="000000" w:themeColor="text1"/>
            </w:tcBorders>
            <w:shd w:val="clear" w:color="auto" w:fill="F2F2F2" w:themeFill="background1" w:themeFillShade="F2"/>
            <w:vAlign w:val="center"/>
          </w:tcPr>
          <w:p w14:paraId="6A45CF2F" w14:textId="77777777" w:rsidR="007976B6" w:rsidRPr="00103394" w:rsidRDefault="007976B6">
            <w:pPr>
              <w:pStyle w:val="Body"/>
              <w:jc w:val="center"/>
              <w:rPr>
                <w:b/>
                <w:bCs/>
              </w:rPr>
            </w:pPr>
            <w:r w:rsidRPr="00103394">
              <w:rPr>
                <w:b/>
                <w:bCs/>
              </w:rPr>
              <w:t>Birth to 5 months</w:t>
            </w:r>
          </w:p>
        </w:tc>
        <w:tc>
          <w:tcPr>
            <w:tcW w:w="42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32A360A" w14:textId="77777777" w:rsidR="007976B6" w:rsidRPr="00103394" w:rsidRDefault="007976B6">
            <w:pPr>
              <w:pStyle w:val="Body"/>
              <w:jc w:val="center"/>
            </w:pPr>
            <w:r w:rsidRPr="00103394">
              <w:t xml:space="preserve">Normal Human Immunoglobulin 0.2 mL/kg </w:t>
            </w:r>
          </w:p>
        </w:tc>
        <w:tc>
          <w:tcPr>
            <w:tcW w:w="39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67C9B1" w14:textId="77777777" w:rsidR="007976B6" w:rsidRPr="001B120F" w:rsidRDefault="007976B6">
            <w:pPr>
              <w:pStyle w:val="Body"/>
              <w:jc w:val="center"/>
            </w:pPr>
            <w:r w:rsidRPr="001B120F">
              <w:t>Not applicable</w:t>
            </w:r>
          </w:p>
        </w:tc>
        <w:tc>
          <w:tcPr>
            <w:tcW w:w="4234" w:type="dxa"/>
            <w:tcBorders>
              <w:top w:val="single" w:sz="8" w:space="0" w:color="000000" w:themeColor="text1"/>
              <w:left w:val="single" w:sz="8" w:space="0" w:color="000000" w:themeColor="text1"/>
              <w:bottom w:val="single" w:sz="8" w:space="0" w:color="000000" w:themeColor="text1"/>
              <w:right w:val="single" w:sz="4" w:space="0" w:color="auto"/>
            </w:tcBorders>
            <w:vAlign w:val="center"/>
          </w:tcPr>
          <w:p w14:paraId="09B15DA7" w14:textId="77777777" w:rsidR="007976B6" w:rsidRPr="001B120F" w:rsidRDefault="007976B6">
            <w:pPr>
              <w:pStyle w:val="Body"/>
              <w:jc w:val="center"/>
            </w:pPr>
            <w:r w:rsidRPr="001B120F">
              <w:t>Not applicable</w:t>
            </w:r>
          </w:p>
        </w:tc>
      </w:tr>
      <w:tr w:rsidR="007976B6" w:rsidRPr="001B120F" w14:paraId="6D6050AF" w14:textId="77777777" w:rsidTr="00D416BC">
        <w:trPr>
          <w:trHeight w:hRule="exact" w:val="1062"/>
        </w:trPr>
        <w:tc>
          <w:tcPr>
            <w:tcW w:w="2946" w:type="dxa"/>
            <w:tcBorders>
              <w:top w:val="single" w:sz="8" w:space="0" w:color="000000" w:themeColor="text1"/>
              <w:left w:val="single" w:sz="4" w:space="0" w:color="auto"/>
              <w:bottom w:val="single" w:sz="8" w:space="0" w:color="000000" w:themeColor="text1"/>
              <w:right w:val="single" w:sz="8" w:space="0" w:color="000000" w:themeColor="text1"/>
            </w:tcBorders>
            <w:shd w:val="clear" w:color="auto" w:fill="F2F2F2" w:themeFill="background1" w:themeFillShade="F2"/>
            <w:vAlign w:val="center"/>
          </w:tcPr>
          <w:p w14:paraId="00232D14" w14:textId="77777777" w:rsidR="007976B6" w:rsidRPr="001B120F" w:rsidRDefault="007976B6">
            <w:pPr>
              <w:pStyle w:val="Body"/>
              <w:jc w:val="center"/>
              <w:rPr>
                <w:b/>
                <w:bCs/>
              </w:rPr>
            </w:pPr>
            <w:r w:rsidRPr="001B120F">
              <w:rPr>
                <w:b/>
                <w:bCs/>
              </w:rPr>
              <w:t xml:space="preserve">6 </w:t>
            </w:r>
            <w:r w:rsidRPr="00103394">
              <w:rPr>
                <w:b/>
                <w:bCs/>
              </w:rPr>
              <w:t>to 11 months</w:t>
            </w:r>
          </w:p>
        </w:tc>
        <w:tc>
          <w:tcPr>
            <w:tcW w:w="42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85011A" w14:textId="77777777" w:rsidR="007976B6" w:rsidRPr="001B120F" w:rsidRDefault="007976B6">
            <w:pPr>
              <w:pStyle w:val="Body"/>
              <w:jc w:val="center"/>
            </w:pPr>
            <w:r w:rsidRPr="00103394">
              <w:t>MMR now, then repeat dose at 12 months of age or 4 weeks later (whichever is later) and the usual dose at 18 months of age.</w:t>
            </w:r>
          </w:p>
        </w:tc>
        <w:tc>
          <w:tcPr>
            <w:tcW w:w="39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9881C0F" w14:textId="77777777" w:rsidR="007976B6" w:rsidRPr="001B120F" w:rsidRDefault="007976B6">
            <w:pPr>
              <w:pStyle w:val="Body"/>
              <w:jc w:val="center"/>
            </w:pPr>
            <w:r w:rsidRPr="001B120F">
              <w:t>Not applicable</w:t>
            </w:r>
          </w:p>
        </w:tc>
        <w:tc>
          <w:tcPr>
            <w:tcW w:w="4234" w:type="dxa"/>
            <w:tcBorders>
              <w:top w:val="single" w:sz="8" w:space="0" w:color="000000" w:themeColor="text1"/>
              <w:left w:val="single" w:sz="8" w:space="0" w:color="000000" w:themeColor="text1"/>
              <w:bottom w:val="single" w:sz="8" w:space="0" w:color="000000" w:themeColor="text1"/>
              <w:right w:val="single" w:sz="4" w:space="0" w:color="auto"/>
            </w:tcBorders>
            <w:vAlign w:val="center"/>
          </w:tcPr>
          <w:p w14:paraId="25A95CF8" w14:textId="77777777" w:rsidR="007976B6" w:rsidRPr="001B120F" w:rsidRDefault="007976B6">
            <w:pPr>
              <w:pStyle w:val="Body"/>
              <w:jc w:val="center"/>
            </w:pPr>
            <w:r w:rsidRPr="001B120F">
              <w:t>Not applicable</w:t>
            </w:r>
          </w:p>
        </w:tc>
      </w:tr>
      <w:tr w:rsidR="007976B6" w:rsidRPr="001B120F" w14:paraId="4A026D7C" w14:textId="77777777" w:rsidTr="00D416BC">
        <w:trPr>
          <w:trHeight w:hRule="exact" w:val="720"/>
        </w:trPr>
        <w:tc>
          <w:tcPr>
            <w:tcW w:w="2946" w:type="dxa"/>
            <w:tcBorders>
              <w:top w:val="single" w:sz="8" w:space="0" w:color="000000" w:themeColor="text1"/>
              <w:left w:val="single" w:sz="4" w:space="0" w:color="auto"/>
              <w:bottom w:val="single" w:sz="8" w:space="0" w:color="000000" w:themeColor="text1"/>
              <w:right w:val="single" w:sz="8" w:space="0" w:color="000000" w:themeColor="text1"/>
            </w:tcBorders>
            <w:shd w:val="clear" w:color="auto" w:fill="F2F2F2" w:themeFill="background1" w:themeFillShade="F2"/>
            <w:vAlign w:val="center"/>
          </w:tcPr>
          <w:p w14:paraId="23044B6D" w14:textId="77777777" w:rsidR="007976B6" w:rsidRPr="001B120F" w:rsidRDefault="007976B6">
            <w:pPr>
              <w:pStyle w:val="Body"/>
              <w:jc w:val="center"/>
              <w:rPr>
                <w:b/>
                <w:bCs/>
              </w:rPr>
            </w:pPr>
            <w:r w:rsidRPr="001B120F">
              <w:rPr>
                <w:b/>
                <w:bCs/>
              </w:rPr>
              <w:t>12 months to &lt;18 months</w:t>
            </w:r>
          </w:p>
        </w:tc>
        <w:tc>
          <w:tcPr>
            <w:tcW w:w="42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CE6631" w14:textId="77777777" w:rsidR="007976B6" w:rsidRPr="001B120F" w:rsidRDefault="007976B6">
            <w:pPr>
              <w:pStyle w:val="Body"/>
              <w:jc w:val="center"/>
            </w:pPr>
            <w:r w:rsidRPr="001B120F">
              <w:t>MMR</w:t>
            </w:r>
          </w:p>
        </w:tc>
        <w:tc>
          <w:tcPr>
            <w:tcW w:w="39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335E95" w14:textId="77777777" w:rsidR="007976B6" w:rsidRPr="001B120F" w:rsidRDefault="007976B6">
            <w:pPr>
              <w:pStyle w:val="Body"/>
              <w:jc w:val="center"/>
            </w:pPr>
            <w:r w:rsidRPr="001B120F">
              <w:t xml:space="preserve">MMR or </w:t>
            </w:r>
            <w:r w:rsidRPr="00103394">
              <w:t>MMRV (at least 4 weeks after initial dose of MMR)</w:t>
            </w:r>
          </w:p>
        </w:tc>
        <w:tc>
          <w:tcPr>
            <w:tcW w:w="4234" w:type="dxa"/>
            <w:tcBorders>
              <w:top w:val="single" w:sz="8" w:space="0" w:color="000000" w:themeColor="text1"/>
              <w:left w:val="single" w:sz="8" w:space="0" w:color="000000" w:themeColor="text1"/>
              <w:bottom w:val="single" w:sz="8" w:space="0" w:color="000000" w:themeColor="text1"/>
              <w:right w:val="single" w:sz="4" w:space="0" w:color="auto"/>
            </w:tcBorders>
            <w:vAlign w:val="center"/>
          </w:tcPr>
          <w:p w14:paraId="38C072D7" w14:textId="77777777" w:rsidR="007976B6" w:rsidRPr="001B120F" w:rsidRDefault="007976B6">
            <w:pPr>
              <w:pStyle w:val="Body"/>
              <w:jc w:val="center"/>
            </w:pPr>
            <w:r w:rsidRPr="001B120F">
              <w:t>Nil necessary</w:t>
            </w:r>
          </w:p>
        </w:tc>
      </w:tr>
      <w:tr w:rsidR="007976B6" w:rsidRPr="001B120F" w14:paraId="5CDAE511" w14:textId="77777777" w:rsidTr="00D416BC">
        <w:trPr>
          <w:trHeight w:hRule="exact" w:val="2293"/>
        </w:trPr>
        <w:tc>
          <w:tcPr>
            <w:tcW w:w="2946" w:type="dxa"/>
            <w:tcBorders>
              <w:top w:val="single" w:sz="8" w:space="0" w:color="000000" w:themeColor="text1"/>
              <w:left w:val="single" w:sz="4" w:space="0" w:color="auto"/>
              <w:bottom w:val="single" w:sz="8" w:space="0" w:color="000000" w:themeColor="text1"/>
              <w:right w:val="single" w:sz="8" w:space="0" w:color="000000" w:themeColor="text1"/>
            </w:tcBorders>
            <w:shd w:val="clear" w:color="auto" w:fill="F2F2F2" w:themeFill="background1" w:themeFillShade="F2"/>
            <w:vAlign w:val="center"/>
          </w:tcPr>
          <w:p w14:paraId="5A2EFD8B" w14:textId="77777777" w:rsidR="007976B6" w:rsidRPr="001B120F" w:rsidRDefault="007976B6">
            <w:pPr>
              <w:pStyle w:val="Body"/>
              <w:jc w:val="center"/>
              <w:rPr>
                <w:b/>
                <w:bCs/>
              </w:rPr>
            </w:pPr>
            <w:r w:rsidRPr="001B120F">
              <w:rPr>
                <w:b/>
                <w:bCs/>
              </w:rPr>
              <w:t>≥18 months and born after 1965</w:t>
            </w:r>
          </w:p>
        </w:tc>
        <w:tc>
          <w:tcPr>
            <w:tcW w:w="42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C1B2FC" w14:textId="77777777" w:rsidR="007976B6" w:rsidRPr="001B120F" w:rsidRDefault="007976B6">
            <w:pPr>
              <w:pStyle w:val="Body"/>
              <w:jc w:val="center"/>
            </w:pPr>
            <w:r w:rsidRPr="001B120F">
              <w:t>MMR if not pregnant. If pregnant: consult with obstetrician or GP; check IgG if time; offer NHIG (0.2 mL/kg to a maximum of 15 mL)</w:t>
            </w:r>
          </w:p>
        </w:tc>
        <w:tc>
          <w:tcPr>
            <w:tcW w:w="39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FC4031" w14:textId="77777777" w:rsidR="007976B6" w:rsidRPr="001B120F" w:rsidRDefault="007976B6">
            <w:pPr>
              <w:pStyle w:val="Body"/>
              <w:jc w:val="center"/>
            </w:pPr>
            <w:r w:rsidRPr="001B120F">
              <w:t>MMR or MMRV</w:t>
            </w:r>
            <w:r>
              <w:t xml:space="preserve"> (based on age)</w:t>
            </w:r>
            <w:r w:rsidRPr="001B120F">
              <w:t xml:space="preserve"> if not pregnant.</w:t>
            </w:r>
          </w:p>
          <w:p w14:paraId="34377F0E" w14:textId="77777777" w:rsidR="007976B6" w:rsidRPr="001B120F" w:rsidRDefault="007976B6">
            <w:pPr>
              <w:pStyle w:val="Body"/>
              <w:jc w:val="center"/>
            </w:pPr>
            <w:r w:rsidRPr="001B120F">
              <w:t>If pregnant: consult with obstetrician or GP; check IgG if time; offer NHIG (0.2 mL/kg to a maximum of 15 mL)</w:t>
            </w:r>
          </w:p>
        </w:tc>
        <w:tc>
          <w:tcPr>
            <w:tcW w:w="4234" w:type="dxa"/>
            <w:tcBorders>
              <w:top w:val="single" w:sz="8" w:space="0" w:color="000000" w:themeColor="text1"/>
              <w:left w:val="single" w:sz="8" w:space="0" w:color="000000" w:themeColor="text1"/>
              <w:bottom w:val="single" w:sz="8" w:space="0" w:color="000000" w:themeColor="text1"/>
              <w:right w:val="single" w:sz="4" w:space="0" w:color="auto"/>
            </w:tcBorders>
            <w:vAlign w:val="center"/>
          </w:tcPr>
          <w:p w14:paraId="5011FB1A" w14:textId="77777777" w:rsidR="007976B6" w:rsidRPr="001B120F" w:rsidRDefault="007976B6">
            <w:pPr>
              <w:pStyle w:val="Body"/>
              <w:jc w:val="center"/>
            </w:pPr>
            <w:r w:rsidRPr="001B120F">
              <w:t>Nil necessary</w:t>
            </w:r>
          </w:p>
        </w:tc>
      </w:tr>
    </w:tbl>
    <w:p w14:paraId="5492A819" w14:textId="77777777" w:rsidR="007976B6" w:rsidRDefault="007976B6" w:rsidP="007976B6">
      <w:pPr>
        <w:pStyle w:val="Body"/>
      </w:pPr>
      <w:r w:rsidRPr="00103394">
        <w:t xml:space="preserve">*Further information on immunocompromised contacts see section 11 of </w:t>
      </w:r>
      <w:hyperlink r:id="rId34" w:history="1">
        <w:r>
          <w:rPr>
            <w:rStyle w:val="Hyperlink"/>
          </w:rPr>
          <w:t>Measles SoNG (health.gov.au)</w:t>
        </w:r>
      </w:hyperlink>
      <w:r w:rsidRPr="00103394">
        <w:t xml:space="preserve"> </w:t>
      </w:r>
    </w:p>
    <w:p w14:paraId="1947A8A4" w14:textId="77777777" w:rsidR="007976B6" w:rsidRDefault="007976B6" w:rsidP="007976B6">
      <w:pPr>
        <w:pStyle w:val="Body"/>
      </w:pPr>
    </w:p>
    <w:p w14:paraId="6D1D6215" w14:textId="77777777" w:rsidR="007976B6" w:rsidRDefault="007976B6" w:rsidP="007976B6">
      <w:pPr>
        <w:pStyle w:val="Body"/>
      </w:pPr>
    </w:p>
    <w:p w14:paraId="1B48BCE9" w14:textId="77777777" w:rsidR="007976B6" w:rsidRPr="009311A2" w:rsidRDefault="007976B6" w:rsidP="007976B6">
      <w:pPr>
        <w:pStyle w:val="Heading2"/>
        <w:rPr>
          <w:rFonts w:ascii="Arial" w:eastAsia="Arial" w:hAnsi="Arial" w:cs="Arial"/>
          <w:b/>
          <w:bCs/>
        </w:rPr>
      </w:pPr>
      <w:r w:rsidRPr="009311A2">
        <w:rPr>
          <w:rFonts w:ascii="Arial" w:hAnsi="Arial" w:cs="Arial"/>
          <w:b/>
          <w:bCs/>
        </w:rPr>
        <w:lastRenderedPageBreak/>
        <w:t xml:space="preserve">Table 2: Post exposure guidelines – </w:t>
      </w:r>
      <w:r w:rsidRPr="009311A2">
        <w:rPr>
          <w:rFonts w:ascii="Arial" w:hAnsi="Arial" w:cs="Arial"/>
          <w:b/>
          <w:bCs/>
          <w:i/>
        </w:rPr>
        <w:t>73 to 144 hours</w:t>
      </w:r>
      <w:r w:rsidRPr="009311A2">
        <w:rPr>
          <w:rFonts w:ascii="Arial" w:hAnsi="Arial" w:cs="Arial"/>
          <w:b/>
          <w:bCs/>
        </w:rPr>
        <w:t xml:space="preserve"> after first exposure to infectious cases</w:t>
      </w:r>
    </w:p>
    <w:tbl>
      <w:tblPr>
        <w:tblW w:w="15309" w:type="dxa"/>
        <w:tblInd w:w="-577" w:type="dxa"/>
        <w:tblCellMar>
          <w:left w:w="0" w:type="dxa"/>
          <w:right w:w="0" w:type="dxa"/>
        </w:tblCellMar>
        <w:tblLook w:val="01E0" w:firstRow="1" w:lastRow="1" w:firstColumn="1" w:lastColumn="1" w:noHBand="0" w:noVBand="0"/>
      </w:tblPr>
      <w:tblGrid>
        <w:gridCol w:w="2754"/>
        <w:gridCol w:w="3695"/>
        <w:gridCol w:w="3859"/>
        <w:gridCol w:w="5001"/>
      </w:tblGrid>
      <w:tr w:rsidR="007976B6" w14:paraId="4C662ADA" w14:textId="77777777">
        <w:trPr>
          <w:trHeight w:hRule="exact" w:val="497"/>
        </w:trPr>
        <w:tc>
          <w:tcPr>
            <w:tcW w:w="2754" w:type="dxa"/>
            <w:vMerge w:val="restart"/>
            <w:tcBorders>
              <w:top w:val="single" w:sz="8" w:space="0" w:color="000000"/>
              <w:left w:val="single" w:sz="8" w:space="0" w:color="000000"/>
              <w:right w:val="single" w:sz="8" w:space="0" w:color="000000"/>
            </w:tcBorders>
            <w:vAlign w:val="center"/>
          </w:tcPr>
          <w:p w14:paraId="50840518" w14:textId="77777777" w:rsidR="007976B6" w:rsidRPr="00022BFF" w:rsidRDefault="007976B6">
            <w:pPr>
              <w:pStyle w:val="DHHStablebullet"/>
              <w:jc w:val="center"/>
              <w:rPr>
                <w:rFonts w:eastAsia="Arial"/>
                <w:b/>
                <w:bCs/>
                <w:sz w:val="21"/>
                <w:szCs w:val="21"/>
              </w:rPr>
            </w:pPr>
            <w:r w:rsidRPr="00022BFF">
              <w:rPr>
                <w:rFonts w:eastAsia="Arial"/>
                <w:b/>
                <w:bCs/>
                <w:sz w:val="21"/>
                <w:szCs w:val="21"/>
              </w:rPr>
              <w:t>Age or immune status</w:t>
            </w:r>
          </w:p>
        </w:tc>
        <w:tc>
          <w:tcPr>
            <w:tcW w:w="12555" w:type="dxa"/>
            <w:gridSpan w:val="3"/>
            <w:tcBorders>
              <w:top w:val="single" w:sz="8" w:space="0" w:color="000000"/>
              <w:left w:val="single" w:sz="8" w:space="0" w:color="000000"/>
              <w:bottom w:val="single" w:sz="8" w:space="0" w:color="000000"/>
              <w:right w:val="single" w:sz="8" w:space="0" w:color="000000"/>
            </w:tcBorders>
            <w:vAlign w:val="center"/>
          </w:tcPr>
          <w:p w14:paraId="73C44A60" w14:textId="77777777" w:rsidR="007976B6" w:rsidRPr="00022BFF" w:rsidRDefault="007976B6">
            <w:pPr>
              <w:pStyle w:val="DHHStablebullet"/>
              <w:jc w:val="center"/>
              <w:rPr>
                <w:rFonts w:eastAsia="Arial" w:cs="Arial"/>
                <w:b/>
                <w:sz w:val="21"/>
                <w:szCs w:val="21"/>
              </w:rPr>
            </w:pPr>
            <w:r w:rsidRPr="00022BFF">
              <w:rPr>
                <w:rFonts w:eastAsia="Arial" w:cs="Arial"/>
                <w:b/>
                <w:sz w:val="21"/>
                <w:szCs w:val="21"/>
              </w:rPr>
              <w:t>M</w:t>
            </w:r>
            <w:r w:rsidRPr="00022BFF">
              <w:rPr>
                <w:rFonts w:eastAsia="Arial" w:cs="Arial"/>
                <w:b/>
                <w:spacing w:val="-2"/>
                <w:sz w:val="21"/>
                <w:szCs w:val="21"/>
              </w:rPr>
              <w:t>M</w:t>
            </w:r>
            <w:r w:rsidRPr="00022BFF">
              <w:rPr>
                <w:rFonts w:eastAsia="Arial" w:cs="Arial"/>
                <w:b/>
                <w:sz w:val="21"/>
                <w:szCs w:val="21"/>
              </w:rPr>
              <w:t>R</w:t>
            </w:r>
            <w:r w:rsidRPr="00022BFF">
              <w:rPr>
                <w:rFonts w:eastAsia="Arial" w:cs="Arial"/>
                <w:b/>
                <w:spacing w:val="2"/>
                <w:sz w:val="21"/>
                <w:szCs w:val="21"/>
              </w:rPr>
              <w:t xml:space="preserve"> </w:t>
            </w:r>
            <w:r w:rsidRPr="00022BFF">
              <w:rPr>
                <w:rFonts w:eastAsia="Arial" w:cs="Arial"/>
                <w:b/>
                <w:spacing w:val="-3"/>
                <w:sz w:val="21"/>
                <w:szCs w:val="21"/>
              </w:rPr>
              <w:t>v</w:t>
            </w:r>
            <w:r w:rsidRPr="00022BFF">
              <w:rPr>
                <w:rFonts w:eastAsia="Arial" w:cs="Arial"/>
                <w:b/>
                <w:spacing w:val="-1"/>
                <w:sz w:val="21"/>
                <w:szCs w:val="21"/>
              </w:rPr>
              <w:t>a</w:t>
            </w:r>
            <w:r w:rsidRPr="00022BFF">
              <w:rPr>
                <w:rFonts w:eastAsia="Arial" w:cs="Arial"/>
                <w:b/>
                <w:spacing w:val="1"/>
                <w:sz w:val="21"/>
                <w:szCs w:val="21"/>
              </w:rPr>
              <w:t>c</w:t>
            </w:r>
            <w:r w:rsidRPr="00022BFF">
              <w:rPr>
                <w:rFonts w:eastAsia="Arial" w:cs="Arial"/>
                <w:b/>
                <w:spacing w:val="-1"/>
                <w:sz w:val="21"/>
                <w:szCs w:val="21"/>
              </w:rPr>
              <w:t>c</w:t>
            </w:r>
            <w:r w:rsidRPr="00022BFF">
              <w:rPr>
                <w:rFonts w:eastAsia="Arial" w:cs="Arial"/>
                <w:b/>
                <w:spacing w:val="1"/>
                <w:sz w:val="21"/>
                <w:szCs w:val="21"/>
              </w:rPr>
              <w:t>in</w:t>
            </w:r>
            <w:r w:rsidRPr="00022BFF">
              <w:rPr>
                <w:rFonts w:eastAsia="Arial" w:cs="Arial"/>
                <w:b/>
                <w:spacing w:val="-1"/>
                <w:sz w:val="21"/>
                <w:szCs w:val="21"/>
              </w:rPr>
              <w:t>a</w:t>
            </w:r>
            <w:r w:rsidRPr="00022BFF">
              <w:rPr>
                <w:rFonts w:eastAsia="Arial" w:cs="Arial"/>
                <w:b/>
                <w:sz w:val="21"/>
                <w:szCs w:val="21"/>
              </w:rPr>
              <w:t>t</w:t>
            </w:r>
            <w:r w:rsidRPr="00022BFF">
              <w:rPr>
                <w:rFonts w:eastAsia="Arial" w:cs="Arial"/>
                <w:b/>
                <w:spacing w:val="1"/>
                <w:sz w:val="21"/>
                <w:szCs w:val="21"/>
              </w:rPr>
              <w:t>io</w:t>
            </w:r>
            <w:r w:rsidRPr="00022BFF">
              <w:rPr>
                <w:rFonts w:eastAsia="Arial" w:cs="Arial"/>
                <w:b/>
                <w:sz w:val="21"/>
                <w:szCs w:val="21"/>
              </w:rPr>
              <w:t>n</w:t>
            </w:r>
            <w:r w:rsidRPr="00022BFF">
              <w:rPr>
                <w:rFonts w:eastAsia="Arial" w:cs="Arial"/>
                <w:b/>
                <w:spacing w:val="-1"/>
                <w:sz w:val="21"/>
                <w:szCs w:val="21"/>
              </w:rPr>
              <w:t xml:space="preserve"> </w:t>
            </w:r>
            <w:r w:rsidRPr="00022BFF">
              <w:rPr>
                <w:rFonts w:eastAsia="Arial" w:cs="Arial"/>
                <w:b/>
                <w:spacing w:val="1"/>
                <w:sz w:val="21"/>
                <w:szCs w:val="21"/>
              </w:rPr>
              <w:t>hi</w:t>
            </w:r>
            <w:r w:rsidRPr="00022BFF">
              <w:rPr>
                <w:rFonts w:eastAsia="Arial" w:cs="Arial"/>
                <w:b/>
                <w:spacing w:val="-1"/>
                <w:sz w:val="21"/>
                <w:szCs w:val="21"/>
              </w:rPr>
              <w:t>s</w:t>
            </w:r>
            <w:r w:rsidRPr="00022BFF">
              <w:rPr>
                <w:rFonts w:eastAsia="Arial" w:cs="Arial"/>
                <w:b/>
                <w:spacing w:val="-2"/>
                <w:sz w:val="21"/>
                <w:szCs w:val="21"/>
              </w:rPr>
              <w:t>t</w:t>
            </w:r>
            <w:r w:rsidRPr="00022BFF">
              <w:rPr>
                <w:rFonts w:eastAsia="Arial" w:cs="Arial"/>
                <w:b/>
                <w:spacing w:val="1"/>
                <w:sz w:val="21"/>
                <w:szCs w:val="21"/>
              </w:rPr>
              <w:t>o</w:t>
            </w:r>
            <w:r w:rsidRPr="00022BFF">
              <w:rPr>
                <w:rFonts w:eastAsia="Arial" w:cs="Arial"/>
                <w:b/>
                <w:spacing w:val="2"/>
                <w:sz w:val="21"/>
                <w:szCs w:val="21"/>
              </w:rPr>
              <w:t>r</w:t>
            </w:r>
            <w:r w:rsidRPr="00022BFF">
              <w:rPr>
                <w:rFonts w:eastAsia="Arial" w:cs="Arial"/>
                <w:b/>
                <w:sz w:val="21"/>
                <w:szCs w:val="21"/>
              </w:rPr>
              <w:t>y</w:t>
            </w:r>
          </w:p>
        </w:tc>
      </w:tr>
      <w:tr w:rsidR="007976B6" w14:paraId="4530D681" w14:textId="77777777">
        <w:trPr>
          <w:trHeight w:hRule="exact" w:val="670"/>
        </w:trPr>
        <w:tc>
          <w:tcPr>
            <w:tcW w:w="2754" w:type="dxa"/>
            <w:vMerge/>
            <w:tcBorders>
              <w:left w:val="single" w:sz="8" w:space="0" w:color="000000"/>
              <w:bottom w:val="single" w:sz="8" w:space="0" w:color="000000"/>
              <w:right w:val="single" w:sz="8" w:space="0" w:color="000000"/>
            </w:tcBorders>
            <w:vAlign w:val="center"/>
          </w:tcPr>
          <w:p w14:paraId="0686CF48" w14:textId="77777777" w:rsidR="007976B6" w:rsidRPr="00022BFF" w:rsidRDefault="007976B6">
            <w:pPr>
              <w:pStyle w:val="DHHStablebullet"/>
              <w:jc w:val="center"/>
              <w:rPr>
                <w:b/>
                <w:bCs/>
                <w:sz w:val="21"/>
                <w:szCs w:val="21"/>
              </w:rPr>
            </w:pPr>
          </w:p>
        </w:tc>
        <w:tc>
          <w:tcPr>
            <w:tcW w:w="3695"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7CCAA7B6" w14:textId="77777777" w:rsidR="007976B6" w:rsidRPr="00022BFF" w:rsidRDefault="007976B6">
            <w:pPr>
              <w:pStyle w:val="DHHStablebullet"/>
              <w:jc w:val="center"/>
              <w:rPr>
                <w:rFonts w:eastAsia="Arial" w:cs="Arial"/>
                <w:b/>
                <w:sz w:val="21"/>
                <w:szCs w:val="21"/>
              </w:rPr>
            </w:pPr>
            <w:r w:rsidRPr="00022BFF">
              <w:rPr>
                <w:rFonts w:eastAsia="Arial" w:cs="Arial"/>
                <w:b/>
                <w:sz w:val="21"/>
                <w:szCs w:val="21"/>
              </w:rPr>
              <w:t xml:space="preserve">0 </w:t>
            </w:r>
            <w:r w:rsidRPr="00022BFF">
              <w:rPr>
                <w:rFonts w:eastAsia="Arial" w:cs="Arial"/>
                <w:b/>
                <w:spacing w:val="1"/>
                <w:sz w:val="21"/>
                <w:szCs w:val="21"/>
              </w:rPr>
              <w:t>do</w:t>
            </w:r>
            <w:r w:rsidRPr="00022BFF">
              <w:rPr>
                <w:rFonts w:eastAsia="Arial" w:cs="Arial"/>
                <w:b/>
                <w:spacing w:val="-1"/>
                <w:sz w:val="21"/>
                <w:szCs w:val="21"/>
              </w:rPr>
              <w:t>se</w:t>
            </w:r>
            <w:r w:rsidRPr="00022BFF">
              <w:rPr>
                <w:rFonts w:eastAsia="Arial" w:cs="Arial"/>
                <w:b/>
                <w:sz w:val="21"/>
                <w:szCs w:val="21"/>
              </w:rPr>
              <w:t xml:space="preserve">s </w:t>
            </w:r>
            <w:r w:rsidRPr="00022BFF">
              <w:rPr>
                <w:rFonts w:eastAsia="Arial" w:cs="Arial"/>
                <w:b/>
                <w:spacing w:val="-2"/>
                <w:sz w:val="21"/>
                <w:szCs w:val="21"/>
              </w:rPr>
              <w:t>MM</w:t>
            </w:r>
            <w:r w:rsidRPr="00022BFF">
              <w:rPr>
                <w:rFonts w:eastAsia="Arial" w:cs="Arial"/>
                <w:b/>
                <w:sz w:val="21"/>
                <w:szCs w:val="21"/>
              </w:rPr>
              <w:t xml:space="preserve">R </w:t>
            </w:r>
            <w:r w:rsidRPr="00022BFF">
              <w:rPr>
                <w:rFonts w:eastAsia="Arial" w:cs="Arial"/>
                <w:b/>
                <w:spacing w:val="1"/>
                <w:sz w:val="21"/>
                <w:szCs w:val="21"/>
              </w:rPr>
              <w:t>o</w:t>
            </w:r>
            <w:r w:rsidRPr="00022BFF">
              <w:rPr>
                <w:rFonts w:eastAsia="Arial" w:cs="Arial"/>
                <w:b/>
                <w:sz w:val="21"/>
                <w:szCs w:val="21"/>
              </w:rPr>
              <w:t xml:space="preserve">r </w:t>
            </w:r>
            <w:r w:rsidRPr="00022BFF">
              <w:rPr>
                <w:rFonts w:eastAsia="Arial" w:cs="Arial"/>
                <w:b/>
                <w:spacing w:val="1"/>
                <w:sz w:val="21"/>
                <w:szCs w:val="21"/>
              </w:rPr>
              <w:t>un</w:t>
            </w:r>
            <w:r w:rsidRPr="00022BFF">
              <w:rPr>
                <w:rFonts w:eastAsia="Arial" w:cs="Arial"/>
                <w:b/>
                <w:spacing w:val="-1"/>
                <w:sz w:val="21"/>
                <w:szCs w:val="21"/>
              </w:rPr>
              <w:t>k</w:t>
            </w:r>
            <w:r w:rsidRPr="00022BFF">
              <w:rPr>
                <w:rFonts w:eastAsia="Arial" w:cs="Arial"/>
                <w:b/>
                <w:spacing w:val="-2"/>
                <w:sz w:val="21"/>
                <w:szCs w:val="21"/>
              </w:rPr>
              <w:t>no</w:t>
            </w:r>
            <w:r w:rsidRPr="00022BFF">
              <w:rPr>
                <w:rFonts w:eastAsia="Arial" w:cs="Arial"/>
                <w:b/>
                <w:spacing w:val="3"/>
                <w:sz w:val="21"/>
                <w:szCs w:val="21"/>
              </w:rPr>
              <w:t>w</w:t>
            </w:r>
            <w:r w:rsidRPr="00022BFF">
              <w:rPr>
                <w:rFonts w:eastAsia="Arial" w:cs="Arial"/>
                <w:b/>
                <w:sz w:val="21"/>
                <w:szCs w:val="21"/>
              </w:rPr>
              <w:t>n</w:t>
            </w:r>
          </w:p>
        </w:tc>
        <w:tc>
          <w:tcPr>
            <w:tcW w:w="3859"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0590F7EB" w14:textId="77777777" w:rsidR="007976B6" w:rsidRPr="00022BFF" w:rsidRDefault="007976B6">
            <w:pPr>
              <w:pStyle w:val="DHHStablebullet"/>
              <w:jc w:val="center"/>
              <w:rPr>
                <w:rFonts w:eastAsia="Arial" w:cs="Arial"/>
                <w:b/>
                <w:sz w:val="21"/>
                <w:szCs w:val="21"/>
              </w:rPr>
            </w:pPr>
            <w:r w:rsidRPr="00022BFF">
              <w:rPr>
                <w:rFonts w:eastAsia="Arial" w:cs="Arial"/>
                <w:b/>
                <w:sz w:val="21"/>
                <w:szCs w:val="21"/>
              </w:rPr>
              <w:t xml:space="preserve">1 </w:t>
            </w:r>
            <w:r w:rsidRPr="00022BFF">
              <w:rPr>
                <w:rFonts w:eastAsia="Arial" w:cs="Arial"/>
                <w:b/>
                <w:spacing w:val="1"/>
                <w:sz w:val="21"/>
                <w:szCs w:val="21"/>
              </w:rPr>
              <w:t>do</w:t>
            </w:r>
            <w:r w:rsidRPr="00022BFF">
              <w:rPr>
                <w:rFonts w:eastAsia="Arial" w:cs="Arial"/>
                <w:b/>
                <w:spacing w:val="-1"/>
                <w:sz w:val="21"/>
                <w:szCs w:val="21"/>
              </w:rPr>
              <w:t>s</w:t>
            </w:r>
            <w:r w:rsidRPr="00022BFF">
              <w:rPr>
                <w:rFonts w:eastAsia="Arial" w:cs="Arial"/>
                <w:b/>
                <w:sz w:val="21"/>
                <w:szCs w:val="21"/>
              </w:rPr>
              <w:t xml:space="preserve">e </w:t>
            </w:r>
            <w:r w:rsidRPr="00022BFF">
              <w:rPr>
                <w:rFonts w:eastAsia="Arial" w:cs="Arial"/>
                <w:b/>
                <w:spacing w:val="-2"/>
                <w:sz w:val="21"/>
                <w:szCs w:val="21"/>
              </w:rPr>
              <w:t>MM</w:t>
            </w:r>
            <w:r w:rsidRPr="00022BFF">
              <w:rPr>
                <w:rFonts w:eastAsia="Arial" w:cs="Arial"/>
                <w:b/>
                <w:sz w:val="21"/>
                <w:szCs w:val="21"/>
              </w:rPr>
              <w:t>R</w:t>
            </w:r>
          </w:p>
        </w:tc>
        <w:tc>
          <w:tcPr>
            <w:tcW w:w="5001"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25839D28" w14:textId="77777777" w:rsidR="007976B6" w:rsidRPr="00022BFF" w:rsidRDefault="007976B6">
            <w:pPr>
              <w:pStyle w:val="DHHStablebullet"/>
              <w:jc w:val="center"/>
              <w:rPr>
                <w:rFonts w:eastAsia="Arial" w:cs="Arial"/>
                <w:b/>
                <w:sz w:val="21"/>
                <w:szCs w:val="21"/>
              </w:rPr>
            </w:pPr>
            <w:r w:rsidRPr="00022BFF">
              <w:rPr>
                <w:rFonts w:eastAsia="Arial" w:cs="Arial"/>
                <w:b/>
                <w:sz w:val="21"/>
                <w:szCs w:val="21"/>
              </w:rPr>
              <w:t xml:space="preserve">2 </w:t>
            </w:r>
            <w:r w:rsidRPr="00022BFF">
              <w:rPr>
                <w:rFonts w:eastAsia="Arial" w:cs="Arial"/>
                <w:b/>
                <w:spacing w:val="1"/>
                <w:sz w:val="21"/>
                <w:szCs w:val="21"/>
              </w:rPr>
              <w:t>do</w:t>
            </w:r>
            <w:r w:rsidRPr="00022BFF">
              <w:rPr>
                <w:rFonts w:eastAsia="Arial" w:cs="Arial"/>
                <w:b/>
                <w:spacing w:val="-1"/>
                <w:sz w:val="21"/>
                <w:szCs w:val="21"/>
              </w:rPr>
              <w:t>se</w:t>
            </w:r>
            <w:r w:rsidRPr="00022BFF">
              <w:rPr>
                <w:rFonts w:eastAsia="Arial" w:cs="Arial"/>
                <w:b/>
                <w:sz w:val="21"/>
                <w:szCs w:val="21"/>
              </w:rPr>
              <w:t xml:space="preserve">s </w:t>
            </w:r>
            <w:r w:rsidRPr="00022BFF">
              <w:rPr>
                <w:rFonts w:eastAsia="Arial" w:cs="Arial"/>
                <w:b/>
                <w:spacing w:val="-2"/>
                <w:sz w:val="21"/>
                <w:szCs w:val="21"/>
              </w:rPr>
              <w:t>MM</w:t>
            </w:r>
            <w:r w:rsidRPr="00022BFF">
              <w:rPr>
                <w:rFonts w:eastAsia="Arial" w:cs="Arial"/>
                <w:b/>
                <w:sz w:val="21"/>
                <w:szCs w:val="21"/>
              </w:rPr>
              <w:t>R</w:t>
            </w:r>
          </w:p>
        </w:tc>
      </w:tr>
      <w:tr w:rsidR="007976B6" w14:paraId="1CC47886" w14:textId="77777777">
        <w:trPr>
          <w:trHeight w:hRule="exact" w:val="880"/>
        </w:trPr>
        <w:tc>
          <w:tcPr>
            <w:tcW w:w="2754"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7DA1FDEF" w14:textId="61EADCE8" w:rsidR="007976B6" w:rsidRPr="00022BFF" w:rsidRDefault="007976B6">
            <w:pPr>
              <w:pStyle w:val="DHHStablebullet"/>
              <w:jc w:val="center"/>
              <w:rPr>
                <w:rFonts w:eastAsia="Arial"/>
                <w:b/>
                <w:bCs/>
                <w:sz w:val="21"/>
                <w:szCs w:val="21"/>
              </w:rPr>
            </w:pPr>
            <w:r w:rsidRPr="00022BFF">
              <w:rPr>
                <w:rFonts w:eastAsia="Arial"/>
                <w:b/>
                <w:bCs/>
                <w:sz w:val="21"/>
                <w:szCs w:val="21"/>
              </w:rPr>
              <w:t>Immuno</w:t>
            </w:r>
            <w:r w:rsidR="001D1BC6">
              <w:rPr>
                <w:rFonts w:eastAsia="Arial"/>
                <w:b/>
                <w:bCs/>
                <w:sz w:val="21"/>
                <w:szCs w:val="21"/>
              </w:rPr>
              <w:t>compromised</w:t>
            </w:r>
            <w:r w:rsidRPr="00022BFF">
              <w:rPr>
                <w:rFonts w:eastAsia="Arial"/>
                <w:b/>
                <w:bCs/>
                <w:sz w:val="21"/>
                <w:szCs w:val="21"/>
              </w:rPr>
              <w:t xml:space="preserve"> (any age)</w:t>
            </w:r>
            <w:r>
              <w:rPr>
                <w:rFonts w:eastAsia="Arial"/>
                <w:b/>
                <w:bCs/>
                <w:sz w:val="21"/>
                <w:szCs w:val="21"/>
              </w:rPr>
              <w:t>*</w:t>
            </w:r>
          </w:p>
        </w:tc>
        <w:tc>
          <w:tcPr>
            <w:tcW w:w="3695" w:type="dxa"/>
            <w:tcBorders>
              <w:top w:val="single" w:sz="8" w:space="0" w:color="000000"/>
              <w:left w:val="single" w:sz="8" w:space="0" w:color="000000"/>
              <w:bottom w:val="single" w:sz="8" w:space="0" w:color="000000"/>
              <w:right w:val="single" w:sz="8" w:space="0" w:color="000000"/>
            </w:tcBorders>
            <w:vAlign w:val="center"/>
          </w:tcPr>
          <w:p w14:paraId="4A97A951" w14:textId="77777777" w:rsidR="007976B6" w:rsidRPr="00022BFF" w:rsidRDefault="007976B6">
            <w:pPr>
              <w:pStyle w:val="Body"/>
              <w:jc w:val="center"/>
              <w:rPr>
                <w:szCs w:val="21"/>
              </w:rPr>
            </w:pPr>
            <w:r w:rsidRPr="00022BFF">
              <w:rPr>
                <w:szCs w:val="21"/>
              </w:rPr>
              <w:t>No</w:t>
            </w:r>
            <w:r w:rsidRPr="00022BFF">
              <w:rPr>
                <w:spacing w:val="1"/>
                <w:szCs w:val="21"/>
              </w:rPr>
              <w:t>r</w:t>
            </w:r>
            <w:r w:rsidRPr="00022BFF">
              <w:rPr>
                <w:spacing w:val="4"/>
                <w:szCs w:val="21"/>
              </w:rPr>
              <w:t>m</w:t>
            </w:r>
            <w:r w:rsidRPr="00022BFF">
              <w:rPr>
                <w:szCs w:val="21"/>
              </w:rPr>
              <w:t>al</w:t>
            </w:r>
            <w:r w:rsidRPr="00022BFF">
              <w:rPr>
                <w:spacing w:val="-7"/>
                <w:szCs w:val="21"/>
              </w:rPr>
              <w:t xml:space="preserve"> </w:t>
            </w:r>
            <w:r w:rsidRPr="00022BFF">
              <w:rPr>
                <w:w w:val="99"/>
                <w:szCs w:val="21"/>
              </w:rPr>
              <w:t>Hu</w:t>
            </w:r>
            <w:r w:rsidRPr="00022BFF">
              <w:rPr>
                <w:spacing w:val="4"/>
                <w:w w:val="99"/>
                <w:szCs w:val="21"/>
              </w:rPr>
              <w:t>m</w:t>
            </w:r>
            <w:r w:rsidRPr="00022BFF">
              <w:rPr>
                <w:w w:val="99"/>
                <w:szCs w:val="21"/>
              </w:rPr>
              <w:t xml:space="preserve">an </w:t>
            </w:r>
            <w:r w:rsidRPr="00022BFF">
              <w:rPr>
                <w:szCs w:val="21"/>
              </w:rPr>
              <w:t>I</w:t>
            </w:r>
            <w:r w:rsidRPr="00022BFF">
              <w:rPr>
                <w:spacing w:val="2"/>
                <w:szCs w:val="21"/>
              </w:rPr>
              <w:t>mm</w:t>
            </w:r>
            <w:r w:rsidRPr="00022BFF">
              <w:rPr>
                <w:szCs w:val="21"/>
              </w:rPr>
              <w:t>unog</w:t>
            </w:r>
            <w:r w:rsidRPr="00022BFF">
              <w:rPr>
                <w:spacing w:val="-1"/>
                <w:szCs w:val="21"/>
              </w:rPr>
              <w:t>l</w:t>
            </w:r>
            <w:r w:rsidRPr="00022BFF">
              <w:rPr>
                <w:spacing w:val="2"/>
                <w:szCs w:val="21"/>
              </w:rPr>
              <w:t>o</w:t>
            </w:r>
            <w:r w:rsidRPr="00022BFF">
              <w:rPr>
                <w:szCs w:val="21"/>
              </w:rPr>
              <w:t>bu</w:t>
            </w:r>
            <w:r w:rsidRPr="00022BFF">
              <w:rPr>
                <w:spacing w:val="1"/>
                <w:szCs w:val="21"/>
              </w:rPr>
              <w:t>l</w:t>
            </w:r>
            <w:r w:rsidRPr="00022BFF">
              <w:rPr>
                <w:spacing w:val="-1"/>
                <w:szCs w:val="21"/>
              </w:rPr>
              <w:t>i</w:t>
            </w:r>
            <w:r w:rsidRPr="00022BFF">
              <w:rPr>
                <w:szCs w:val="21"/>
              </w:rPr>
              <w:t>n</w:t>
            </w:r>
            <w:r w:rsidRPr="00022BFF">
              <w:rPr>
                <w:spacing w:val="-12"/>
                <w:szCs w:val="21"/>
              </w:rPr>
              <w:t xml:space="preserve"> </w:t>
            </w:r>
            <w:r w:rsidRPr="00022BFF">
              <w:rPr>
                <w:szCs w:val="21"/>
              </w:rPr>
              <w:t>0.5</w:t>
            </w:r>
            <w:r w:rsidRPr="00022BFF">
              <w:rPr>
                <w:spacing w:val="-1"/>
                <w:szCs w:val="21"/>
              </w:rPr>
              <w:t xml:space="preserve"> </w:t>
            </w:r>
            <w:r w:rsidRPr="00022BFF">
              <w:rPr>
                <w:spacing w:val="4"/>
                <w:w w:val="99"/>
                <w:szCs w:val="21"/>
              </w:rPr>
              <w:t>m</w:t>
            </w:r>
            <w:r w:rsidRPr="00022BFF">
              <w:rPr>
                <w:w w:val="99"/>
                <w:szCs w:val="21"/>
              </w:rPr>
              <w:t>L</w:t>
            </w:r>
            <w:r w:rsidRPr="00022BFF">
              <w:rPr>
                <w:spacing w:val="-3"/>
                <w:w w:val="99"/>
                <w:szCs w:val="21"/>
              </w:rPr>
              <w:t>/</w:t>
            </w:r>
            <w:r w:rsidRPr="00022BFF">
              <w:rPr>
                <w:spacing w:val="4"/>
                <w:w w:val="99"/>
                <w:szCs w:val="21"/>
              </w:rPr>
              <w:t>k</w:t>
            </w:r>
            <w:r w:rsidRPr="00022BFF">
              <w:rPr>
                <w:w w:val="99"/>
                <w:szCs w:val="21"/>
              </w:rPr>
              <w:t xml:space="preserve">g </w:t>
            </w:r>
            <w:r w:rsidRPr="00022BFF">
              <w:rPr>
                <w:szCs w:val="21"/>
              </w:rPr>
              <w:t>to</w:t>
            </w:r>
            <w:r w:rsidRPr="00022BFF">
              <w:rPr>
                <w:spacing w:val="-3"/>
                <w:szCs w:val="21"/>
              </w:rPr>
              <w:t xml:space="preserve"> </w:t>
            </w:r>
            <w:r w:rsidRPr="00022BFF">
              <w:rPr>
                <w:spacing w:val="4"/>
                <w:szCs w:val="21"/>
              </w:rPr>
              <w:t>m</w:t>
            </w:r>
            <w:r w:rsidRPr="00022BFF">
              <w:rPr>
                <w:szCs w:val="21"/>
              </w:rPr>
              <w:t>ax</w:t>
            </w:r>
            <w:r w:rsidRPr="00022BFF">
              <w:rPr>
                <w:spacing w:val="-3"/>
                <w:szCs w:val="21"/>
              </w:rPr>
              <w:t xml:space="preserve"> </w:t>
            </w:r>
            <w:r w:rsidRPr="00022BFF">
              <w:rPr>
                <w:szCs w:val="21"/>
              </w:rPr>
              <w:t>of 15</w:t>
            </w:r>
            <w:r w:rsidRPr="00022BFF">
              <w:rPr>
                <w:spacing w:val="-5"/>
                <w:szCs w:val="21"/>
              </w:rPr>
              <w:t xml:space="preserve"> </w:t>
            </w:r>
            <w:r w:rsidRPr="00022BFF">
              <w:rPr>
                <w:spacing w:val="4"/>
                <w:w w:val="99"/>
                <w:szCs w:val="21"/>
              </w:rPr>
              <w:t>m</w:t>
            </w:r>
            <w:r w:rsidRPr="00022BFF">
              <w:rPr>
                <w:w w:val="99"/>
                <w:szCs w:val="21"/>
              </w:rPr>
              <w:t>L</w:t>
            </w:r>
          </w:p>
        </w:tc>
        <w:tc>
          <w:tcPr>
            <w:tcW w:w="3859" w:type="dxa"/>
            <w:tcBorders>
              <w:top w:val="single" w:sz="8" w:space="0" w:color="000000"/>
              <w:left w:val="single" w:sz="8" w:space="0" w:color="000000"/>
              <w:bottom w:val="single" w:sz="8" w:space="0" w:color="000000"/>
              <w:right w:val="single" w:sz="8" w:space="0" w:color="000000"/>
            </w:tcBorders>
            <w:vAlign w:val="center"/>
          </w:tcPr>
          <w:p w14:paraId="37476D0E" w14:textId="77777777" w:rsidR="007976B6" w:rsidRPr="00FE26AE" w:rsidRDefault="007976B6">
            <w:pPr>
              <w:pStyle w:val="Body"/>
              <w:jc w:val="center"/>
            </w:pPr>
            <w:r w:rsidRPr="00FE26AE">
              <w:t>No</w:t>
            </w:r>
            <w:r w:rsidRPr="00FE26AE">
              <w:rPr>
                <w:spacing w:val="1"/>
              </w:rPr>
              <w:t>r</w:t>
            </w:r>
            <w:r w:rsidRPr="00FE26AE">
              <w:rPr>
                <w:spacing w:val="4"/>
              </w:rPr>
              <w:t>m</w:t>
            </w:r>
            <w:r w:rsidRPr="00FE26AE">
              <w:t>al</w:t>
            </w:r>
            <w:r w:rsidRPr="00FE26AE">
              <w:rPr>
                <w:spacing w:val="-7"/>
              </w:rPr>
              <w:t xml:space="preserve"> </w:t>
            </w:r>
            <w:r w:rsidRPr="00FE26AE">
              <w:rPr>
                <w:w w:val="99"/>
              </w:rPr>
              <w:t>Hu</w:t>
            </w:r>
            <w:r w:rsidRPr="00FE26AE">
              <w:rPr>
                <w:spacing w:val="4"/>
                <w:w w:val="99"/>
              </w:rPr>
              <w:t>m</w:t>
            </w:r>
            <w:r w:rsidRPr="00FE26AE">
              <w:rPr>
                <w:w w:val="99"/>
              </w:rPr>
              <w:t xml:space="preserve">an </w:t>
            </w:r>
            <w:r w:rsidRPr="00FE26AE">
              <w:t>I</w:t>
            </w:r>
            <w:r w:rsidRPr="00FE26AE">
              <w:rPr>
                <w:spacing w:val="2"/>
              </w:rPr>
              <w:t>mm</w:t>
            </w:r>
            <w:r w:rsidRPr="00FE26AE">
              <w:t>unog</w:t>
            </w:r>
            <w:r w:rsidRPr="00FE26AE">
              <w:rPr>
                <w:spacing w:val="-1"/>
              </w:rPr>
              <w:t>l</w:t>
            </w:r>
            <w:r w:rsidRPr="00FE26AE">
              <w:rPr>
                <w:spacing w:val="2"/>
              </w:rPr>
              <w:t>o</w:t>
            </w:r>
            <w:r w:rsidRPr="00FE26AE">
              <w:t>bu</w:t>
            </w:r>
            <w:r w:rsidRPr="00FE26AE">
              <w:rPr>
                <w:spacing w:val="1"/>
              </w:rPr>
              <w:t>l</w:t>
            </w:r>
            <w:r w:rsidRPr="00FE26AE">
              <w:rPr>
                <w:spacing w:val="-1"/>
              </w:rPr>
              <w:t>i</w:t>
            </w:r>
            <w:r w:rsidRPr="00FE26AE">
              <w:t>n</w:t>
            </w:r>
            <w:r w:rsidRPr="00FE26AE">
              <w:rPr>
                <w:spacing w:val="-12"/>
              </w:rPr>
              <w:t xml:space="preserve"> </w:t>
            </w:r>
            <w:r w:rsidRPr="00FE26AE">
              <w:t>0.5</w:t>
            </w:r>
            <w:r w:rsidRPr="00FE26AE">
              <w:rPr>
                <w:spacing w:val="-1"/>
              </w:rPr>
              <w:t xml:space="preserve"> </w:t>
            </w:r>
            <w:r w:rsidRPr="00FE26AE">
              <w:rPr>
                <w:spacing w:val="4"/>
              </w:rPr>
              <w:t>m</w:t>
            </w:r>
            <w:r w:rsidRPr="00FE26AE">
              <w:t>L</w:t>
            </w:r>
            <w:r w:rsidRPr="00FE26AE">
              <w:rPr>
                <w:spacing w:val="-3"/>
              </w:rPr>
              <w:t>/</w:t>
            </w:r>
            <w:r w:rsidRPr="00FE26AE">
              <w:rPr>
                <w:spacing w:val="4"/>
              </w:rPr>
              <w:t>k</w:t>
            </w:r>
            <w:r w:rsidRPr="00FE26AE">
              <w:t>g</w:t>
            </w:r>
            <w:r w:rsidRPr="00FE26AE">
              <w:rPr>
                <w:spacing w:val="-6"/>
              </w:rPr>
              <w:t xml:space="preserve"> </w:t>
            </w:r>
            <w:r w:rsidRPr="00FE26AE">
              <w:rPr>
                <w:w w:val="99"/>
              </w:rPr>
              <w:t xml:space="preserve">to </w:t>
            </w:r>
            <w:r w:rsidRPr="00FE26AE">
              <w:rPr>
                <w:spacing w:val="4"/>
              </w:rPr>
              <w:t>m</w:t>
            </w:r>
            <w:r w:rsidRPr="00FE26AE">
              <w:rPr>
                <w:spacing w:val="-3"/>
              </w:rPr>
              <w:t>a</w:t>
            </w:r>
            <w:r w:rsidRPr="00FE26AE">
              <w:t>x</w:t>
            </w:r>
            <w:r w:rsidRPr="00FE26AE">
              <w:rPr>
                <w:spacing w:val="-3"/>
              </w:rPr>
              <w:t xml:space="preserve"> </w:t>
            </w:r>
            <w:r w:rsidRPr="00FE26AE">
              <w:t>of 15</w:t>
            </w:r>
            <w:r w:rsidRPr="00FE26AE">
              <w:rPr>
                <w:spacing w:val="-3"/>
              </w:rPr>
              <w:t xml:space="preserve"> </w:t>
            </w:r>
            <w:r w:rsidRPr="00FE26AE">
              <w:rPr>
                <w:spacing w:val="4"/>
                <w:w w:val="99"/>
              </w:rPr>
              <w:t>m</w:t>
            </w:r>
            <w:r w:rsidRPr="00FE26AE">
              <w:rPr>
                <w:w w:val="99"/>
              </w:rPr>
              <w:t>L</w:t>
            </w:r>
          </w:p>
        </w:tc>
        <w:tc>
          <w:tcPr>
            <w:tcW w:w="5001" w:type="dxa"/>
            <w:tcBorders>
              <w:top w:val="single" w:sz="8" w:space="0" w:color="000000"/>
              <w:left w:val="single" w:sz="8" w:space="0" w:color="000000"/>
              <w:bottom w:val="single" w:sz="8" w:space="0" w:color="000000"/>
              <w:right w:val="single" w:sz="8" w:space="0" w:color="000000"/>
            </w:tcBorders>
            <w:vAlign w:val="center"/>
          </w:tcPr>
          <w:p w14:paraId="4A2F89C0" w14:textId="77777777" w:rsidR="007976B6" w:rsidRPr="00FE26AE" w:rsidRDefault="007976B6">
            <w:pPr>
              <w:pStyle w:val="Body"/>
              <w:jc w:val="center"/>
            </w:pPr>
            <w:r w:rsidRPr="00FE26AE">
              <w:t>No</w:t>
            </w:r>
            <w:r w:rsidRPr="00FE26AE">
              <w:rPr>
                <w:spacing w:val="1"/>
              </w:rPr>
              <w:t>r</w:t>
            </w:r>
            <w:r w:rsidRPr="00FE26AE">
              <w:rPr>
                <w:spacing w:val="4"/>
              </w:rPr>
              <w:t>m</w:t>
            </w:r>
            <w:r w:rsidRPr="00FE26AE">
              <w:t>al</w:t>
            </w:r>
            <w:r w:rsidRPr="00FE26AE">
              <w:rPr>
                <w:spacing w:val="-7"/>
              </w:rPr>
              <w:t xml:space="preserve"> </w:t>
            </w:r>
            <w:r w:rsidRPr="00FE26AE">
              <w:rPr>
                <w:w w:val="99"/>
              </w:rPr>
              <w:t>Hu</w:t>
            </w:r>
            <w:r w:rsidRPr="00FE26AE">
              <w:rPr>
                <w:spacing w:val="4"/>
                <w:w w:val="99"/>
              </w:rPr>
              <w:t>m</w:t>
            </w:r>
            <w:r w:rsidRPr="00FE26AE">
              <w:rPr>
                <w:w w:val="99"/>
              </w:rPr>
              <w:t xml:space="preserve">an </w:t>
            </w:r>
            <w:r w:rsidRPr="00FE26AE">
              <w:t>I</w:t>
            </w:r>
            <w:r w:rsidRPr="00FE26AE">
              <w:rPr>
                <w:spacing w:val="2"/>
              </w:rPr>
              <w:t>mm</w:t>
            </w:r>
            <w:r w:rsidRPr="00FE26AE">
              <w:t>unog</w:t>
            </w:r>
            <w:r w:rsidRPr="00FE26AE">
              <w:rPr>
                <w:spacing w:val="-1"/>
              </w:rPr>
              <w:t>l</w:t>
            </w:r>
            <w:r w:rsidRPr="00FE26AE">
              <w:rPr>
                <w:spacing w:val="2"/>
              </w:rPr>
              <w:t>o</w:t>
            </w:r>
            <w:r w:rsidRPr="00FE26AE">
              <w:t>bu</w:t>
            </w:r>
            <w:r w:rsidRPr="00FE26AE">
              <w:rPr>
                <w:spacing w:val="1"/>
              </w:rPr>
              <w:t>l</w:t>
            </w:r>
            <w:r w:rsidRPr="00FE26AE">
              <w:rPr>
                <w:spacing w:val="-1"/>
              </w:rPr>
              <w:t>i</w:t>
            </w:r>
            <w:r w:rsidRPr="00FE26AE">
              <w:t>n</w:t>
            </w:r>
            <w:r w:rsidRPr="00FE26AE">
              <w:rPr>
                <w:spacing w:val="-12"/>
              </w:rPr>
              <w:t xml:space="preserve"> </w:t>
            </w:r>
            <w:r w:rsidRPr="00FE26AE">
              <w:rPr>
                <w:w w:val="99"/>
              </w:rPr>
              <w:t xml:space="preserve">0.5 </w:t>
            </w:r>
            <w:r w:rsidRPr="00FE26AE">
              <w:rPr>
                <w:spacing w:val="4"/>
              </w:rPr>
              <w:t>m</w:t>
            </w:r>
            <w:r w:rsidRPr="00FE26AE">
              <w:t>L</w:t>
            </w:r>
            <w:r w:rsidRPr="00FE26AE">
              <w:rPr>
                <w:spacing w:val="-3"/>
              </w:rPr>
              <w:t>/</w:t>
            </w:r>
            <w:r w:rsidRPr="00FE26AE">
              <w:rPr>
                <w:spacing w:val="4"/>
              </w:rPr>
              <w:t>k</w:t>
            </w:r>
            <w:r w:rsidRPr="00FE26AE">
              <w:t>g</w:t>
            </w:r>
            <w:r w:rsidRPr="00FE26AE">
              <w:rPr>
                <w:spacing w:val="-6"/>
              </w:rPr>
              <w:t xml:space="preserve"> </w:t>
            </w:r>
            <w:r w:rsidRPr="00FE26AE">
              <w:t>to</w:t>
            </w:r>
            <w:r w:rsidRPr="00FE26AE">
              <w:rPr>
                <w:spacing w:val="-5"/>
              </w:rPr>
              <w:t xml:space="preserve"> </w:t>
            </w:r>
            <w:r w:rsidRPr="00FE26AE">
              <w:rPr>
                <w:spacing w:val="4"/>
              </w:rPr>
              <w:t>m</w:t>
            </w:r>
            <w:r w:rsidRPr="00FE26AE">
              <w:t>ax</w:t>
            </w:r>
            <w:r w:rsidRPr="00FE26AE">
              <w:rPr>
                <w:spacing w:val="-3"/>
              </w:rPr>
              <w:t xml:space="preserve"> </w:t>
            </w:r>
            <w:r w:rsidRPr="00FE26AE">
              <w:t xml:space="preserve">of </w:t>
            </w:r>
            <w:r w:rsidRPr="00FE26AE">
              <w:rPr>
                <w:w w:val="99"/>
              </w:rPr>
              <w:t xml:space="preserve">15 </w:t>
            </w:r>
            <w:r w:rsidRPr="00FE26AE">
              <w:rPr>
                <w:spacing w:val="4"/>
                <w:w w:val="99"/>
              </w:rPr>
              <w:t>m</w:t>
            </w:r>
            <w:r w:rsidRPr="00FE26AE">
              <w:rPr>
                <w:w w:val="99"/>
              </w:rPr>
              <w:t>L</w:t>
            </w:r>
          </w:p>
        </w:tc>
      </w:tr>
      <w:tr w:rsidR="007976B6" w14:paraId="28F53DA7" w14:textId="77777777" w:rsidTr="0016369B">
        <w:trPr>
          <w:trHeight w:hRule="exact" w:val="720"/>
        </w:trPr>
        <w:tc>
          <w:tcPr>
            <w:tcW w:w="2754"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38506421" w14:textId="77777777" w:rsidR="007976B6" w:rsidRPr="00022BFF" w:rsidRDefault="007976B6">
            <w:pPr>
              <w:pStyle w:val="DHHStablebullet"/>
              <w:jc w:val="center"/>
              <w:rPr>
                <w:rFonts w:eastAsia="Arial"/>
                <w:b/>
                <w:bCs/>
                <w:sz w:val="21"/>
                <w:szCs w:val="21"/>
              </w:rPr>
            </w:pPr>
            <w:r w:rsidRPr="00022BFF">
              <w:rPr>
                <w:rFonts w:eastAsia="Arial"/>
                <w:b/>
                <w:bCs/>
                <w:sz w:val="21"/>
                <w:szCs w:val="21"/>
              </w:rPr>
              <w:t>Birth to 5 months</w:t>
            </w:r>
          </w:p>
        </w:tc>
        <w:tc>
          <w:tcPr>
            <w:tcW w:w="3695" w:type="dxa"/>
            <w:tcBorders>
              <w:top w:val="single" w:sz="8" w:space="0" w:color="000000"/>
              <w:left w:val="single" w:sz="8" w:space="0" w:color="000000"/>
              <w:bottom w:val="single" w:sz="8" w:space="0" w:color="000000"/>
              <w:right w:val="single" w:sz="8" w:space="0" w:color="000000"/>
            </w:tcBorders>
            <w:vAlign w:val="center"/>
          </w:tcPr>
          <w:p w14:paraId="7F1E0958" w14:textId="77777777" w:rsidR="007976B6" w:rsidRPr="00022BFF" w:rsidRDefault="007976B6">
            <w:pPr>
              <w:pStyle w:val="Body"/>
              <w:jc w:val="center"/>
              <w:rPr>
                <w:szCs w:val="21"/>
              </w:rPr>
            </w:pPr>
            <w:r w:rsidRPr="00022BFF">
              <w:rPr>
                <w:szCs w:val="21"/>
              </w:rPr>
              <w:t>No</w:t>
            </w:r>
            <w:r w:rsidRPr="00022BFF">
              <w:rPr>
                <w:spacing w:val="1"/>
                <w:szCs w:val="21"/>
              </w:rPr>
              <w:t>r</w:t>
            </w:r>
            <w:r w:rsidRPr="00022BFF">
              <w:rPr>
                <w:spacing w:val="4"/>
                <w:szCs w:val="21"/>
              </w:rPr>
              <w:t>m</w:t>
            </w:r>
            <w:r w:rsidRPr="00022BFF">
              <w:rPr>
                <w:szCs w:val="21"/>
              </w:rPr>
              <w:t>al</w:t>
            </w:r>
            <w:r w:rsidRPr="00022BFF">
              <w:rPr>
                <w:spacing w:val="-7"/>
                <w:szCs w:val="21"/>
              </w:rPr>
              <w:t xml:space="preserve"> </w:t>
            </w:r>
            <w:r w:rsidRPr="00022BFF">
              <w:rPr>
                <w:w w:val="99"/>
                <w:szCs w:val="21"/>
              </w:rPr>
              <w:t>Hu</w:t>
            </w:r>
            <w:r w:rsidRPr="00022BFF">
              <w:rPr>
                <w:spacing w:val="4"/>
                <w:w w:val="99"/>
                <w:szCs w:val="21"/>
              </w:rPr>
              <w:t>m</w:t>
            </w:r>
            <w:r w:rsidRPr="00022BFF">
              <w:rPr>
                <w:w w:val="99"/>
                <w:szCs w:val="21"/>
              </w:rPr>
              <w:t xml:space="preserve">an </w:t>
            </w:r>
            <w:r w:rsidRPr="00022BFF">
              <w:rPr>
                <w:szCs w:val="21"/>
              </w:rPr>
              <w:t>I</w:t>
            </w:r>
            <w:r w:rsidRPr="00022BFF">
              <w:rPr>
                <w:spacing w:val="2"/>
                <w:szCs w:val="21"/>
              </w:rPr>
              <w:t>mm</w:t>
            </w:r>
            <w:r w:rsidRPr="00022BFF">
              <w:rPr>
                <w:szCs w:val="21"/>
              </w:rPr>
              <w:t>unog</w:t>
            </w:r>
            <w:r w:rsidRPr="00022BFF">
              <w:rPr>
                <w:spacing w:val="-1"/>
                <w:szCs w:val="21"/>
              </w:rPr>
              <w:t>l</w:t>
            </w:r>
            <w:r w:rsidRPr="00022BFF">
              <w:rPr>
                <w:spacing w:val="2"/>
                <w:szCs w:val="21"/>
              </w:rPr>
              <w:t>o</w:t>
            </w:r>
            <w:r w:rsidRPr="00022BFF">
              <w:rPr>
                <w:szCs w:val="21"/>
              </w:rPr>
              <w:t>bu</w:t>
            </w:r>
            <w:r w:rsidRPr="00022BFF">
              <w:rPr>
                <w:spacing w:val="1"/>
                <w:szCs w:val="21"/>
              </w:rPr>
              <w:t>l</w:t>
            </w:r>
            <w:r w:rsidRPr="00022BFF">
              <w:rPr>
                <w:spacing w:val="-1"/>
                <w:szCs w:val="21"/>
              </w:rPr>
              <w:t>i</w:t>
            </w:r>
            <w:r w:rsidRPr="00022BFF">
              <w:rPr>
                <w:szCs w:val="21"/>
              </w:rPr>
              <w:t>n</w:t>
            </w:r>
            <w:r w:rsidRPr="00022BFF">
              <w:rPr>
                <w:spacing w:val="-12"/>
                <w:szCs w:val="21"/>
              </w:rPr>
              <w:t xml:space="preserve"> </w:t>
            </w:r>
            <w:r w:rsidRPr="00022BFF">
              <w:rPr>
                <w:szCs w:val="21"/>
              </w:rPr>
              <w:t>0.2</w:t>
            </w:r>
            <w:r w:rsidRPr="00022BFF">
              <w:rPr>
                <w:spacing w:val="-1"/>
                <w:szCs w:val="21"/>
              </w:rPr>
              <w:t xml:space="preserve"> </w:t>
            </w:r>
            <w:r w:rsidRPr="00022BFF">
              <w:rPr>
                <w:spacing w:val="4"/>
                <w:w w:val="99"/>
                <w:szCs w:val="21"/>
              </w:rPr>
              <w:t>m</w:t>
            </w:r>
            <w:r w:rsidRPr="00022BFF">
              <w:rPr>
                <w:w w:val="99"/>
                <w:szCs w:val="21"/>
              </w:rPr>
              <w:t>L</w:t>
            </w:r>
            <w:r w:rsidRPr="00022BFF">
              <w:rPr>
                <w:spacing w:val="-3"/>
                <w:w w:val="99"/>
                <w:szCs w:val="21"/>
              </w:rPr>
              <w:t>/</w:t>
            </w:r>
            <w:r w:rsidRPr="00022BFF">
              <w:rPr>
                <w:spacing w:val="4"/>
                <w:w w:val="99"/>
                <w:szCs w:val="21"/>
              </w:rPr>
              <w:t>k</w:t>
            </w:r>
            <w:r w:rsidRPr="00022BFF">
              <w:rPr>
                <w:w w:val="99"/>
                <w:szCs w:val="21"/>
              </w:rPr>
              <w:t xml:space="preserve">g </w:t>
            </w:r>
          </w:p>
        </w:tc>
        <w:tc>
          <w:tcPr>
            <w:tcW w:w="3859" w:type="dxa"/>
            <w:tcBorders>
              <w:top w:val="single" w:sz="8" w:space="0" w:color="000000"/>
              <w:left w:val="single" w:sz="8" w:space="0" w:color="000000"/>
              <w:bottom w:val="single" w:sz="8" w:space="0" w:color="000000"/>
              <w:right w:val="single" w:sz="8" w:space="0" w:color="000000"/>
            </w:tcBorders>
            <w:vAlign w:val="center"/>
          </w:tcPr>
          <w:p w14:paraId="3E59807C" w14:textId="77777777" w:rsidR="007976B6" w:rsidRPr="00FE26AE" w:rsidRDefault="007976B6">
            <w:pPr>
              <w:pStyle w:val="Body"/>
              <w:jc w:val="center"/>
            </w:pPr>
            <w:r w:rsidRPr="00FE26AE">
              <w:t>Not</w:t>
            </w:r>
            <w:r w:rsidRPr="00FE26AE">
              <w:rPr>
                <w:spacing w:val="-4"/>
              </w:rPr>
              <w:t xml:space="preserve"> </w:t>
            </w:r>
            <w:r w:rsidRPr="00FE26AE">
              <w:rPr>
                <w:spacing w:val="2"/>
              </w:rPr>
              <w:t>a</w:t>
            </w:r>
            <w:r w:rsidRPr="00FE26AE">
              <w:t>pp</w:t>
            </w:r>
            <w:r w:rsidRPr="00FE26AE">
              <w:rPr>
                <w:spacing w:val="1"/>
              </w:rPr>
              <w:t>l</w:t>
            </w:r>
            <w:r w:rsidRPr="00FE26AE">
              <w:rPr>
                <w:spacing w:val="-1"/>
              </w:rPr>
              <w:t>i</w:t>
            </w:r>
            <w:r w:rsidRPr="00FE26AE">
              <w:rPr>
                <w:spacing w:val="1"/>
              </w:rPr>
              <w:t>c</w:t>
            </w:r>
            <w:r w:rsidRPr="00FE26AE">
              <w:t>a</w:t>
            </w:r>
            <w:r w:rsidRPr="00FE26AE">
              <w:rPr>
                <w:spacing w:val="2"/>
              </w:rPr>
              <w:t>b</w:t>
            </w:r>
            <w:r w:rsidRPr="00FE26AE">
              <w:rPr>
                <w:spacing w:val="-1"/>
              </w:rPr>
              <w:t>l</w:t>
            </w:r>
            <w:r w:rsidRPr="00FE26AE">
              <w:t>e</w:t>
            </w:r>
          </w:p>
        </w:tc>
        <w:tc>
          <w:tcPr>
            <w:tcW w:w="5001" w:type="dxa"/>
            <w:tcBorders>
              <w:top w:val="single" w:sz="8" w:space="0" w:color="000000"/>
              <w:left w:val="single" w:sz="8" w:space="0" w:color="000000"/>
              <w:bottom w:val="single" w:sz="8" w:space="0" w:color="000000"/>
              <w:right w:val="single" w:sz="8" w:space="0" w:color="000000"/>
            </w:tcBorders>
            <w:vAlign w:val="center"/>
          </w:tcPr>
          <w:p w14:paraId="0AA2F748" w14:textId="77777777" w:rsidR="007976B6" w:rsidRPr="00FE26AE" w:rsidRDefault="007976B6">
            <w:pPr>
              <w:pStyle w:val="Body"/>
              <w:jc w:val="center"/>
            </w:pPr>
            <w:r w:rsidRPr="00FE26AE">
              <w:t>Not</w:t>
            </w:r>
            <w:r w:rsidRPr="00FE26AE">
              <w:rPr>
                <w:spacing w:val="-4"/>
              </w:rPr>
              <w:t xml:space="preserve"> </w:t>
            </w:r>
            <w:r w:rsidRPr="00FE26AE">
              <w:rPr>
                <w:spacing w:val="2"/>
              </w:rPr>
              <w:t>a</w:t>
            </w:r>
            <w:r w:rsidRPr="00FE26AE">
              <w:t>pp</w:t>
            </w:r>
            <w:r w:rsidRPr="00FE26AE">
              <w:rPr>
                <w:spacing w:val="1"/>
              </w:rPr>
              <w:t>l</w:t>
            </w:r>
            <w:r w:rsidRPr="00FE26AE">
              <w:rPr>
                <w:spacing w:val="-1"/>
              </w:rPr>
              <w:t>i</w:t>
            </w:r>
            <w:r w:rsidRPr="00FE26AE">
              <w:rPr>
                <w:spacing w:val="1"/>
              </w:rPr>
              <w:t>c</w:t>
            </w:r>
            <w:r w:rsidRPr="00FE26AE">
              <w:t>a</w:t>
            </w:r>
            <w:r w:rsidRPr="00FE26AE">
              <w:rPr>
                <w:spacing w:val="2"/>
              </w:rPr>
              <w:t>b</w:t>
            </w:r>
            <w:r w:rsidRPr="00FE26AE">
              <w:rPr>
                <w:spacing w:val="-1"/>
              </w:rPr>
              <w:t>l</w:t>
            </w:r>
            <w:r w:rsidRPr="00FE26AE">
              <w:t>e</w:t>
            </w:r>
          </w:p>
        </w:tc>
      </w:tr>
      <w:tr w:rsidR="007976B6" w14:paraId="24617A6B" w14:textId="77777777">
        <w:trPr>
          <w:trHeight w:hRule="exact" w:val="720"/>
        </w:trPr>
        <w:tc>
          <w:tcPr>
            <w:tcW w:w="2754"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634B07DB" w14:textId="77777777" w:rsidR="007976B6" w:rsidRPr="00022BFF" w:rsidRDefault="007976B6">
            <w:pPr>
              <w:pStyle w:val="DHHStablebullet"/>
              <w:jc w:val="center"/>
              <w:rPr>
                <w:rFonts w:eastAsia="Arial"/>
                <w:b/>
                <w:bCs/>
                <w:sz w:val="21"/>
                <w:szCs w:val="21"/>
              </w:rPr>
            </w:pPr>
            <w:r w:rsidRPr="00022BFF">
              <w:rPr>
                <w:rFonts w:eastAsia="Arial"/>
                <w:b/>
                <w:bCs/>
                <w:sz w:val="21"/>
                <w:szCs w:val="21"/>
              </w:rPr>
              <w:t xml:space="preserve">6 </w:t>
            </w:r>
            <w:r w:rsidRPr="00103394">
              <w:rPr>
                <w:rFonts w:eastAsia="Arial"/>
                <w:b/>
                <w:bCs/>
                <w:sz w:val="21"/>
                <w:szCs w:val="21"/>
              </w:rPr>
              <w:t>to 11 months</w:t>
            </w:r>
          </w:p>
        </w:tc>
        <w:tc>
          <w:tcPr>
            <w:tcW w:w="3695" w:type="dxa"/>
            <w:tcBorders>
              <w:top w:val="single" w:sz="8" w:space="0" w:color="000000"/>
              <w:left w:val="single" w:sz="8" w:space="0" w:color="000000"/>
              <w:bottom w:val="single" w:sz="8" w:space="0" w:color="000000"/>
              <w:right w:val="single" w:sz="8" w:space="0" w:color="000000"/>
            </w:tcBorders>
            <w:vAlign w:val="center"/>
          </w:tcPr>
          <w:p w14:paraId="507954BE" w14:textId="77777777" w:rsidR="007976B6" w:rsidRPr="00022BFF" w:rsidRDefault="007976B6">
            <w:pPr>
              <w:pStyle w:val="Body"/>
              <w:jc w:val="center"/>
              <w:rPr>
                <w:szCs w:val="21"/>
              </w:rPr>
            </w:pPr>
            <w:r w:rsidRPr="00022BFF">
              <w:rPr>
                <w:szCs w:val="21"/>
              </w:rPr>
              <w:t>No</w:t>
            </w:r>
            <w:r w:rsidRPr="00022BFF">
              <w:rPr>
                <w:spacing w:val="1"/>
                <w:szCs w:val="21"/>
              </w:rPr>
              <w:t>r</w:t>
            </w:r>
            <w:r w:rsidRPr="00022BFF">
              <w:rPr>
                <w:spacing w:val="4"/>
                <w:szCs w:val="21"/>
              </w:rPr>
              <w:t>m</w:t>
            </w:r>
            <w:r w:rsidRPr="00022BFF">
              <w:rPr>
                <w:szCs w:val="21"/>
              </w:rPr>
              <w:t>al</w:t>
            </w:r>
            <w:r w:rsidRPr="00022BFF">
              <w:rPr>
                <w:spacing w:val="-7"/>
                <w:szCs w:val="21"/>
              </w:rPr>
              <w:t xml:space="preserve"> </w:t>
            </w:r>
            <w:r w:rsidRPr="00022BFF">
              <w:rPr>
                <w:w w:val="99"/>
                <w:szCs w:val="21"/>
              </w:rPr>
              <w:t>Hu</w:t>
            </w:r>
            <w:r w:rsidRPr="00022BFF">
              <w:rPr>
                <w:spacing w:val="4"/>
                <w:w w:val="99"/>
                <w:szCs w:val="21"/>
              </w:rPr>
              <w:t>m</w:t>
            </w:r>
            <w:r w:rsidRPr="00022BFF">
              <w:rPr>
                <w:w w:val="99"/>
                <w:szCs w:val="21"/>
              </w:rPr>
              <w:t>an</w:t>
            </w:r>
          </w:p>
          <w:p w14:paraId="59B4E459" w14:textId="77777777" w:rsidR="007976B6" w:rsidRPr="00022BFF" w:rsidRDefault="007976B6">
            <w:pPr>
              <w:pStyle w:val="Body"/>
              <w:jc w:val="center"/>
              <w:rPr>
                <w:szCs w:val="21"/>
              </w:rPr>
            </w:pPr>
            <w:r w:rsidRPr="00022BFF">
              <w:rPr>
                <w:szCs w:val="21"/>
              </w:rPr>
              <w:t>I</w:t>
            </w:r>
            <w:r w:rsidRPr="00022BFF">
              <w:rPr>
                <w:spacing w:val="2"/>
                <w:szCs w:val="21"/>
              </w:rPr>
              <w:t>mm</w:t>
            </w:r>
            <w:r w:rsidRPr="00022BFF">
              <w:rPr>
                <w:szCs w:val="21"/>
              </w:rPr>
              <w:t>unog</w:t>
            </w:r>
            <w:r w:rsidRPr="00022BFF">
              <w:rPr>
                <w:spacing w:val="-1"/>
                <w:szCs w:val="21"/>
              </w:rPr>
              <w:t>l</w:t>
            </w:r>
            <w:r w:rsidRPr="00022BFF">
              <w:rPr>
                <w:spacing w:val="2"/>
                <w:szCs w:val="21"/>
              </w:rPr>
              <w:t>o</w:t>
            </w:r>
            <w:r w:rsidRPr="00022BFF">
              <w:rPr>
                <w:szCs w:val="21"/>
              </w:rPr>
              <w:t>bu</w:t>
            </w:r>
            <w:r w:rsidRPr="00022BFF">
              <w:rPr>
                <w:spacing w:val="1"/>
                <w:szCs w:val="21"/>
              </w:rPr>
              <w:t>l</w:t>
            </w:r>
            <w:r w:rsidRPr="00022BFF">
              <w:rPr>
                <w:spacing w:val="-1"/>
                <w:szCs w:val="21"/>
              </w:rPr>
              <w:t>i</w:t>
            </w:r>
            <w:r w:rsidRPr="00022BFF">
              <w:rPr>
                <w:szCs w:val="21"/>
              </w:rPr>
              <w:t>n</w:t>
            </w:r>
            <w:r w:rsidRPr="00022BFF">
              <w:rPr>
                <w:spacing w:val="-12"/>
                <w:szCs w:val="21"/>
              </w:rPr>
              <w:t xml:space="preserve"> </w:t>
            </w:r>
            <w:r w:rsidRPr="00022BFF">
              <w:rPr>
                <w:szCs w:val="21"/>
              </w:rPr>
              <w:t>0.2</w:t>
            </w:r>
            <w:r w:rsidRPr="00022BFF">
              <w:rPr>
                <w:spacing w:val="-1"/>
                <w:szCs w:val="21"/>
              </w:rPr>
              <w:t xml:space="preserve"> </w:t>
            </w:r>
            <w:r w:rsidRPr="00022BFF">
              <w:rPr>
                <w:spacing w:val="4"/>
                <w:w w:val="99"/>
                <w:szCs w:val="21"/>
              </w:rPr>
              <w:t>m</w:t>
            </w:r>
            <w:r w:rsidRPr="00022BFF">
              <w:rPr>
                <w:w w:val="99"/>
                <w:szCs w:val="21"/>
              </w:rPr>
              <w:t>L</w:t>
            </w:r>
            <w:r w:rsidRPr="00022BFF">
              <w:rPr>
                <w:spacing w:val="-3"/>
                <w:w w:val="99"/>
                <w:szCs w:val="21"/>
              </w:rPr>
              <w:t>/</w:t>
            </w:r>
            <w:r w:rsidRPr="00022BFF">
              <w:rPr>
                <w:spacing w:val="4"/>
                <w:w w:val="99"/>
                <w:szCs w:val="21"/>
              </w:rPr>
              <w:t>k</w:t>
            </w:r>
            <w:r w:rsidRPr="00022BFF">
              <w:rPr>
                <w:w w:val="99"/>
                <w:szCs w:val="21"/>
              </w:rPr>
              <w:t>g</w:t>
            </w:r>
          </w:p>
        </w:tc>
        <w:tc>
          <w:tcPr>
            <w:tcW w:w="3859" w:type="dxa"/>
            <w:tcBorders>
              <w:top w:val="single" w:sz="8" w:space="0" w:color="000000"/>
              <w:left w:val="single" w:sz="8" w:space="0" w:color="000000"/>
              <w:bottom w:val="single" w:sz="8" w:space="0" w:color="000000"/>
              <w:right w:val="single" w:sz="8" w:space="0" w:color="000000"/>
            </w:tcBorders>
            <w:vAlign w:val="center"/>
          </w:tcPr>
          <w:p w14:paraId="0BA916AF" w14:textId="77777777" w:rsidR="007976B6" w:rsidRPr="00FE26AE" w:rsidRDefault="007976B6">
            <w:pPr>
              <w:pStyle w:val="Body"/>
              <w:jc w:val="center"/>
            </w:pPr>
            <w:r w:rsidRPr="00FE26AE">
              <w:t>Not</w:t>
            </w:r>
            <w:r w:rsidRPr="00FE26AE">
              <w:rPr>
                <w:spacing w:val="-4"/>
              </w:rPr>
              <w:t xml:space="preserve"> </w:t>
            </w:r>
            <w:r w:rsidRPr="00FE26AE">
              <w:rPr>
                <w:spacing w:val="2"/>
              </w:rPr>
              <w:t>a</w:t>
            </w:r>
            <w:r w:rsidRPr="00FE26AE">
              <w:t>pp</w:t>
            </w:r>
            <w:r w:rsidRPr="00FE26AE">
              <w:rPr>
                <w:spacing w:val="1"/>
              </w:rPr>
              <w:t>l</w:t>
            </w:r>
            <w:r w:rsidRPr="00FE26AE">
              <w:rPr>
                <w:spacing w:val="-1"/>
              </w:rPr>
              <w:t>i</w:t>
            </w:r>
            <w:r w:rsidRPr="00FE26AE">
              <w:rPr>
                <w:spacing w:val="1"/>
              </w:rPr>
              <w:t>c</w:t>
            </w:r>
            <w:r w:rsidRPr="00FE26AE">
              <w:t>a</w:t>
            </w:r>
            <w:r w:rsidRPr="00FE26AE">
              <w:rPr>
                <w:spacing w:val="2"/>
              </w:rPr>
              <w:t>b</w:t>
            </w:r>
            <w:r w:rsidRPr="00FE26AE">
              <w:rPr>
                <w:spacing w:val="-1"/>
              </w:rPr>
              <w:t>l</w:t>
            </w:r>
            <w:r w:rsidRPr="00FE26AE">
              <w:t>e</w:t>
            </w:r>
          </w:p>
        </w:tc>
        <w:tc>
          <w:tcPr>
            <w:tcW w:w="5001" w:type="dxa"/>
            <w:tcBorders>
              <w:top w:val="single" w:sz="8" w:space="0" w:color="000000"/>
              <w:left w:val="single" w:sz="8" w:space="0" w:color="000000"/>
              <w:bottom w:val="single" w:sz="8" w:space="0" w:color="000000"/>
              <w:right w:val="single" w:sz="8" w:space="0" w:color="000000"/>
            </w:tcBorders>
            <w:vAlign w:val="center"/>
          </w:tcPr>
          <w:p w14:paraId="70D7DDB6" w14:textId="77777777" w:rsidR="007976B6" w:rsidRPr="00FE26AE" w:rsidRDefault="007976B6">
            <w:pPr>
              <w:pStyle w:val="Body"/>
              <w:jc w:val="center"/>
            </w:pPr>
            <w:r w:rsidRPr="00FE26AE">
              <w:t>Not</w:t>
            </w:r>
            <w:r w:rsidRPr="00FE26AE">
              <w:rPr>
                <w:spacing w:val="-4"/>
              </w:rPr>
              <w:t xml:space="preserve"> </w:t>
            </w:r>
            <w:r w:rsidRPr="00FE26AE">
              <w:rPr>
                <w:spacing w:val="2"/>
              </w:rPr>
              <w:t>a</w:t>
            </w:r>
            <w:r w:rsidRPr="00FE26AE">
              <w:t>pp</w:t>
            </w:r>
            <w:r w:rsidRPr="00FE26AE">
              <w:rPr>
                <w:spacing w:val="1"/>
              </w:rPr>
              <w:t>l</w:t>
            </w:r>
            <w:r w:rsidRPr="00FE26AE">
              <w:rPr>
                <w:spacing w:val="-1"/>
              </w:rPr>
              <w:t>i</w:t>
            </w:r>
            <w:r w:rsidRPr="00FE26AE">
              <w:rPr>
                <w:spacing w:val="1"/>
              </w:rPr>
              <w:t>c</w:t>
            </w:r>
            <w:r w:rsidRPr="00FE26AE">
              <w:t>a</w:t>
            </w:r>
            <w:r w:rsidRPr="00FE26AE">
              <w:rPr>
                <w:spacing w:val="2"/>
              </w:rPr>
              <w:t>b</w:t>
            </w:r>
            <w:r w:rsidRPr="00FE26AE">
              <w:rPr>
                <w:spacing w:val="-1"/>
              </w:rPr>
              <w:t>l</w:t>
            </w:r>
            <w:r w:rsidRPr="00FE26AE">
              <w:t>e</w:t>
            </w:r>
          </w:p>
        </w:tc>
      </w:tr>
      <w:tr w:rsidR="007976B6" w14:paraId="27C93C29" w14:textId="77777777">
        <w:trPr>
          <w:trHeight w:hRule="exact" w:val="718"/>
        </w:trPr>
        <w:tc>
          <w:tcPr>
            <w:tcW w:w="2754"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4AA2128B" w14:textId="77777777" w:rsidR="007976B6" w:rsidRPr="00022BFF" w:rsidRDefault="007976B6">
            <w:pPr>
              <w:pStyle w:val="DHHStablebullet"/>
              <w:jc w:val="center"/>
              <w:rPr>
                <w:rFonts w:eastAsia="Arial"/>
                <w:b/>
                <w:bCs/>
                <w:sz w:val="21"/>
                <w:szCs w:val="21"/>
              </w:rPr>
            </w:pPr>
            <w:r w:rsidRPr="00022BFF">
              <w:rPr>
                <w:rFonts w:eastAsia="Arial"/>
                <w:b/>
                <w:bCs/>
                <w:sz w:val="21"/>
                <w:szCs w:val="21"/>
              </w:rPr>
              <w:t>12 months to &lt;18 months</w:t>
            </w:r>
          </w:p>
        </w:tc>
        <w:tc>
          <w:tcPr>
            <w:tcW w:w="3695" w:type="dxa"/>
            <w:tcBorders>
              <w:top w:val="single" w:sz="8" w:space="0" w:color="000000"/>
              <w:left w:val="single" w:sz="8" w:space="0" w:color="000000"/>
              <w:bottom w:val="single" w:sz="8" w:space="0" w:color="000000"/>
              <w:right w:val="single" w:sz="8" w:space="0" w:color="000000"/>
            </w:tcBorders>
            <w:vAlign w:val="center"/>
          </w:tcPr>
          <w:p w14:paraId="46AE36C3" w14:textId="77777777" w:rsidR="007976B6" w:rsidRPr="00022BFF" w:rsidRDefault="007976B6">
            <w:pPr>
              <w:pStyle w:val="Body"/>
              <w:jc w:val="center"/>
              <w:rPr>
                <w:szCs w:val="21"/>
              </w:rPr>
            </w:pPr>
            <w:r w:rsidRPr="00022BFF">
              <w:rPr>
                <w:szCs w:val="21"/>
              </w:rPr>
              <w:t>No</w:t>
            </w:r>
            <w:r w:rsidRPr="00022BFF">
              <w:rPr>
                <w:spacing w:val="1"/>
                <w:szCs w:val="21"/>
              </w:rPr>
              <w:t>r</w:t>
            </w:r>
            <w:r w:rsidRPr="00022BFF">
              <w:rPr>
                <w:spacing w:val="4"/>
                <w:szCs w:val="21"/>
              </w:rPr>
              <w:t>m</w:t>
            </w:r>
            <w:r w:rsidRPr="00022BFF">
              <w:rPr>
                <w:szCs w:val="21"/>
              </w:rPr>
              <w:t>al</w:t>
            </w:r>
            <w:r w:rsidRPr="00022BFF">
              <w:rPr>
                <w:spacing w:val="-7"/>
                <w:szCs w:val="21"/>
              </w:rPr>
              <w:t xml:space="preserve"> </w:t>
            </w:r>
            <w:r w:rsidRPr="00022BFF">
              <w:rPr>
                <w:w w:val="99"/>
                <w:szCs w:val="21"/>
              </w:rPr>
              <w:t>Hu</w:t>
            </w:r>
            <w:r w:rsidRPr="00022BFF">
              <w:rPr>
                <w:spacing w:val="4"/>
                <w:w w:val="99"/>
                <w:szCs w:val="21"/>
              </w:rPr>
              <w:t>m</w:t>
            </w:r>
            <w:r w:rsidRPr="00022BFF">
              <w:rPr>
                <w:w w:val="99"/>
                <w:szCs w:val="21"/>
              </w:rPr>
              <w:t>an</w:t>
            </w:r>
          </w:p>
          <w:p w14:paraId="2477AFA2" w14:textId="77777777" w:rsidR="007976B6" w:rsidRPr="00022BFF" w:rsidRDefault="007976B6">
            <w:pPr>
              <w:pStyle w:val="Body"/>
              <w:jc w:val="center"/>
              <w:rPr>
                <w:szCs w:val="21"/>
              </w:rPr>
            </w:pPr>
            <w:r w:rsidRPr="00022BFF">
              <w:rPr>
                <w:szCs w:val="21"/>
              </w:rPr>
              <w:t>I</w:t>
            </w:r>
            <w:r w:rsidRPr="00022BFF">
              <w:rPr>
                <w:spacing w:val="2"/>
                <w:szCs w:val="21"/>
              </w:rPr>
              <w:t>mm</w:t>
            </w:r>
            <w:r w:rsidRPr="00022BFF">
              <w:rPr>
                <w:szCs w:val="21"/>
              </w:rPr>
              <w:t>unog</w:t>
            </w:r>
            <w:r w:rsidRPr="00022BFF">
              <w:rPr>
                <w:spacing w:val="-1"/>
                <w:szCs w:val="21"/>
              </w:rPr>
              <w:t>l</w:t>
            </w:r>
            <w:r w:rsidRPr="00022BFF">
              <w:rPr>
                <w:spacing w:val="2"/>
                <w:szCs w:val="21"/>
              </w:rPr>
              <w:t>o</w:t>
            </w:r>
            <w:r w:rsidRPr="00022BFF">
              <w:rPr>
                <w:szCs w:val="21"/>
              </w:rPr>
              <w:t>bu</w:t>
            </w:r>
            <w:r w:rsidRPr="00022BFF">
              <w:rPr>
                <w:spacing w:val="1"/>
                <w:szCs w:val="21"/>
              </w:rPr>
              <w:t>l</w:t>
            </w:r>
            <w:r w:rsidRPr="00022BFF">
              <w:rPr>
                <w:spacing w:val="-1"/>
                <w:szCs w:val="21"/>
              </w:rPr>
              <w:t>i</w:t>
            </w:r>
            <w:r w:rsidRPr="00022BFF">
              <w:rPr>
                <w:szCs w:val="21"/>
              </w:rPr>
              <w:t>n</w:t>
            </w:r>
            <w:r w:rsidRPr="00022BFF">
              <w:rPr>
                <w:spacing w:val="-12"/>
                <w:szCs w:val="21"/>
              </w:rPr>
              <w:t xml:space="preserve"> </w:t>
            </w:r>
            <w:r w:rsidRPr="00022BFF">
              <w:rPr>
                <w:szCs w:val="21"/>
              </w:rPr>
              <w:t>0.2</w:t>
            </w:r>
            <w:r w:rsidRPr="00022BFF">
              <w:rPr>
                <w:spacing w:val="-1"/>
                <w:szCs w:val="21"/>
              </w:rPr>
              <w:t xml:space="preserve"> </w:t>
            </w:r>
            <w:r w:rsidRPr="00022BFF">
              <w:rPr>
                <w:spacing w:val="4"/>
                <w:w w:val="99"/>
                <w:szCs w:val="21"/>
              </w:rPr>
              <w:t>m</w:t>
            </w:r>
            <w:r w:rsidRPr="00022BFF">
              <w:rPr>
                <w:w w:val="99"/>
                <w:szCs w:val="21"/>
              </w:rPr>
              <w:t>L</w:t>
            </w:r>
            <w:r w:rsidRPr="00022BFF">
              <w:rPr>
                <w:spacing w:val="-3"/>
                <w:w w:val="99"/>
                <w:szCs w:val="21"/>
              </w:rPr>
              <w:t>/</w:t>
            </w:r>
            <w:r w:rsidRPr="00022BFF">
              <w:rPr>
                <w:spacing w:val="4"/>
                <w:w w:val="99"/>
                <w:szCs w:val="21"/>
              </w:rPr>
              <w:t>k</w:t>
            </w:r>
            <w:r w:rsidRPr="00022BFF">
              <w:rPr>
                <w:w w:val="99"/>
                <w:szCs w:val="21"/>
              </w:rPr>
              <w:t>g</w:t>
            </w:r>
          </w:p>
        </w:tc>
        <w:tc>
          <w:tcPr>
            <w:tcW w:w="3859" w:type="dxa"/>
            <w:tcBorders>
              <w:top w:val="single" w:sz="8" w:space="0" w:color="000000"/>
              <w:left w:val="single" w:sz="8" w:space="0" w:color="000000"/>
              <w:bottom w:val="single" w:sz="8" w:space="0" w:color="000000"/>
              <w:right w:val="single" w:sz="8" w:space="0" w:color="000000"/>
            </w:tcBorders>
            <w:vAlign w:val="center"/>
          </w:tcPr>
          <w:p w14:paraId="1E9996B2" w14:textId="77777777" w:rsidR="007976B6" w:rsidRPr="00FE26AE" w:rsidRDefault="007976B6">
            <w:pPr>
              <w:pStyle w:val="Body"/>
              <w:jc w:val="center"/>
            </w:pPr>
            <w:r w:rsidRPr="00FE26AE">
              <w:t>N</w:t>
            </w:r>
            <w:r w:rsidRPr="00FE26AE">
              <w:rPr>
                <w:spacing w:val="-1"/>
              </w:rPr>
              <w:t>i</w:t>
            </w:r>
            <w:r w:rsidRPr="00FE26AE">
              <w:t>l</w:t>
            </w:r>
            <w:r w:rsidRPr="00FE26AE">
              <w:rPr>
                <w:spacing w:val="-1"/>
              </w:rPr>
              <w:t xml:space="preserve"> </w:t>
            </w:r>
            <w:r w:rsidRPr="00FE26AE">
              <w:t>ne</w:t>
            </w:r>
            <w:r w:rsidRPr="00FE26AE">
              <w:rPr>
                <w:spacing w:val="1"/>
              </w:rPr>
              <w:t>c</w:t>
            </w:r>
            <w:r w:rsidRPr="00FE26AE">
              <w:t>e</w:t>
            </w:r>
            <w:r w:rsidRPr="00FE26AE">
              <w:rPr>
                <w:spacing w:val="1"/>
              </w:rPr>
              <w:t>ss</w:t>
            </w:r>
            <w:r w:rsidRPr="00FE26AE">
              <w:t>a</w:t>
            </w:r>
            <w:r w:rsidRPr="00FE26AE">
              <w:rPr>
                <w:spacing w:val="3"/>
              </w:rPr>
              <w:t>r</w:t>
            </w:r>
            <w:r w:rsidRPr="00FE26AE">
              <w:t>y</w:t>
            </w:r>
          </w:p>
        </w:tc>
        <w:tc>
          <w:tcPr>
            <w:tcW w:w="5001" w:type="dxa"/>
            <w:tcBorders>
              <w:top w:val="single" w:sz="8" w:space="0" w:color="000000"/>
              <w:left w:val="single" w:sz="8" w:space="0" w:color="000000"/>
              <w:bottom w:val="single" w:sz="8" w:space="0" w:color="000000"/>
              <w:right w:val="single" w:sz="8" w:space="0" w:color="000000"/>
            </w:tcBorders>
            <w:vAlign w:val="center"/>
          </w:tcPr>
          <w:p w14:paraId="0536F107" w14:textId="77777777" w:rsidR="007976B6" w:rsidRPr="00FE26AE" w:rsidRDefault="007976B6">
            <w:pPr>
              <w:pStyle w:val="Body"/>
              <w:jc w:val="center"/>
            </w:pPr>
            <w:r w:rsidRPr="00FE26AE">
              <w:t>N</w:t>
            </w:r>
            <w:r w:rsidRPr="00FE26AE">
              <w:rPr>
                <w:spacing w:val="-1"/>
              </w:rPr>
              <w:t>i</w:t>
            </w:r>
            <w:r w:rsidRPr="00FE26AE">
              <w:t>l</w:t>
            </w:r>
            <w:r w:rsidRPr="00FE26AE">
              <w:rPr>
                <w:spacing w:val="-1"/>
              </w:rPr>
              <w:t xml:space="preserve"> </w:t>
            </w:r>
            <w:r w:rsidRPr="00FE26AE">
              <w:t>ne</w:t>
            </w:r>
            <w:r w:rsidRPr="00FE26AE">
              <w:rPr>
                <w:spacing w:val="1"/>
              </w:rPr>
              <w:t>c</w:t>
            </w:r>
            <w:r w:rsidRPr="00FE26AE">
              <w:t>e</w:t>
            </w:r>
            <w:r w:rsidRPr="00FE26AE">
              <w:rPr>
                <w:spacing w:val="1"/>
              </w:rPr>
              <w:t>ss</w:t>
            </w:r>
            <w:r w:rsidRPr="00FE26AE">
              <w:t>a</w:t>
            </w:r>
            <w:r w:rsidRPr="00FE26AE">
              <w:rPr>
                <w:spacing w:val="3"/>
              </w:rPr>
              <w:t>r</w:t>
            </w:r>
            <w:r w:rsidRPr="00FE26AE">
              <w:t>y</w:t>
            </w:r>
          </w:p>
        </w:tc>
      </w:tr>
      <w:tr w:rsidR="007976B6" w:rsidRPr="00103394" w14:paraId="44B77422" w14:textId="77777777">
        <w:trPr>
          <w:trHeight w:hRule="exact" w:val="3106"/>
        </w:trPr>
        <w:tc>
          <w:tcPr>
            <w:tcW w:w="2754"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6E15C796" w14:textId="77777777" w:rsidR="007976B6" w:rsidRPr="00103394" w:rsidRDefault="007976B6">
            <w:pPr>
              <w:pStyle w:val="DHHStablebullet"/>
              <w:jc w:val="center"/>
              <w:rPr>
                <w:rFonts w:eastAsia="Arial"/>
                <w:b/>
                <w:bCs/>
                <w:sz w:val="21"/>
                <w:szCs w:val="21"/>
              </w:rPr>
            </w:pPr>
            <w:r w:rsidRPr="00103394">
              <w:rPr>
                <w:rFonts w:eastAsia="Arial"/>
                <w:b/>
                <w:bCs/>
                <w:sz w:val="21"/>
                <w:szCs w:val="21"/>
              </w:rPr>
              <w:t>≥18 months and born after 1965.</w:t>
            </w:r>
          </w:p>
        </w:tc>
        <w:tc>
          <w:tcPr>
            <w:tcW w:w="3695" w:type="dxa"/>
            <w:tcBorders>
              <w:top w:val="single" w:sz="8" w:space="0" w:color="000000"/>
              <w:left w:val="single" w:sz="8" w:space="0" w:color="000000"/>
              <w:bottom w:val="single" w:sz="8" w:space="0" w:color="000000"/>
              <w:right w:val="single" w:sz="8" w:space="0" w:color="000000"/>
            </w:tcBorders>
            <w:vAlign w:val="center"/>
          </w:tcPr>
          <w:p w14:paraId="5496A566" w14:textId="77777777" w:rsidR="007976B6" w:rsidRPr="00103394" w:rsidRDefault="007976B6">
            <w:pPr>
              <w:pStyle w:val="Body"/>
              <w:jc w:val="center"/>
              <w:rPr>
                <w:rFonts w:cs="Arial"/>
                <w:szCs w:val="21"/>
              </w:rPr>
            </w:pPr>
            <w:r w:rsidRPr="00103394">
              <w:rPr>
                <w:rFonts w:cs="Arial"/>
                <w:szCs w:val="21"/>
              </w:rPr>
              <w:t>No</w:t>
            </w:r>
            <w:r w:rsidRPr="00103394">
              <w:rPr>
                <w:rFonts w:cs="Arial"/>
                <w:spacing w:val="1"/>
                <w:szCs w:val="21"/>
              </w:rPr>
              <w:t>r</w:t>
            </w:r>
            <w:r w:rsidRPr="00103394">
              <w:rPr>
                <w:rFonts w:cs="Arial"/>
                <w:spacing w:val="4"/>
                <w:szCs w:val="21"/>
              </w:rPr>
              <w:t>m</w:t>
            </w:r>
            <w:r w:rsidRPr="00103394">
              <w:rPr>
                <w:rFonts w:cs="Arial"/>
                <w:szCs w:val="21"/>
              </w:rPr>
              <w:t>al</w:t>
            </w:r>
            <w:r w:rsidRPr="00103394">
              <w:rPr>
                <w:rFonts w:cs="Arial"/>
                <w:spacing w:val="-7"/>
                <w:szCs w:val="21"/>
              </w:rPr>
              <w:t xml:space="preserve"> </w:t>
            </w:r>
            <w:r w:rsidRPr="00103394">
              <w:rPr>
                <w:rFonts w:cs="Arial"/>
                <w:w w:val="99"/>
                <w:szCs w:val="21"/>
              </w:rPr>
              <w:t>Hu</w:t>
            </w:r>
            <w:r w:rsidRPr="00103394">
              <w:rPr>
                <w:rFonts w:cs="Arial"/>
                <w:spacing w:val="4"/>
                <w:w w:val="99"/>
                <w:szCs w:val="21"/>
              </w:rPr>
              <w:t>m</w:t>
            </w:r>
            <w:r w:rsidRPr="00103394">
              <w:rPr>
                <w:rFonts w:cs="Arial"/>
                <w:w w:val="99"/>
                <w:szCs w:val="21"/>
              </w:rPr>
              <w:t xml:space="preserve">an </w:t>
            </w:r>
            <w:r w:rsidRPr="00103394">
              <w:rPr>
                <w:rFonts w:cs="Arial"/>
                <w:szCs w:val="21"/>
              </w:rPr>
              <w:t>I</w:t>
            </w:r>
            <w:r w:rsidRPr="00103394">
              <w:rPr>
                <w:rFonts w:cs="Arial"/>
                <w:spacing w:val="2"/>
                <w:szCs w:val="21"/>
              </w:rPr>
              <w:t>mm</w:t>
            </w:r>
            <w:r w:rsidRPr="00103394">
              <w:rPr>
                <w:rFonts w:cs="Arial"/>
                <w:szCs w:val="21"/>
              </w:rPr>
              <w:t>unog</w:t>
            </w:r>
            <w:r w:rsidRPr="00103394">
              <w:rPr>
                <w:rFonts w:cs="Arial"/>
                <w:spacing w:val="-1"/>
                <w:szCs w:val="21"/>
              </w:rPr>
              <w:t>l</w:t>
            </w:r>
            <w:r w:rsidRPr="00103394">
              <w:rPr>
                <w:rFonts w:cs="Arial"/>
                <w:spacing w:val="2"/>
                <w:szCs w:val="21"/>
              </w:rPr>
              <w:t>o</w:t>
            </w:r>
            <w:r w:rsidRPr="00103394">
              <w:rPr>
                <w:rFonts w:cs="Arial"/>
                <w:szCs w:val="21"/>
              </w:rPr>
              <w:t>bu</w:t>
            </w:r>
            <w:r w:rsidRPr="00103394">
              <w:rPr>
                <w:rFonts w:cs="Arial"/>
                <w:spacing w:val="1"/>
                <w:szCs w:val="21"/>
              </w:rPr>
              <w:t>l</w:t>
            </w:r>
            <w:r w:rsidRPr="00103394">
              <w:rPr>
                <w:rFonts w:cs="Arial"/>
                <w:spacing w:val="-1"/>
                <w:szCs w:val="21"/>
              </w:rPr>
              <w:t>i</w:t>
            </w:r>
            <w:r w:rsidRPr="00103394">
              <w:rPr>
                <w:rFonts w:cs="Arial"/>
                <w:szCs w:val="21"/>
              </w:rPr>
              <w:t>n</w:t>
            </w:r>
            <w:r w:rsidRPr="00103394">
              <w:rPr>
                <w:rFonts w:cs="Arial"/>
                <w:spacing w:val="-12"/>
                <w:szCs w:val="21"/>
              </w:rPr>
              <w:t xml:space="preserve"> </w:t>
            </w:r>
            <w:r w:rsidRPr="00103394">
              <w:rPr>
                <w:rFonts w:cs="Arial"/>
                <w:szCs w:val="21"/>
              </w:rPr>
              <w:t>0.2</w:t>
            </w:r>
            <w:r w:rsidRPr="00103394">
              <w:rPr>
                <w:rFonts w:cs="Arial"/>
                <w:spacing w:val="-1"/>
                <w:szCs w:val="21"/>
              </w:rPr>
              <w:t xml:space="preserve"> </w:t>
            </w:r>
            <w:r w:rsidRPr="00103394">
              <w:rPr>
                <w:rFonts w:cs="Arial"/>
                <w:spacing w:val="4"/>
                <w:w w:val="99"/>
                <w:szCs w:val="21"/>
              </w:rPr>
              <w:t>m</w:t>
            </w:r>
            <w:r w:rsidRPr="00103394">
              <w:rPr>
                <w:rFonts w:cs="Arial"/>
                <w:w w:val="99"/>
                <w:szCs w:val="21"/>
              </w:rPr>
              <w:t>L</w:t>
            </w:r>
            <w:r w:rsidRPr="00103394">
              <w:rPr>
                <w:rFonts w:cs="Arial"/>
                <w:spacing w:val="-3"/>
                <w:w w:val="99"/>
                <w:szCs w:val="21"/>
              </w:rPr>
              <w:t>/</w:t>
            </w:r>
            <w:r w:rsidRPr="00103394">
              <w:rPr>
                <w:rFonts w:cs="Arial"/>
                <w:spacing w:val="4"/>
                <w:w w:val="99"/>
                <w:szCs w:val="21"/>
              </w:rPr>
              <w:t>k</w:t>
            </w:r>
            <w:r w:rsidRPr="00103394">
              <w:rPr>
                <w:rFonts w:cs="Arial"/>
                <w:w w:val="99"/>
                <w:szCs w:val="21"/>
              </w:rPr>
              <w:t xml:space="preserve">g </w:t>
            </w:r>
            <w:r w:rsidRPr="00103394">
              <w:rPr>
                <w:rFonts w:cs="Arial"/>
                <w:szCs w:val="21"/>
              </w:rPr>
              <w:t>to</w:t>
            </w:r>
            <w:r w:rsidRPr="00103394">
              <w:rPr>
                <w:rFonts w:cs="Arial"/>
                <w:spacing w:val="-3"/>
                <w:szCs w:val="21"/>
              </w:rPr>
              <w:t xml:space="preserve"> </w:t>
            </w:r>
            <w:r w:rsidRPr="00103394">
              <w:rPr>
                <w:rFonts w:cs="Arial"/>
                <w:spacing w:val="4"/>
                <w:szCs w:val="21"/>
              </w:rPr>
              <w:t>m</w:t>
            </w:r>
            <w:r w:rsidRPr="00103394">
              <w:rPr>
                <w:rFonts w:cs="Arial"/>
                <w:szCs w:val="21"/>
              </w:rPr>
              <w:t>ax</w:t>
            </w:r>
            <w:r w:rsidRPr="00103394">
              <w:rPr>
                <w:rFonts w:cs="Arial"/>
                <w:spacing w:val="-3"/>
                <w:szCs w:val="21"/>
              </w:rPr>
              <w:t xml:space="preserve"> </w:t>
            </w:r>
            <w:r w:rsidRPr="00103394">
              <w:rPr>
                <w:rFonts w:cs="Arial"/>
                <w:szCs w:val="21"/>
              </w:rPr>
              <w:t>of 15</w:t>
            </w:r>
            <w:r w:rsidRPr="00103394">
              <w:rPr>
                <w:rFonts w:cs="Arial"/>
                <w:spacing w:val="-5"/>
                <w:szCs w:val="21"/>
              </w:rPr>
              <w:t xml:space="preserve"> </w:t>
            </w:r>
            <w:r w:rsidRPr="00103394">
              <w:rPr>
                <w:rFonts w:cs="Arial"/>
                <w:spacing w:val="4"/>
                <w:w w:val="99"/>
                <w:szCs w:val="21"/>
              </w:rPr>
              <w:t>m</w:t>
            </w:r>
            <w:r w:rsidRPr="00103394">
              <w:rPr>
                <w:rFonts w:cs="Arial"/>
                <w:w w:val="99"/>
                <w:szCs w:val="21"/>
              </w:rPr>
              <w:t xml:space="preserve">L. </w:t>
            </w:r>
            <w:r w:rsidRPr="00103394">
              <w:rPr>
                <w:rFonts w:cs="Arial"/>
                <w:color w:val="222222"/>
                <w:szCs w:val="21"/>
                <w:shd w:val="clear" w:color="auto" w:fill="FFFFFF"/>
              </w:rPr>
              <w:t xml:space="preserve">Prioritise for </w:t>
            </w:r>
            <w:r w:rsidRPr="00103394">
              <w:rPr>
                <w:rFonts w:cs="Arial"/>
                <w:b/>
                <w:color w:val="222222"/>
                <w:szCs w:val="21"/>
                <w:shd w:val="clear" w:color="auto" w:fill="FFFFFF"/>
              </w:rPr>
              <w:t>immunocompromised people, pregnant women, healthcare workers and close personal</w:t>
            </w:r>
            <w:r w:rsidRPr="00103394">
              <w:rPr>
                <w:rFonts w:cs="Arial"/>
                <w:color w:val="222222"/>
                <w:szCs w:val="21"/>
                <w:shd w:val="clear" w:color="auto" w:fill="FFFFFF"/>
              </w:rPr>
              <w:t xml:space="preserve"> </w:t>
            </w:r>
            <w:r w:rsidRPr="00103394">
              <w:rPr>
                <w:rFonts w:cs="Arial"/>
                <w:b/>
                <w:color w:val="222222"/>
                <w:szCs w:val="21"/>
                <w:shd w:val="clear" w:color="auto" w:fill="FFFFFF"/>
              </w:rPr>
              <w:t>(e.g. household) contacts</w:t>
            </w:r>
            <w:r w:rsidRPr="00103394">
              <w:rPr>
                <w:rFonts w:cs="Arial"/>
                <w:color w:val="222222"/>
                <w:szCs w:val="21"/>
                <w:shd w:val="clear" w:color="auto" w:fill="FFFFFF"/>
              </w:rPr>
              <w:t>. Wider use is not routinely recommended but should be judged in relation to the relative risks and benefits.</w:t>
            </w:r>
          </w:p>
        </w:tc>
        <w:tc>
          <w:tcPr>
            <w:tcW w:w="3859" w:type="dxa"/>
            <w:tcBorders>
              <w:top w:val="single" w:sz="8" w:space="0" w:color="000000"/>
              <w:left w:val="single" w:sz="8" w:space="0" w:color="000000"/>
              <w:bottom w:val="single" w:sz="8" w:space="0" w:color="000000"/>
              <w:right w:val="single" w:sz="8" w:space="0" w:color="000000"/>
            </w:tcBorders>
            <w:vAlign w:val="center"/>
          </w:tcPr>
          <w:p w14:paraId="32542714" w14:textId="77777777" w:rsidR="007976B6" w:rsidRPr="00103394" w:rsidRDefault="007976B6">
            <w:pPr>
              <w:pStyle w:val="Body"/>
              <w:jc w:val="center"/>
            </w:pPr>
            <w:r w:rsidRPr="00103394">
              <w:t>N</w:t>
            </w:r>
            <w:r w:rsidRPr="00103394">
              <w:rPr>
                <w:spacing w:val="-1"/>
              </w:rPr>
              <w:t>i</w:t>
            </w:r>
            <w:r w:rsidRPr="00103394">
              <w:t>l</w:t>
            </w:r>
            <w:r w:rsidRPr="00103394">
              <w:rPr>
                <w:spacing w:val="-1"/>
              </w:rPr>
              <w:t xml:space="preserve"> </w:t>
            </w:r>
            <w:r w:rsidRPr="00103394">
              <w:t>ne</w:t>
            </w:r>
            <w:r w:rsidRPr="00103394">
              <w:rPr>
                <w:spacing w:val="1"/>
              </w:rPr>
              <w:t>c</w:t>
            </w:r>
            <w:r w:rsidRPr="00103394">
              <w:t>e</w:t>
            </w:r>
            <w:r w:rsidRPr="00103394">
              <w:rPr>
                <w:spacing w:val="1"/>
              </w:rPr>
              <w:t>ss</w:t>
            </w:r>
            <w:r w:rsidRPr="00103394">
              <w:t>a</w:t>
            </w:r>
            <w:r w:rsidRPr="00103394">
              <w:rPr>
                <w:spacing w:val="3"/>
              </w:rPr>
              <w:t>r</w:t>
            </w:r>
            <w:r w:rsidRPr="00103394">
              <w:t>y - Con</w:t>
            </w:r>
            <w:r w:rsidRPr="00103394">
              <w:rPr>
                <w:spacing w:val="1"/>
              </w:rPr>
              <w:t>s</w:t>
            </w:r>
            <w:r w:rsidRPr="00103394">
              <w:rPr>
                <w:spacing w:val="-1"/>
              </w:rPr>
              <w:t>i</w:t>
            </w:r>
            <w:r w:rsidRPr="00103394">
              <w:rPr>
                <w:spacing w:val="2"/>
              </w:rPr>
              <w:t>d</w:t>
            </w:r>
            <w:r w:rsidRPr="00103394">
              <w:t>er</w:t>
            </w:r>
            <w:r w:rsidRPr="00103394">
              <w:rPr>
                <w:spacing w:val="-8"/>
              </w:rPr>
              <w:t xml:space="preserve"> </w:t>
            </w:r>
            <w:r w:rsidRPr="00103394">
              <w:rPr>
                <w:spacing w:val="2"/>
              </w:rPr>
              <w:t>M</w:t>
            </w:r>
            <w:r w:rsidRPr="00103394">
              <w:t>MR or MMRV (depending on age) if not pregnant.</w:t>
            </w:r>
          </w:p>
          <w:p w14:paraId="616BE8C1" w14:textId="77777777" w:rsidR="007976B6" w:rsidRPr="00103394" w:rsidRDefault="007976B6">
            <w:pPr>
              <w:pStyle w:val="Body"/>
              <w:jc w:val="center"/>
            </w:pPr>
          </w:p>
          <w:p w14:paraId="03CD20B0" w14:textId="77777777" w:rsidR="007976B6" w:rsidRPr="00103394" w:rsidRDefault="007976B6">
            <w:pPr>
              <w:pStyle w:val="Body"/>
              <w:jc w:val="center"/>
            </w:pPr>
            <w:r w:rsidRPr="00103394">
              <w:t>If pregnant, check IgG if time allows and offer NHIG if IgG is not detected (0.2 mL/kg to max of 15 mL) and inform obstetrician or GP</w:t>
            </w:r>
          </w:p>
          <w:p w14:paraId="6F6BBAFA" w14:textId="77777777" w:rsidR="007976B6" w:rsidRPr="00103394" w:rsidRDefault="007976B6">
            <w:pPr>
              <w:pStyle w:val="Body"/>
              <w:jc w:val="center"/>
            </w:pPr>
          </w:p>
        </w:tc>
        <w:tc>
          <w:tcPr>
            <w:tcW w:w="5001" w:type="dxa"/>
            <w:tcBorders>
              <w:top w:val="single" w:sz="8" w:space="0" w:color="000000"/>
              <w:left w:val="single" w:sz="8" w:space="0" w:color="000000"/>
              <w:bottom w:val="single" w:sz="8" w:space="0" w:color="000000"/>
              <w:right w:val="single" w:sz="8" w:space="0" w:color="000000"/>
            </w:tcBorders>
            <w:vAlign w:val="center"/>
          </w:tcPr>
          <w:p w14:paraId="12F10E1F" w14:textId="77777777" w:rsidR="007976B6" w:rsidRPr="00103394" w:rsidRDefault="007976B6">
            <w:pPr>
              <w:pStyle w:val="Body"/>
              <w:jc w:val="center"/>
            </w:pPr>
            <w:r w:rsidRPr="00103394">
              <w:t>N</w:t>
            </w:r>
            <w:r w:rsidRPr="00103394">
              <w:rPr>
                <w:spacing w:val="-1"/>
              </w:rPr>
              <w:t>i</w:t>
            </w:r>
            <w:r w:rsidRPr="00103394">
              <w:t>l</w:t>
            </w:r>
            <w:r w:rsidRPr="00103394">
              <w:rPr>
                <w:spacing w:val="-1"/>
              </w:rPr>
              <w:t xml:space="preserve"> </w:t>
            </w:r>
            <w:r w:rsidRPr="00103394">
              <w:t>ne</w:t>
            </w:r>
            <w:r w:rsidRPr="00103394">
              <w:rPr>
                <w:spacing w:val="1"/>
              </w:rPr>
              <w:t>c</w:t>
            </w:r>
            <w:r w:rsidRPr="00103394">
              <w:t>e</w:t>
            </w:r>
            <w:r w:rsidRPr="00103394">
              <w:rPr>
                <w:spacing w:val="1"/>
              </w:rPr>
              <w:t>ss</w:t>
            </w:r>
            <w:r w:rsidRPr="00103394">
              <w:t>a</w:t>
            </w:r>
            <w:r w:rsidRPr="00103394">
              <w:rPr>
                <w:spacing w:val="3"/>
              </w:rPr>
              <w:t>r</w:t>
            </w:r>
            <w:r w:rsidRPr="00103394">
              <w:t>y</w:t>
            </w:r>
          </w:p>
        </w:tc>
      </w:tr>
    </w:tbl>
    <w:p w14:paraId="4CEF1105" w14:textId="77777777" w:rsidR="007976B6" w:rsidRDefault="007976B6" w:rsidP="007976B6">
      <w:pPr>
        <w:pStyle w:val="Body"/>
      </w:pPr>
      <w:r w:rsidRPr="00103394">
        <w:t>*Further information on immunocompromised contacts see section 11 of</w:t>
      </w:r>
      <w:r>
        <w:t xml:space="preserve"> </w:t>
      </w:r>
      <w:hyperlink r:id="rId35" w:history="1">
        <w:r>
          <w:rPr>
            <w:rStyle w:val="Hyperlink"/>
          </w:rPr>
          <w:t>Measles SoNG (health.gov.au)</w:t>
        </w:r>
      </w:hyperlink>
      <w:r w:rsidRPr="00103394">
        <w:t xml:space="preserve"> </w:t>
      </w:r>
    </w:p>
    <w:p w14:paraId="1AC33FA7" w14:textId="77777777" w:rsidR="008B7489" w:rsidRDefault="008B7489" w:rsidP="001558C5">
      <w:pPr>
        <w:pStyle w:val="Heading2"/>
        <w:rPr>
          <w:rFonts w:ascii="Arial" w:hAnsi="Arial" w:cs="Arial"/>
          <w:b/>
          <w:bCs/>
        </w:rPr>
      </w:pPr>
    </w:p>
    <w:p w14:paraId="6ADA80A7" w14:textId="66526898" w:rsidR="00C478F8" w:rsidRPr="009311A2" w:rsidRDefault="001558C5" w:rsidP="001558C5">
      <w:pPr>
        <w:pStyle w:val="Heading2"/>
        <w:rPr>
          <w:rFonts w:ascii="Arial" w:hAnsi="Arial" w:cs="Arial"/>
          <w:b/>
          <w:bCs/>
        </w:rPr>
      </w:pPr>
      <w:r w:rsidRPr="009311A2">
        <w:rPr>
          <w:rFonts w:ascii="Arial" w:hAnsi="Arial" w:cs="Arial"/>
          <w:b/>
          <w:bCs/>
        </w:rPr>
        <w:t xml:space="preserve">Table 3: </w:t>
      </w:r>
      <w:r w:rsidR="009464A9">
        <w:rPr>
          <w:rFonts w:ascii="Arial" w:hAnsi="Arial" w:cs="Arial"/>
          <w:b/>
          <w:bCs/>
        </w:rPr>
        <w:t xml:space="preserve">Example contact line list* </w:t>
      </w:r>
    </w:p>
    <w:tbl>
      <w:tblPr>
        <w:tblW w:w="14318" w:type="dxa"/>
        <w:tblInd w:w="-431" w:type="dxa"/>
        <w:tblLayout w:type="fixed"/>
        <w:tblCellMar>
          <w:left w:w="0" w:type="dxa"/>
          <w:right w:w="0" w:type="dxa"/>
        </w:tblCellMar>
        <w:tblLook w:val="01E0" w:firstRow="1" w:lastRow="1" w:firstColumn="1" w:lastColumn="1" w:noHBand="0" w:noVBand="0"/>
      </w:tblPr>
      <w:tblGrid>
        <w:gridCol w:w="1393"/>
        <w:gridCol w:w="1301"/>
        <w:gridCol w:w="709"/>
        <w:gridCol w:w="1276"/>
        <w:gridCol w:w="1134"/>
        <w:gridCol w:w="1417"/>
        <w:gridCol w:w="851"/>
        <w:gridCol w:w="850"/>
        <w:gridCol w:w="1843"/>
        <w:gridCol w:w="3544"/>
      </w:tblGrid>
      <w:tr w:rsidR="00637CBB" w:rsidRPr="006002E7" w14:paraId="38EF42EF" w14:textId="77777777" w:rsidTr="00CE7B4B">
        <w:trPr>
          <w:trHeight w:val="647"/>
        </w:trPr>
        <w:tc>
          <w:tcPr>
            <w:tcW w:w="1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CC3FF" w14:textId="77777777" w:rsidR="00637CBB" w:rsidRPr="008A46C7" w:rsidRDefault="00637CBB" w:rsidP="007B25AA">
            <w:pPr>
              <w:pStyle w:val="DHHStablebullet"/>
              <w:ind w:left="113" w:firstLine="0"/>
              <w:rPr>
                <w:rStyle w:val="Strong"/>
              </w:rPr>
            </w:pPr>
            <w:r w:rsidRPr="008A46C7">
              <w:rPr>
                <w:rStyle w:val="Strong"/>
              </w:rPr>
              <w:t>Name</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7D7AB" w14:textId="77777777" w:rsidR="00637CBB" w:rsidRPr="008A46C7" w:rsidRDefault="00637CBB" w:rsidP="007B25AA">
            <w:pPr>
              <w:pStyle w:val="DHHStablebullet"/>
              <w:ind w:left="113" w:firstLine="0"/>
              <w:rPr>
                <w:rStyle w:val="Strong"/>
              </w:rPr>
            </w:pPr>
            <w:r w:rsidRPr="008A46C7">
              <w:rPr>
                <w:rStyle w:val="Strong"/>
              </w:rPr>
              <w:t>DOB</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98048" w14:textId="77777777" w:rsidR="00637CBB" w:rsidRPr="008A46C7" w:rsidRDefault="00637CBB" w:rsidP="007B25AA">
            <w:pPr>
              <w:pStyle w:val="DHHStablebullet"/>
              <w:ind w:left="113" w:firstLine="0"/>
              <w:rPr>
                <w:rStyle w:val="Strong"/>
              </w:rPr>
            </w:pPr>
            <w:r w:rsidRPr="008A46C7">
              <w:rPr>
                <w:rStyle w:val="Strong"/>
              </w:rPr>
              <w:t>Age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B16BB" w14:textId="77777777" w:rsidR="00637CBB" w:rsidRPr="008A46C7" w:rsidRDefault="00637CBB" w:rsidP="007B25AA">
            <w:pPr>
              <w:pStyle w:val="DHHStablebullet"/>
              <w:ind w:left="113" w:firstLine="0"/>
              <w:rPr>
                <w:rStyle w:val="Strong"/>
              </w:rPr>
            </w:pPr>
            <w:r w:rsidRPr="008A46C7">
              <w:rPr>
                <w:rStyle w:val="Strong"/>
              </w:rPr>
              <w:t>Exposure date</w:t>
            </w:r>
            <w:r>
              <w:rPr>
                <w:rStyle w:val="Strong"/>
              </w:rPr>
              <w:t xml:space="preserve"> &amp; time</w:t>
            </w:r>
            <w:r w:rsidRPr="008A46C7">
              <w:rPr>
                <w:rStyle w:val="Strong"/>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3F634" w14:textId="77777777" w:rsidR="00637CBB" w:rsidRPr="008A46C7" w:rsidRDefault="00637CBB" w:rsidP="007B25AA">
            <w:pPr>
              <w:pStyle w:val="DHHStablebullet"/>
              <w:ind w:left="113" w:firstLine="0"/>
              <w:rPr>
                <w:rStyle w:val="Strong"/>
              </w:rPr>
            </w:pPr>
            <w:r w:rsidRPr="008A46C7">
              <w:rPr>
                <w:rStyle w:val="Strong"/>
              </w:rPr>
              <w:t xml:space="preserve">Time since exposure (hrs)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8DC71" w14:textId="77777777" w:rsidR="00637CBB" w:rsidRPr="008A46C7" w:rsidRDefault="00637CBB" w:rsidP="007B25AA">
            <w:pPr>
              <w:pStyle w:val="DHHStablebullet"/>
              <w:ind w:left="113" w:firstLine="0"/>
              <w:rPr>
                <w:rStyle w:val="Strong"/>
              </w:rPr>
            </w:pPr>
            <w:r w:rsidRPr="008A46C7">
              <w:rPr>
                <w:rStyle w:val="Strong"/>
              </w:rPr>
              <w:t>PEP eligibility</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DB3B1" w14:textId="77777777" w:rsidR="00637CBB" w:rsidRPr="008A46C7" w:rsidRDefault="00637CBB" w:rsidP="007B25AA">
            <w:pPr>
              <w:pStyle w:val="DHHStablebullet"/>
              <w:ind w:left="113" w:firstLine="0"/>
              <w:rPr>
                <w:rStyle w:val="Strong"/>
              </w:rPr>
            </w:pPr>
            <w:r w:rsidRPr="008A46C7">
              <w:rPr>
                <w:rStyle w:val="Strong"/>
              </w:rPr>
              <w:t>Weight (kg)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36293" w14:textId="77777777" w:rsidR="00637CBB" w:rsidRPr="008A46C7" w:rsidRDefault="00637CBB" w:rsidP="007B25AA">
            <w:pPr>
              <w:pStyle w:val="DHHStablebullet"/>
              <w:ind w:left="113" w:firstLine="0"/>
              <w:rPr>
                <w:rStyle w:val="Strong"/>
              </w:rPr>
            </w:pPr>
            <w:r w:rsidRPr="008A46C7">
              <w:rPr>
                <w:rStyle w:val="Strong"/>
              </w:rPr>
              <w:t>Dose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949A4" w14:textId="77777777" w:rsidR="00637CBB" w:rsidRPr="008A46C7" w:rsidRDefault="00637CBB" w:rsidP="007B25AA">
            <w:pPr>
              <w:pStyle w:val="DHHStablebullet"/>
              <w:ind w:left="113" w:firstLine="0"/>
              <w:rPr>
                <w:rStyle w:val="Strong"/>
              </w:rPr>
            </w:pPr>
            <w:r>
              <w:rPr>
                <w:rStyle w:val="Strong"/>
              </w:rPr>
              <w:t>Contact details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AE0D0" w14:textId="77777777" w:rsidR="00637CBB" w:rsidRPr="008A46C7" w:rsidRDefault="00637CBB" w:rsidP="007B25AA">
            <w:pPr>
              <w:pStyle w:val="DHHStablebullet"/>
              <w:ind w:left="113" w:firstLine="0"/>
              <w:rPr>
                <w:rStyle w:val="Strong"/>
              </w:rPr>
            </w:pPr>
            <w:r w:rsidRPr="008A46C7">
              <w:rPr>
                <w:rStyle w:val="Strong"/>
              </w:rPr>
              <w:t>Notes</w:t>
            </w:r>
          </w:p>
        </w:tc>
      </w:tr>
      <w:tr w:rsidR="00637CBB" w:rsidRPr="006002E7" w14:paraId="701C83A0" w14:textId="77777777" w:rsidTr="00CE7B4B">
        <w:trPr>
          <w:trHeight w:val="647"/>
        </w:trPr>
        <w:tc>
          <w:tcPr>
            <w:tcW w:w="1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7AD94" w14:textId="36C6A591" w:rsidR="00637CBB" w:rsidRPr="00365737" w:rsidRDefault="00743515" w:rsidP="007B25AA">
            <w:pPr>
              <w:pStyle w:val="DHHStablebullet"/>
              <w:ind w:left="113" w:firstLine="0"/>
              <w:rPr>
                <w:rStyle w:val="Strong"/>
                <w:rFonts w:eastAsia="Arial"/>
                <w:b w:val="0"/>
                <w:bCs w:val="0"/>
              </w:rPr>
            </w:pPr>
            <w:r>
              <w:rPr>
                <w:rStyle w:val="Strong"/>
                <w:rFonts w:eastAsia="Arial"/>
                <w:b w:val="0"/>
                <w:bCs w:val="0"/>
              </w:rPr>
              <w:t>John Doe</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AF00A" w14:textId="5EC05F0B" w:rsidR="00637CBB" w:rsidRPr="00365737" w:rsidRDefault="00637CBB" w:rsidP="007B25AA">
            <w:pPr>
              <w:pStyle w:val="DHHStablebullet"/>
              <w:ind w:left="113" w:firstLine="0"/>
              <w:rPr>
                <w:rStyle w:val="Strong"/>
                <w:rFonts w:eastAsia="Arial"/>
                <w:b w:val="0"/>
                <w:bCs w:val="0"/>
              </w:rPr>
            </w:pPr>
            <w:r>
              <w:rPr>
                <w:rStyle w:val="Strong"/>
                <w:rFonts w:eastAsia="Arial"/>
                <w:b w:val="0"/>
                <w:bCs w:val="0"/>
              </w:rPr>
              <w:t>01/0</w:t>
            </w:r>
            <w:r w:rsidR="00743515">
              <w:rPr>
                <w:rStyle w:val="Strong"/>
                <w:rFonts w:eastAsia="Arial"/>
                <w:b w:val="0"/>
                <w:bCs w:val="0"/>
              </w:rPr>
              <w:t>9</w:t>
            </w:r>
            <w:r>
              <w:rPr>
                <w:rStyle w:val="Strong"/>
                <w:rFonts w:eastAsia="Arial"/>
                <w:b w:val="0"/>
                <w:bCs w:val="0"/>
              </w:rPr>
              <w:t xml:space="preserve">/2024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79156" w14:textId="77777777" w:rsidR="00637CBB" w:rsidRPr="00106647" w:rsidRDefault="00637CBB" w:rsidP="007B25AA">
            <w:pPr>
              <w:pStyle w:val="DHHStablebullet"/>
              <w:ind w:left="113" w:firstLine="0"/>
              <w:rPr>
                <w:rStyle w:val="Strong"/>
                <w:rFonts w:eastAsia="Arial"/>
                <w:b w:val="0"/>
                <w:bCs w:val="0"/>
              </w:rPr>
            </w:pPr>
            <w:r w:rsidRPr="00A751D6">
              <w:rPr>
                <w:rStyle w:val="Strong"/>
                <w:rFonts w:eastAsia="Arial"/>
                <w:b w:val="0"/>
                <w:bCs w:val="0"/>
              </w:rPr>
              <w:t>12 m</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F8B0E" w14:textId="07897F9C" w:rsidR="00637CBB" w:rsidRDefault="00637CBB" w:rsidP="007B25AA">
            <w:pPr>
              <w:pStyle w:val="DHHStablebullet"/>
              <w:ind w:left="113" w:firstLine="0"/>
              <w:rPr>
                <w:rStyle w:val="Strong"/>
                <w:rFonts w:eastAsia="Arial"/>
                <w:b w:val="0"/>
                <w:bCs w:val="0"/>
              </w:rPr>
            </w:pPr>
            <w:r w:rsidRPr="00A751D6">
              <w:rPr>
                <w:rStyle w:val="Strong"/>
                <w:rFonts w:eastAsia="Arial"/>
                <w:b w:val="0"/>
                <w:bCs w:val="0"/>
              </w:rPr>
              <w:t>8 October 20</w:t>
            </w:r>
            <w:r w:rsidR="00210BCC">
              <w:rPr>
                <w:rStyle w:val="Strong"/>
                <w:rFonts w:eastAsia="Arial"/>
                <w:b w:val="0"/>
                <w:bCs w:val="0"/>
              </w:rPr>
              <w:t>25</w:t>
            </w:r>
          </w:p>
          <w:p w14:paraId="5CB64079" w14:textId="60ECEC9F" w:rsidR="00637CBB" w:rsidRPr="00365737" w:rsidRDefault="00637CBB" w:rsidP="007B25AA">
            <w:pPr>
              <w:pStyle w:val="DHHStablebullet"/>
              <w:ind w:left="113" w:firstLine="0"/>
              <w:rPr>
                <w:rStyle w:val="Strong"/>
                <w:rFonts w:eastAsia="Arial"/>
                <w:b w:val="0"/>
                <w:bCs w:val="0"/>
              </w:rPr>
            </w:pPr>
            <w:r>
              <w:rPr>
                <w:rStyle w:val="Strong"/>
                <w:rFonts w:eastAsia="Arial"/>
                <w:b w:val="0"/>
                <w:bCs w:val="0"/>
              </w:rPr>
              <w:t>10</w:t>
            </w:r>
            <w:r w:rsidR="00210BCC">
              <w:rPr>
                <w:rStyle w:val="Strong"/>
                <w:rFonts w:eastAsia="Arial"/>
                <w:b w:val="0"/>
                <w:bCs w:val="0"/>
              </w:rPr>
              <w:t>:</w:t>
            </w:r>
            <w:r>
              <w:rPr>
                <w:rStyle w:val="Strong"/>
                <w:rFonts w:eastAsia="Arial"/>
                <w:b w:val="0"/>
                <w:bCs w:val="0"/>
              </w:rPr>
              <w:t>15 – 11</w:t>
            </w:r>
            <w:r w:rsidR="00210BCC">
              <w:rPr>
                <w:rStyle w:val="Strong"/>
                <w:rFonts w:eastAsia="Arial"/>
                <w:b w:val="0"/>
                <w:bCs w:val="0"/>
              </w:rPr>
              <w:t>:</w:t>
            </w:r>
            <w:r>
              <w:rPr>
                <w:rStyle w:val="Strong"/>
                <w:rFonts w:eastAsia="Arial"/>
                <w:b w:val="0"/>
                <w:bCs w:val="0"/>
              </w:rPr>
              <w:t xml:space="preserve">30am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43820" w14:textId="77777777" w:rsidR="00637CBB" w:rsidRPr="00365737" w:rsidRDefault="00637CBB" w:rsidP="007B25AA">
            <w:pPr>
              <w:pStyle w:val="DHHStablebullet"/>
              <w:ind w:left="113" w:firstLine="0"/>
              <w:rPr>
                <w:rStyle w:val="Strong"/>
                <w:rFonts w:eastAsia="Arial"/>
                <w:b w:val="0"/>
                <w:bCs w:val="0"/>
              </w:rPr>
            </w:pPr>
            <w:r w:rsidRPr="00A751D6">
              <w:rPr>
                <w:rStyle w:val="Strong"/>
                <w:rFonts w:eastAsia="Arial"/>
                <w:b w:val="0"/>
                <w:bCs w:val="0"/>
              </w:rPr>
              <w:t>24 h</w:t>
            </w:r>
            <w:r>
              <w:rPr>
                <w:rStyle w:val="Strong"/>
                <w:rFonts w:eastAsia="Arial"/>
                <w:b w:val="0"/>
                <w:bCs w:val="0"/>
              </w:rPr>
              <w:t>rs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4B857" w14:textId="77777777" w:rsidR="00637CBB" w:rsidRDefault="00637CBB" w:rsidP="007B25AA">
            <w:pPr>
              <w:pStyle w:val="DHHStablebullet"/>
              <w:ind w:left="113" w:firstLine="0"/>
              <w:rPr>
                <w:rStyle w:val="Strong"/>
                <w:rFonts w:eastAsia="Arial"/>
                <w:b w:val="0"/>
                <w:bCs w:val="0"/>
              </w:rPr>
            </w:pPr>
            <w:r w:rsidRPr="00A751D6">
              <w:rPr>
                <w:rStyle w:val="Strong"/>
                <w:rFonts w:eastAsia="Arial"/>
                <w:b w:val="0"/>
                <w:bCs w:val="0"/>
              </w:rPr>
              <w:t>MMR</w:t>
            </w:r>
          </w:p>
          <w:p w14:paraId="2679F91F" w14:textId="3B49BC09" w:rsidR="00651CB2" w:rsidRPr="00365737" w:rsidRDefault="00651CB2" w:rsidP="007B25AA">
            <w:pPr>
              <w:pStyle w:val="DHHStablebullet"/>
              <w:ind w:left="113" w:firstLine="0"/>
              <w:rPr>
                <w:rStyle w:val="Strong"/>
                <w:rFonts w:eastAsia="Arial"/>
                <w:b w:val="0"/>
                <w:bCs w:val="0"/>
              </w:rPr>
            </w:pPr>
            <w:r>
              <w:rPr>
                <w:rStyle w:val="Strong"/>
                <w:rFonts w:eastAsia="Arial"/>
                <w:b w:val="0"/>
                <w:bCs w:val="0"/>
              </w:rPr>
              <w:t>administered 10/10/2025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6D768" w14:textId="77777777" w:rsidR="00637CBB" w:rsidRPr="00365737" w:rsidRDefault="00637CBB" w:rsidP="007B25AA">
            <w:pPr>
              <w:pStyle w:val="DHHStablebullet"/>
              <w:ind w:left="113" w:firstLine="0"/>
              <w:rPr>
                <w:rStyle w:val="Strong"/>
                <w:b w:val="0"/>
                <w:bCs w:val="0"/>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26CA7" w14:textId="77777777" w:rsidR="00637CBB" w:rsidRPr="00365737" w:rsidRDefault="00637CBB" w:rsidP="007B25AA">
            <w:pPr>
              <w:pStyle w:val="DHHStablebullet"/>
              <w:ind w:left="113" w:firstLine="0"/>
              <w:rPr>
                <w:rStyle w:val="Strong"/>
                <w:b w:val="0"/>
                <w:bCs w:val="0"/>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5EFB2B" w14:textId="1FF943BB" w:rsidR="00637CBB" w:rsidRDefault="00637CBB" w:rsidP="007B25AA">
            <w:pPr>
              <w:pStyle w:val="DHHStablebullet"/>
              <w:ind w:left="113" w:firstLine="0"/>
              <w:rPr>
                <w:rStyle w:val="Strong"/>
                <w:b w:val="0"/>
                <w:bCs w:val="0"/>
              </w:rPr>
            </w:pPr>
            <w:r>
              <w:rPr>
                <w:rStyle w:val="Strong"/>
                <w:b w:val="0"/>
                <w:bCs w:val="0"/>
              </w:rPr>
              <w:t>04</w:t>
            </w:r>
            <w:r w:rsidR="00E87321">
              <w:rPr>
                <w:rStyle w:val="Strong"/>
                <w:b w:val="0"/>
                <w:bCs w:val="0"/>
              </w:rPr>
              <w:t xml:space="preserve">XX XXX XXX </w:t>
            </w:r>
          </w:p>
          <w:p w14:paraId="30D65273" w14:textId="086763C8" w:rsidR="00637CBB" w:rsidRDefault="00E87321" w:rsidP="007B25AA">
            <w:pPr>
              <w:pStyle w:val="DHHStablebullet"/>
              <w:ind w:left="113" w:firstLine="0"/>
              <w:rPr>
                <w:rStyle w:val="Strong"/>
                <w:b w:val="0"/>
                <w:bCs w:val="0"/>
              </w:rPr>
            </w:pPr>
            <w:r>
              <w:t>XXX</w:t>
            </w:r>
            <w:r w:rsidR="00995EAA">
              <w:t>X</w:t>
            </w:r>
            <w:r w:rsidR="00BA36B4">
              <w:t>@email.com</w:t>
            </w:r>
            <w:r w:rsidR="00995EAA">
              <w:rPr>
                <w:rStyle w:val="Strong"/>
                <w:b w:val="0"/>
                <w:bCs w:val="0"/>
              </w:rPr>
              <w:t xml:space="preserve"> </w:t>
            </w:r>
          </w:p>
          <w:p w14:paraId="2925D79A" w14:textId="72DB19D4" w:rsidR="00637CBB" w:rsidRPr="00365737" w:rsidRDefault="00637CBB" w:rsidP="007B25AA">
            <w:pPr>
              <w:pStyle w:val="DHHStablebullet"/>
              <w:ind w:left="113" w:firstLine="0"/>
              <w:rPr>
                <w:rStyle w:val="Strong"/>
                <w:b w:val="0"/>
                <w:bCs w:val="0"/>
              </w:rPr>
            </w:pPr>
            <w:r>
              <w:rPr>
                <w:rStyle w:val="Strong"/>
                <w:b w:val="0"/>
                <w:bCs w:val="0"/>
              </w:rPr>
              <w:t>(mother</w:t>
            </w:r>
            <w:r w:rsidR="00995EAA">
              <w:rPr>
                <w:rStyle w:val="Strong"/>
                <w:b w:val="0"/>
                <w:bCs w:val="0"/>
              </w:rPr>
              <w:t xml:space="preserve"> - Jane</w:t>
            </w:r>
            <w:r>
              <w:rPr>
                <w:rStyle w:val="Strong"/>
                <w:b w:val="0"/>
                <w:bCs w:val="0"/>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FB6D9" w14:textId="4C673518" w:rsidR="00995EAA" w:rsidRDefault="00995EAA" w:rsidP="007B25AA">
            <w:pPr>
              <w:pStyle w:val="DHHStablebullet"/>
              <w:ind w:left="113" w:firstLine="0"/>
              <w:rPr>
                <w:rStyle w:val="Strong"/>
                <w:b w:val="0"/>
                <w:bCs w:val="0"/>
              </w:rPr>
            </w:pPr>
            <w:r>
              <w:rPr>
                <w:rStyle w:val="Strong"/>
                <w:b w:val="0"/>
                <w:bCs w:val="0"/>
              </w:rPr>
              <w:t>Not yet received 12mth MMR vaccine</w:t>
            </w:r>
          </w:p>
          <w:p w14:paraId="2BCCEFE9" w14:textId="45027B44" w:rsidR="00637CBB" w:rsidRPr="00365737" w:rsidRDefault="00637CBB" w:rsidP="007B25AA">
            <w:pPr>
              <w:pStyle w:val="DHHStablebullet"/>
              <w:ind w:left="113" w:firstLine="0"/>
              <w:rPr>
                <w:rStyle w:val="Strong"/>
                <w:b w:val="0"/>
                <w:bCs w:val="0"/>
              </w:rPr>
            </w:pPr>
            <w:r w:rsidRPr="00365737">
              <w:rPr>
                <w:rStyle w:val="Strong"/>
                <w:b w:val="0"/>
                <w:bCs w:val="0"/>
              </w:rPr>
              <w:t>M</w:t>
            </w:r>
            <w:r w:rsidRPr="00A751D6">
              <w:rPr>
                <w:rStyle w:val="Strong"/>
                <w:b w:val="0"/>
                <w:bCs w:val="0"/>
              </w:rPr>
              <w:t>easles Contact information sheet provided</w:t>
            </w:r>
          </w:p>
        </w:tc>
      </w:tr>
      <w:tr w:rsidR="00637CBB" w:rsidRPr="006002E7" w14:paraId="442A4E9D" w14:textId="77777777" w:rsidTr="00122BB4">
        <w:trPr>
          <w:trHeight w:val="1133"/>
        </w:trPr>
        <w:tc>
          <w:tcPr>
            <w:tcW w:w="1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283FE" w14:textId="357C9CB1" w:rsidR="00637CBB" w:rsidRPr="00365737" w:rsidRDefault="00637CBB" w:rsidP="007B25AA">
            <w:pPr>
              <w:pStyle w:val="DHHStablebullet"/>
              <w:ind w:left="113" w:firstLine="0"/>
              <w:rPr>
                <w:rStyle w:val="Strong"/>
                <w:rFonts w:eastAsia="Arial"/>
                <w:b w:val="0"/>
                <w:bCs w:val="0"/>
              </w:rPr>
            </w:pPr>
            <w:r w:rsidRPr="00A751D6">
              <w:rPr>
                <w:rStyle w:val="Strong"/>
                <w:rFonts w:eastAsia="Arial"/>
                <w:b w:val="0"/>
                <w:bCs w:val="0"/>
              </w:rPr>
              <w:t>J</w:t>
            </w:r>
            <w:r w:rsidR="00210BCC">
              <w:rPr>
                <w:rStyle w:val="Strong"/>
                <w:rFonts w:eastAsia="Arial"/>
                <w:b w:val="0"/>
                <w:bCs w:val="0"/>
              </w:rPr>
              <w:t>ane Doe</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E6C48" w14:textId="77777777" w:rsidR="00637CBB" w:rsidRPr="00365737" w:rsidRDefault="00637CBB" w:rsidP="007B25AA">
            <w:pPr>
              <w:pStyle w:val="DHHStablebullet"/>
              <w:ind w:left="113" w:firstLine="0"/>
              <w:rPr>
                <w:rStyle w:val="Strong"/>
                <w:rFonts w:eastAsia="Arial"/>
                <w:b w:val="0"/>
                <w:bCs w:val="0"/>
              </w:rPr>
            </w:pPr>
            <w:r>
              <w:rPr>
                <w:rStyle w:val="Strong"/>
                <w:rFonts w:eastAsia="Arial"/>
                <w:b w:val="0"/>
                <w:bCs w:val="0"/>
              </w:rPr>
              <w:t xml:space="preserve">18/07/1993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CEB29" w14:textId="77777777" w:rsidR="00637CBB" w:rsidRPr="00106647" w:rsidRDefault="00637CBB" w:rsidP="007B25AA">
            <w:pPr>
              <w:pStyle w:val="DHHStablebullet"/>
              <w:ind w:left="113" w:firstLine="0"/>
              <w:rPr>
                <w:rStyle w:val="Strong"/>
                <w:rFonts w:eastAsia="Arial"/>
                <w:b w:val="0"/>
                <w:bCs w:val="0"/>
              </w:rPr>
            </w:pPr>
            <w:r w:rsidRPr="00A751D6">
              <w:rPr>
                <w:rStyle w:val="Strong"/>
                <w:rFonts w:eastAsia="Arial"/>
                <w:b w:val="0"/>
                <w:bCs w:val="0"/>
              </w:rPr>
              <w:t>32 y</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6580B" w14:textId="6B2B0025" w:rsidR="00637CBB" w:rsidRDefault="00637CBB" w:rsidP="007B25AA">
            <w:pPr>
              <w:pStyle w:val="DHHStablebullet"/>
              <w:ind w:left="113" w:firstLine="0"/>
              <w:rPr>
                <w:rStyle w:val="Strong"/>
                <w:rFonts w:eastAsia="Arial"/>
                <w:b w:val="0"/>
                <w:bCs w:val="0"/>
              </w:rPr>
            </w:pPr>
            <w:r w:rsidRPr="00A751D6">
              <w:rPr>
                <w:rStyle w:val="Strong"/>
                <w:rFonts w:eastAsia="Arial"/>
                <w:b w:val="0"/>
                <w:bCs w:val="0"/>
              </w:rPr>
              <w:t>7 October 20</w:t>
            </w:r>
            <w:r w:rsidR="00210BCC">
              <w:rPr>
                <w:rStyle w:val="Strong"/>
                <w:rFonts w:eastAsia="Arial"/>
                <w:b w:val="0"/>
                <w:bCs w:val="0"/>
              </w:rPr>
              <w:t>25</w:t>
            </w:r>
            <w:r>
              <w:rPr>
                <w:rStyle w:val="Strong"/>
                <w:rFonts w:eastAsia="Arial"/>
                <w:b w:val="0"/>
                <w:bCs w:val="0"/>
              </w:rPr>
              <w:t xml:space="preserve"> </w:t>
            </w:r>
          </w:p>
          <w:p w14:paraId="2ACC50CD" w14:textId="1C550512" w:rsidR="00637CBB" w:rsidRPr="00365737" w:rsidRDefault="00122BB4" w:rsidP="00122BB4">
            <w:pPr>
              <w:pStyle w:val="DHHStablebullet"/>
              <w:ind w:left="113" w:firstLine="0"/>
              <w:rPr>
                <w:rStyle w:val="Strong"/>
                <w:rFonts w:eastAsia="Arial"/>
                <w:b w:val="0"/>
                <w:bCs w:val="0"/>
              </w:rPr>
            </w:pPr>
            <w:r>
              <w:rPr>
                <w:rStyle w:val="Strong"/>
                <w:rFonts w:eastAsia="Arial"/>
                <w:b w:val="0"/>
                <w:bCs w:val="0"/>
              </w:rPr>
              <w:t>10:15 – 11:30am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481CA" w14:textId="769D12A1" w:rsidR="00637CBB" w:rsidRPr="00365737" w:rsidRDefault="00E87321" w:rsidP="007B25AA">
            <w:pPr>
              <w:pStyle w:val="DHHStablebullet"/>
              <w:ind w:left="113" w:firstLine="0"/>
              <w:rPr>
                <w:rStyle w:val="Strong"/>
                <w:rFonts w:eastAsia="Arial"/>
                <w:b w:val="0"/>
                <w:bCs w:val="0"/>
              </w:rPr>
            </w:pPr>
            <w:r>
              <w:rPr>
                <w:rStyle w:val="Strong"/>
                <w:rFonts w:eastAsia="Arial"/>
                <w:b w:val="0"/>
                <w:bCs w:val="0"/>
              </w:rPr>
              <w:t>24</w:t>
            </w:r>
            <w:r w:rsidR="00637CBB" w:rsidRPr="00A751D6">
              <w:rPr>
                <w:rStyle w:val="Strong"/>
                <w:rFonts w:eastAsia="Arial"/>
                <w:b w:val="0"/>
                <w:bCs w:val="0"/>
              </w:rPr>
              <w:t xml:space="preserve"> </w:t>
            </w:r>
            <w:r w:rsidR="00637CBB">
              <w:rPr>
                <w:rStyle w:val="Strong"/>
                <w:rFonts w:eastAsia="Arial"/>
                <w:b w:val="0"/>
                <w:bCs w:val="0"/>
              </w:rPr>
              <w:t>hrs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D0C44" w14:textId="77777777" w:rsidR="00637CBB" w:rsidRDefault="00637CBB" w:rsidP="007B25AA">
            <w:pPr>
              <w:pStyle w:val="DHHStablebullet"/>
              <w:ind w:left="113" w:firstLine="0"/>
              <w:rPr>
                <w:rStyle w:val="Strong"/>
                <w:rFonts w:eastAsia="Arial"/>
                <w:b w:val="0"/>
                <w:bCs w:val="0"/>
              </w:rPr>
            </w:pPr>
            <w:r w:rsidRPr="00A751D6">
              <w:rPr>
                <w:rStyle w:val="Strong"/>
                <w:rFonts w:eastAsia="Arial"/>
                <w:b w:val="0"/>
                <w:bCs w:val="0"/>
              </w:rPr>
              <w:t>NHIg</w:t>
            </w:r>
          </w:p>
          <w:p w14:paraId="6BEC09C1" w14:textId="6620953F" w:rsidR="00CE7B4B" w:rsidRDefault="00CE7B4B" w:rsidP="007B25AA">
            <w:pPr>
              <w:pStyle w:val="DHHStablebullet"/>
              <w:ind w:left="113" w:firstLine="0"/>
              <w:rPr>
                <w:rStyle w:val="Strong"/>
                <w:rFonts w:eastAsia="Arial"/>
                <w:b w:val="0"/>
                <w:bCs w:val="0"/>
              </w:rPr>
            </w:pPr>
            <w:r>
              <w:rPr>
                <w:rStyle w:val="Strong"/>
                <w:rFonts w:eastAsia="Arial"/>
                <w:b w:val="0"/>
                <w:bCs w:val="0"/>
              </w:rPr>
              <w:t>administered</w:t>
            </w:r>
          </w:p>
          <w:p w14:paraId="0E3420DD" w14:textId="789F431E" w:rsidR="00CE7B4B" w:rsidRPr="00365737" w:rsidRDefault="00CE7B4B" w:rsidP="007B25AA">
            <w:pPr>
              <w:pStyle w:val="DHHStablebullet"/>
              <w:ind w:left="113" w:firstLine="0"/>
              <w:rPr>
                <w:rStyle w:val="Strong"/>
                <w:rFonts w:eastAsia="Arial"/>
                <w:b w:val="0"/>
                <w:bCs w:val="0"/>
              </w:rPr>
            </w:pPr>
            <w:r>
              <w:rPr>
                <w:rStyle w:val="Strong"/>
                <w:rFonts w:eastAsia="Arial"/>
                <w:b w:val="0"/>
                <w:bCs w:val="0"/>
              </w:rPr>
              <w:t>12/10/2025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DD8925" w14:textId="77777777" w:rsidR="00637CBB" w:rsidRPr="00365737" w:rsidRDefault="00637CBB" w:rsidP="007B25AA">
            <w:pPr>
              <w:pStyle w:val="DHHStablebullet"/>
              <w:ind w:left="113" w:firstLine="0"/>
              <w:rPr>
                <w:rStyle w:val="Strong"/>
                <w:b w:val="0"/>
                <w:bCs w:val="0"/>
              </w:rPr>
            </w:pPr>
            <w:r w:rsidRPr="00A751D6">
              <w:rPr>
                <w:rStyle w:val="Strong"/>
                <w:rFonts w:eastAsia="Arial"/>
                <w:b w:val="0"/>
                <w:bCs w:val="0"/>
              </w:rPr>
              <w:t>65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2EF29" w14:textId="77777777" w:rsidR="00637CBB" w:rsidRPr="00365737" w:rsidRDefault="00637CBB" w:rsidP="007B25AA">
            <w:pPr>
              <w:pStyle w:val="DHHStablebullet"/>
              <w:ind w:left="113" w:firstLine="0"/>
              <w:rPr>
                <w:rStyle w:val="Strong"/>
                <w:b w:val="0"/>
                <w:bCs w:val="0"/>
              </w:rPr>
            </w:pPr>
            <w:r w:rsidRPr="00A751D6">
              <w:rPr>
                <w:rStyle w:val="Strong"/>
                <w:b w:val="0"/>
                <w:bCs w:val="0"/>
              </w:rPr>
              <w:t>13 ml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DE3DF" w14:textId="6937A72C" w:rsidR="00637CBB" w:rsidRDefault="00637CBB" w:rsidP="007B25AA">
            <w:pPr>
              <w:pStyle w:val="DHHStablebullet"/>
              <w:ind w:left="113" w:firstLine="0"/>
              <w:rPr>
                <w:rStyle w:val="Strong"/>
                <w:b w:val="0"/>
                <w:bCs w:val="0"/>
              </w:rPr>
            </w:pPr>
            <w:r>
              <w:rPr>
                <w:rStyle w:val="Strong"/>
                <w:b w:val="0"/>
                <w:bCs w:val="0"/>
              </w:rPr>
              <w:t>04</w:t>
            </w:r>
            <w:r w:rsidR="00995EAA">
              <w:rPr>
                <w:rStyle w:val="Strong"/>
                <w:b w:val="0"/>
                <w:bCs w:val="0"/>
              </w:rPr>
              <w:t xml:space="preserve">XX XXX XXX </w:t>
            </w:r>
          </w:p>
          <w:p w14:paraId="481B9723" w14:textId="44CC3B79" w:rsidR="00637CBB" w:rsidRPr="008A46C7" w:rsidRDefault="00995EAA" w:rsidP="007B25AA">
            <w:pPr>
              <w:pStyle w:val="DHHStablebullet"/>
              <w:ind w:left="113" w:firstLine="0"/>
              <w:rPr>
                <w:rStyle w:val="Strong"/>
                <w:rFonts w:eastAsia="Arial"/>
                <w:b w:val="0"/>
                <w:bCs w:val="0"/>
              </w:rPr>
            </w:pPr>
            <w:r>
              <w:rPr>
                <w:rStyle w:val="Strong"/>
                <w:b w:val="0"/>
                <w:bCs w:val="0"/>
              </w:rPr>
              <w:t>XXXX</w:t>
            </w:r>
            <w:r w:rsidR="00637CBB">
              <w:rPr>
                <w:rStyle w:val="Strong"/>
                <w:b w:val="0"/>
                <w:bCs w:val="0"/>
              </w:rPr>
              <w:t>@</w:t>
            </w:r>
            <w:r w:rsidR="00BA36B4">
              <w:rPr>
                <w:rStyle w:val="Strong"/>
                <w:b w:val="0"/>
                <w:bCs w:val="0"/>
              </w:rPr>
              <w:t>email</w:t>
            </w:r>
            <w:r w:rsidR="00637CBB">
              <w:rPr>
                <w:rStyle w:val="Strong"/>
                <w:b w:val="0"/>
                <w:bCs w:val="0"/>
              </w:rPr>
              <w:t>.com</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1EB3C" w14:textId="77777777" w:rsidR="00637CBB" w:rsidRPr="00365737" w:rsidRDefault="00637CBB" w:rsidP="007B25AA">
            <w:pPr>
              <w:pStyle w:val="DHHStablebullet"/>
              <w:ind w:left="113" w:firstLine="0"/>
              <w:rPr>
                <w:rStyle w:val="Strong"/>
                <w:rFonts w:eastAsia="Arial"/>
                <w:b w:val="0"/>
                <w:bCs w:val="0"/>
              </w:rPr>
            </w:pPr>
            <w:r w:rsidRPr="00A751D6">
              <w:rPr>
                <w:rStyle w:val="Strong"/>
                <w:rFonts w:eastAsia="Arial"/>
                <w:b w:val="0"/>
                <w:bCs w:val="0"/>
              </w:rPr>
              <w:t>Pregnant, non-immune, MMR contraindicated</w:t>
            </w:r>
          </w:p>
        </w:tc>
      </w:tr>
      <w:tr w:rsidR="00637CBB" w:rsidRPr="006002E7" w14:paraId="7B43A06B" w14:textId="77777777" w:rsidTr="00BB1F74">
        <w:trPr>
          <w:trHeight w:val="1121"/>
        </w:trPr>
        <w:tc>
          <w:tcPr>
            <w:tcW w:w="1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CE5AB" w14:textId="1C1D1028" w:rsidR="00637CBB" w:rsidRPr="00365737" w:rsidRDefault="00BA36B4" w:rsidP="007B25AA">
            <w:pPr>
              <w:pStyle w:val="DHHStablebullet"/>
              <w:ind w:left="113" w:firstLine="0"/>
              <w:rPr>
                <w:rStyle w:val="Strong"/>
                <w:rFonts w:eastAsia="Arial"/>
                <w:b w:val="0"/>
                <w:bCs w:val="0"/>
              </w:rPr>
            </w:pPr>
            <w:r>
              <w:rPr>
                <w:rStyle w:val="Strong"/>
                <w:rFonts w:eastAsia="Arial"/>
                <w:b w:val="0"/>
                <w:bCs w:val="0"/>
              </w:rPr>
              <w:t>Joe Bloggs</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3B4D9" w14:textId="77777777" w:rsidR="00637CBB" w:rsidRPr="00365737" w:rsidRDefault="00637CBB" w:rsidP="007B25AA">
            <w:pPr>
              <w:pStyle w:val="DHHStablebullet"/>
              <w:ind w:left="113" w:firstLine="0"/>
              <w:rPr>
                <w:rStyle w:val="Strong"/>
                <w:rFonts w:eastAsia="Arial"/>
                <w:b w:val="0"/>
                <w:bCs w:val="0"/>
              </w:rPr>
            </w:pPr>
            <w:r>
              <w:rPr>
                <w:rStyle w:val="Strong"/>
                <w:rFonts w:eastAsia="Arial"/>
                <w:b w:val="0"/>
                <w:bCs w:val="0"/>
              </w:rPr>
              <w:t xml:space="preserve">09/12/2009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DE00A" w14:textId="77777777" w:rsidR="00637CBB" w:rsidRPr="00106647" w:rsidRDefault="00637CBB" w:rsidP="007B25AA">
            <w:pPr>
              <w:pStyle w:val="DHHStablebullet"/>
              <w:ind w:left="113" w:firstLine="0"/>
              <w:rPr>
                <w:rStyle w:val="Strong"/>
                <w:rFonts w:eastAsia="Arial"/>
                <w:b w:val="0"/>
                <w:bCs w:val="0"/>
              </w:rPr>
            </w:pPr>
            <w:r w:rsidRPr="00A751D6">
              <w:rPr>
                <w:rStyle w:val="Strong"/>
                <w:rFonts w:eastAsia="Arial"/>
                <w:b w:val="0"/>
                <w:bCs w:val="0"/>
              </w:rPr>
              <w:t>16 y</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24471" w14:textId="77777777" w:rsidR="00637CBB" w:rsidRDefault="00637CBB" w:rsidP="007B25AA">
            <w:pPr>
              <w:pStyle w:val="DHHStablebullet"/>
              <w:ind w:left="113" w:firstLine="0"/>
              <w:rPr>
                <w:rStyle w:val="Strong"/>
                <w:rFonts w:eastAsia="Arial"/>
                <w:b w:val="0"/>
                <w:bCs w:val="0"/>
              </w:rPr>
            </w:pPr>
            <w:r w:rsidRPr="00A751D6">
              <w:rPr>
                <w:rStyle w:val="Strong"/>
                <w:rFonts w:eastAsia="Arial"/>
                <w:b w:val="0"/>
                <w:bCs w:val="0"/>
              </w:rPr>
              <w:t>2 October 20</w:t>
            </w:r>
            <w:r w:rsidR="00BA36B4">
              <w:rPr>
                <w:rStyle w:val="Strong"/>
                <w:rFonts w:eastAsia="Arial"/>
                <w:b w:val="0"/>
                <w:bCs w:val="0"/>
              </w:rPr>
              <w:t>25</w:t>
            </w:r>
          </w:p>
          <w:p w14:paraId="7B1839A2" w14:textId="15C4DD5E" w:rsidR="00122BB4" w:rsidRDefault="00122BB4" w:rsidP="007B25AA">
            <w:pPr>
              <w:pStyle w:val="DHHStablebullet"/>
              <w:ind w:left="113" w:firstLine="0"/>
              <w:rPr>
                <w:rStyle w:val="Strong"/>
                <w:rFonts w:eastAsia="Arial"/>
                <w:b w:val="0"/>
                <w:bCs w:val="0"/>
              </w:rPr>
            </w:pPr>
            <w:r>
              <w:rPr>
                <w:rStyle w:val="Strong"/>
                <w:rFonts w:eastAsia="Arial"/>
                <w:b w:val="0"/>
                <w:bCs w:val="0"/>
              </w:rPr>
              <w:t xml:space="preserve">9:00 </w:t>
            </w:r>
            <w:r w:rsidR="00BB1F74">
              <w:rPr>
                <w:rStyle w:val="Strong"/>
                <w:rFonts w:eastAsia="Arial"/>
                <w:b w:val="0"/>
                <w:bCs w:val="0"/>
              </w:rPr>
              <w:t>–</w:t>
            </w:r>
            <w:r>
              <w:rPr>
                <w:rStyle w:val="Strong"/>
                <w:rFonts w:eastAsia="Arial"/>
                <w:b w:val="0"/>
                <w:bCs w:val="0"/>
              </w:rPr>
              <w:t xml:space="preserve"> </w:t>
            </w:r>
            <w:r w:rsidR="00BB1F74">
              <w:rPr>
                <w:rStyle w:val="Strong"/>
                <w:rFonts w:eastAsia="Arial"/>
                <w:b w:val="0"/>
                <w:bCs w:val="0"/>
              </w:rPr>
              <w:t>9:20am</w:t>
            </w:r>
          </w:p>
          <w:p w14:paraId="40F8DF89" w14:textId="0FBBAB98" w:rsidR="00310011" w:rsidRPr="00365737" w:rsidRDefault="00310011" w:rsidP="007B25AA">
            <w:pPr>
              <w:pStyle w:val="DHHStablebullet"/>
              <w:ind w:left="113" w:firstLine="0"/>
              <w:rPr>
                <w:rStyle w:val="Strong"/>
                <w:rFonts w:eastAsia="Arial"/>
                <w:b w:val="0"/>
                <w:bCs w:val="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46702" w14:textId="77777777" w:rsidR="00637CBB" w:rsidRPr="00365737" w:rsidRDefault="00637CBB" w:rsidP="007B25AA">
            <w:pPr>
              <w:pStyle w:val="DHHStablebullet"/>
              <w:ind w:left="113" w:firstLine="0"/>
              <w:rPr>
                <w:rStyle w:val="Strong"/>
                <w:rFonts w:eastAsia="Arial"/>
                <w:b w:val="0"/>
                <w:bCs w:val="0"/>
              </w:rPr>
            </w:pPr>
            <w:r>
              <w:rPr>
                <w:rStyle w:val="Strong"/>
                <w:rFonts w:eastAsia="Arial"/>
                <w:b w:val="0"/>
                <w:bCs w:val="0"/>
              </w:rPr>
              <w:t>172 hrs</w:t>
            </w:r>
            <w:r w:rsidRPr="00A751D6">
              <w:rPr>
                <w:rStyle w:val="Strong"/>
                <w:rFonts w:eastAsia="Arial"/>
                <w:b w:val="0"/>
                <w:bCs w:val="0"/>
              </w:rPr>
              <w:t xml:space="preserv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08235" w14:textId="77777777" w:rsidR="00637CBB" w:rsidRPr="00365737" w:rsidRDefault="00637CBB" w:rsidP="007B25AA">
            <w:pPr>
              <w:pStyle w:val="DHHStablebullet"/>
              <w:ind w:left="113" w:firstLine="0"/>
              <w:rPr>
                <w:rStyle w:val="Strong"/>
                <w:rFonts w:eastAsia="Arial"/>
                <w:b w:val="0"/>
                <w:bCs w:val="0"/>
              </w:rPr>
            </w:pPr>
            <w:r>
              <w:rPr>
                <w:rStyle w:val="Strong"/>
                <w:rFonts w:eastAsia="Arial"/>
                <w:b w:val="0"/>
                <w:bCs w:val="0"/>
              </w:rPr>
              <w:t>Outside of PEP window</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5FF3DB" w14:textId="77777777" w:rsidR="00637CBB" w:rsidRPr="00365737" w:rsidRDefault="00637CBB" w:rsidP="007B25AA">
            <w:pPr>
              <w:pStyle w:val="DHHStablebullet"/>
              <w:ind w:left="113" w:firstLine="0"/>
              <w:rPr>
                <w:rStyle w:val="Strong"/>
                <w:rFonts w:eastAsia="Arial"/>
                <w:b w:val="0"/>
                <w:bCs w:val="0"/>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1B1923" w14:textId="77777777" w:rsidR="00637CBB" w:rsidRPr="00365737" w:rsidRDefault="00637CBB" w:rsidP="007B25AA">
            <w:pPr>
              <w:pStyle w:val="DHHStablebullet"/>
              <w:ind w:left="113" w:firstLine="0"/>
              <w:rPr>
                <w:rStyle w:val="Strong"/>
                <w:b w:val="0"/>
                <w:bCs w:val="0"/>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AFA81" w14:textId="77777777" w:rsidR="00BA36B4" w:rsidRDefault="00BA36B4" w:rsidP="007B25AA">
            <w:pPr>
              <w:pStyle w:val="DHHStablebullet"/>
              <w:ind w:left="113" w:firstLine="0"/>
              <w:rPr>
                <w:rStyle w:val="Strong"/>
                <w:b w:val="0"/>
                <w:bCs w:val="0"/>
              </w:rPr>
            </w:pPr>
            <w:r>
              <w:rPr>
                <w:rStyle w:val="Strong"/>
                <w:b w:val="0"/>
                <w:bCs w:val="0"/>
              </w:rPr>
              <w:t>04XX XXX XXX</w:t>
            </w:r>
          </w:p>
          <w:p w14:paraId="26A021DE" w14:textId="50229320" w:rsidR="00637CBB" w:rsidRPr="008A46C7" w:rsidRDefault="00AC727C" w:rsidP="007B25AA">
            <w:pPr>
              <w:pStyle w:val="DHHStablebullet"/>
              <w:ind w:left="113" w:firstLine="0"/>
              <w:rPr>
                <w:rStyle w:val="Strong"/>
                <w:rFonts w:eastAsia="Arial"/>
                <w:b w:val="0"/>
                <w:bCs w:val="0"/>
              </w:rPr>
            </w:pPr>
            <w:r>
              <w:rPr>
                <w:rStyle w:val="Strong"/>
                <w:b w:val="0"/>
                <w:bCs w:val="0"/>
              </w:rPr>
              <w:t>XXXX</w:t>
            </w:r>
            <w:r w:rsidR="00637CBB">
              <w:rPr>
                <w:rStyle w:val="Strong"/>
                <w:b w:val="0"/>
                <w:bCs w:val="0"/>
              </w:rPr>
              <w:t>@</w:t>
            </w:r>
            <w:r w:rsidR="00CE7B4B">
              <w:rPr>
                <w:rStyle w:val="Strong"/>
                <w:b w:val="0"/>
                <w:bCs w:val="0"/>
              </w:rPr>
              <w:t>e</w:t>
            </w:r>
            <w:r w:rsidR="00637CBB">
              <w:rPr>
                <w:rStyle w:val="Strong"/>
                <w:b w:val="0"/>
                <w:bCs w:val="0"/>
              </w:rPr>
              <w:t>mail.com</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6E327" w14:textId="77777777" w:rsidR="00AC727C" w:rsidRDefault="00AC727C" w:rsidP="007B25AA">
            <w:pPr>
              <w:pStyle w:val="DHHStablebullet"/>
              <w:ind w:left="113" w:firstLine="0"/>
              <w:rPr>
                <w:rStyle w:val="Strong"/>
                <w:rFonts w:eastAsia="Arial"/>
                <w:b w:val="0"/>
                <w:bCs w:val="0"/>
              </w:rPr>
            </w:pPr>
            <w:r>
              <w:rPr>
                <w:rStyle w:val="Strong"/>
                <w:rFonts w:eastAsia="Arial"/>
                <w:b w:val="0"/>
                <w:bCs w:val="0"/>
              </w:rPr>
              <w:t>Unknown Measles vaccination status</w:t>
            </w:r>
          </w:p>
          <w:p w14:paraId="6840066E" w14:textId="0FE8C980" w:rsidR="00637CBB" w:rsidRPr="00365737" w:rsidRDefault="00637CBB" w:rsidP="007B25AA">
            <w:pPr>
              <w:pStyle w:val="DHHStablebullet"/>
              <w:ind w:left="113" w:firstLine="0"/>
              <w:rPr>
                <w:rStyle w:val="Strong"/>
                <w:rFonts w:eastAsia="Arial"/>
                <w:b w:val="0"/>
                <w:bCs w:val="0"/>
              </w:rPr>
            </w:pPr>
            <w:r w:rsidRPr="00A751D6">
              <w:rPr>
                <w:rStyle w:val="Strong"/>
                <w:rFonts w:eastAsia="Arial"/>
                <w:b w:val="0"/>
                <w:bCs w:val="0"/>
              </w:rPr>
              <w:t>Measles Contact information sheet provided</w:t>
            </w:r>
          </w:p>
        </w:tc>
      </w:tr>
    </w:tbl>
    <w:p w14:paraId="5203375D" w14:textId="2C62CA16" w:rsidR="00747AC6" w:rsidRPr="00747AC6" w:rsidRDefault="00611DEF" w:rsidP="00747AC6">
      <w:r>
        <w:t>*</w:t>
      </w:r>
      <w:r w:rsidR="00695383">
        <w:t xml:space="preserve"> </w:t>
      </w:r>
      <w:r w:rsidR="00695383" w:rsidRPr="001C6A10">
        <w:rPr>
          <w:i/>
          <w:iCs/>
          <w:sz w:val="18"/>
          <w:szCs w:val="18"/>
        </w:rPr>
        <w:t>The</w:t>
      </w:r>
      <w:r w:rsidR="00BE4F82" w:rsidRPr="001C6A10">
        <w:rPr>
          <w:i/>
          <w:iCs/>
          <w:sz w:val="18"/>
          <w:szCs w:val="18"/>
        </w:rPr>
        <w:t xml:space="preserve"> details in this table </w:t>
      </w:r>
      <w:r w:rsidR="00E72DE5">
        <w:rPr>
          <w:i/>
          <w:iCs/>
          <w:sz w:val="18"/>
          <w:szCs w:val="18"/>
        </w:rPr>
        <w:t xml:space="preserve">have been created for </w:t>
      </w:r>
      <w:r w:rsidR="000A65E0" w:rsidRPr="001C6A10">
        <w:rPr>
          <w:i/>
          <w:iCs/>
          <w:sz w:val="18"/>
          <w:szCs w:val="18"/>
        </w:rPr>
        <w:t>example</w:t>
      </w:r>
      <w:r w:rsidR="00E72DE5">
        <w:rPr>
          <w:i/>
          <w:iCs/>
          <w:sz w:val="18"/>
          <w:szCs w:val="18"/>
        </w:rPr>
        <w:t xml:space="preserve"> purposes</w:t>
      </w:r>
      <w:r w:rsidR="000A65E0" w:rsidRPr="001C6A10">
        <w:rPr>
          <w:i/>
          <w:iCs/>
          <w:sz w:val="18"/>
          <w:szCs w:val="18"/>
        </w:rPr>
        <w:t xml:space="preserve"> only, they do not represent real</w:t>
      </w:r>
      <w:r w:rsidR="00E50F40" w:rsidRPr="001C6A10">
        <w:rPr>
          <w:i/>
          <w:iCs/>
          <w:sz w:val="18"/>
          <w:szCs w:val="18"/>
        </w:rPr>
        <w:t xml:space="preserve"> </w:t>
      </w:r>
      <w:r w:rsidR="0005347F">
        <w:rPr>
          <w:i/>
          <w:iCs/>
          <w:sz w:val="18"/>
          <w:szCs w:val="18"/>
        </w:rPr>
        <w:t xml:space="preserve">details of </w:t>
      </w:r>
      <w:r w:rsidR="00E50F40" w:rsidRPr="001C6A10">
        <w:rPr>
          <w:i/>
          <w:iCs/>
          <w:sz w:val="18"/>
          <w:szCs w:val="18"/>
        </w:rPr>
        <w:t>people</w:t>
      </w:r>
      <w:r w:rsidR="0005347F">
        <w:rPr>
          <w:i/>
          <w:iCs/>
          <w:sz w:val="18"/>
          <w:szCs w:val="18"/>
        </w:rPr>
        <w:t xml:space="preserve"> involved in a current or previous measles outbreak</w:t>
      </w:r>
    </w:p>
    <w:sectPr w:rsidR="00747AC6" w:rsidRPr="00747AC6" w:rsidSect="007976B6">
      <w:type w:val="continuous"/>
      <w:pgSz w:w="16838" w:h="11906" w:orient="landscape" w:code="9"/>
      <w:pgMar w:top="851" w:right="1418" w:bottom="851" w:left="1418"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9EE74" w14:textId="77777777" w:rsidR="00383412" w:rsidRDefault="00383412" w:rsidP="007976B6">
      <w:pPr>
        <w:spacing w:after="0" w:line="240" w:lineRule="auto"/>
      </w:pPr>
      <w:r>
        <w:separator/>
      </w:r>
    </w:p>
  </w:endnote>
  <w:endnote w:type="continuationSeparator" w:id="0">
    <w:p w14:paraId="5CDBEFE3" w14:textId="77777777" w:rsidR="00383412" w:rsidRDefault="00383412" w:rsidP="007976B6">
      <w:pPr>
        <w:spacing w:after="0" w:line="240" w:lineRule="auto"/>
      </w:pPr>
      <w:r>
        <w:continuationSeparator/>
      </w:r>
    </w:p>
  </w:endnote>
  <w:endnote w:type="continuationNotice" w:id="1">
    <w:p w14:paraId="093D6EA0" w14:textId="77777777" w:rsidR="00383412" w:rsidRDefault="003834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D476A" w14:textId="4E2BB603" w:rsidR="00C35517" w:rsidRDefault="007976B6">
    <w:pPr>
      <w:pStyle w:val="Footer"/>
    </w:pPr>
    <w:r>
      <w:rPr>
        <w:noProof/>
        <w14:ligatures w14:val="standardContextual"/>
      </w:rPr>
      <mc:AlternateContent>
        <mc:Choice Requires="wps">
          <w:drawing>
            <wp:anchor distT="0" distB="0" distL="0" distR="0" simplePos="0" relativeHeight="251658242" behindDoc="0" locked="0" layoutInCell="1" allowOverlap="1" wp14:anchorId="7DF26B13" wp14:editId="37742095">
              <wp:simplePos x="635" y="635"/>
              <wp:positionH relativeFrom="page">
                <wp:align>center</wp:align>
              </wp:positionH>
              <wp:positionV relativeFrom="page">
                <wp:align>bottom</wp:align>
              </wp:positionV>
              <wp:extent cx="656590" cy="369570"/>
              <wp:effectExtent l="0" t="0" r="10160" b="0"/>
              <wp:wrapNone/>
              <wp:docPr id="2032565100"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C3B0B85" w14:textId="0035E2A9" w:rsidR="007976B6" w:rsidRPr="007976B6" w:rsidRDefault="007976B6" w:rsidP="007976B6">
                          <w:pPr>
                            <w:spacing w:after="0"/>
                            <w:rPr>
                              <w:rFonts w:ascii="Arial Black" w:eastAsia="Arial Black" w:hAnsi="Arial Black" w:cs="Arial Black"/>
                              <w:noProof/>
                              <w:color w:val="000000"/>
                              <w:sz w:val="20"/>
                            </w:rPr>
                          </w:pPr>
                          <w:r w:rsidRPr="007976B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F26B13" id="_x0000_t202" coordsize="21600,21600" o:spt="202" path="m,l,21600r21600,l21600,xe">
              <v:stroke joinstyle="miter"/>
              <v:path gradientshapeok="t" o:connecttype="rect"/>
            </v:shapetype>
            <v:shape id="Text Box 2" o:spid="_x0000_s1026" type="#_x0000_t202" alt="OFFICIAL" style="position:absolute;left:0;text-align:left;margin-left:0;margin-top:0;width:51.7pt;height:29.1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7C3B0B85" w14:textId="0035E2A9" w:rsidR="007976B6" w:rsidRPr="007976B6" w:rsidRDefault="007976B6" w:rsidP="007976B6">
                    <w:pPr>
                      <w:spacing w:after="0"/>
                      <w:rPr>
                        <w:rFonts w:ascii="Arial Black" w:eastAsia="Arial Black" w:hAnsi="Arial Black" w:cs="Arial Black"/>
                        <w:noProof/>
                        <w:color w:val="000000"/>
                        <w:sz w:val="20"/>
                      </w:rPr>
                    </w:pPr>
                    <w:r w:rsidRPr="007976B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DC0EA" w14:textId="54CDBC44" w:rsidR="00C35517" w:rsidRPr="00F65AA9" w:rsidRDefault="007976B6">
    <w:pPr>
      <w:pStyle w:val="Footer"/>
    </w:pPr>
    <w:r>
      <w:rPr>
        <w:noProof/>
        <w:lang w:eastAsia="en-AU"/>
        <w14:ligatures w14:val="standardContextual"/>
      </w:rPr>
      <mc:AlternateContent>
        <mc:Choice Requires="wps">
          <w:drawing>
            <wp:anchor distT="0" distB="0" distL="0" distR="0" simplePos="0" relativeHeight="251658243" behindDoc="0" locked="0" layoutInCell="1" allowOverlap="1" wp14:anchorId="73BC5EEE" wp14:editId="5DF8EDA3">
              <wp:simplePos x="635" y="635"/>
              <wp:positionH relativeFrom="page">
                <wp:align>center</wp:align>
              </wp:positionH>
              <wp:positionV relativeFrom="page">
                <wp:align>bottom</wp:align>
              </wp:positionV>
              <wp:extent cx="656590" cy="369570"/>
              <wp:effectExtent l="0" t="0" r="10160" b="0"/>
              <wp:wrapNone/>
              <wp:docPr id="6993596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81C72EA" w14:textId="06715AC5" w:rsidR="007976B6" w:rsidRPr="007976B6" w:rsidRDefault="007976B6" w:rsidP="007976B6">
                          <w:pPr>
                            <w:spacing w:after="0"/>
                            <w:rPr>
                              <w:rFonts w:ascii="Arial Black" w:eastAsia="Arial Black" w:hAnsi="Arial Black" w:cs="Arial Black"/>
                              <w:noProof/>
                              <w:color w:val="000000"/>
                              <w:sz w:val="20"/>
                            </w:rPr>
                          </w:pPr>
                          <w:r w:rsidRPr="007976B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BC5EEE" id="_x0000_t202" coordsize="21600,21600" o:spt="202" path="m,l,21600r21600,l21600,xe">
              <v:stroke joinstyle="miter"/>
              <v:path gradientshapeok="t" o:connecttype="rect"/>
            </v:shapetype>
            <v:shape id="Text Box 3" o:spid="_x0000_s1027" type="#_x0000_t202" alt="OFFICIAL" style="position:absolute;left:0;text-align:left;margin-left:0;margin-top:0;width:51.7pt;height:29.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481C72EA" w14:textId="06715AC5" w:rsidR="007976B6" w:rsidRPr="007976B6" w:rsidRDefault="007976B6" w:rsidP="007976B6">
                    <w:pPr>
                      <w:spacing w:after="0"/>
                      <w:rPr>
                        <w:rFonts w:ascii="Arial Black" w:eastAsia="Arial Black" w:hAnsi="Arial Black" w:cs="Arial Black"/>
                        <w:noProof/>
                        <w:color w:val="000000"/>
                        <w:sz w:val="20"/>
                      </w:rPr>
                    </w:pPr>
                    <w:r w:rsidRPr="007976B6">
                      <w:rPr>
                        <w:rFonts w:ascii="Arial Black" w:eastAsia="Arial Black" w:hAnsi="Arial Black" w:cs="Arial Black"/>
                        <w:noProof/>
                        <w:color w:val="000000"/>
                        <w:sz w:val="20"/>
                      </w:rPr>
                      <w:t>OFFICIAL</w:t>
                    </w:r>
                  </w:p>
                </w:txbxContent>
              </v:textbox>
              <w10:wrap anchorx="page" anchory="page"/>
            </v:shape>
          </w:pict>
        </mc:Fallback>
      </mc:AlternateContent>
    </w:r>
    <w:r>
      <w:rPr>
        <w:noProof/>
        <w:lang w:eastAsia="en-AU"/>
      </w:rPr>
      <w:drawing>
        <wp:anchor distT="0" distB="0" distL="114300" distR="114300" simplePos="0" relativeHeight="251658240" behindDoc="1" locked="1" layoutInCell="1" allowOverlap="1" wp14:anchorId="5A4E9F2D" wp14:editId="153D69E0">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B67B" w14:textId="57E25C7B" w:rsidR="00C35517" w:rsidRDefault="007976B6">
    <w:pPr>
      <w:pStyle w:val="Footer"/>
    </w:pPr>
    <w:r>
      <w:rPr>
        <w:noProof/>
        <w14:ligatures w14:val="standardContextual"/>
      </w:rPr>
      <mc:AlternateContent>
        <mc:Choice Requires="wps">
          <w:drawing>
            <wp:anchor distT="0" distB="0" distL="0" distR="0" simplePos="0" relativeHeight="251658241" behindDoc="0" locked="0" layoutInCell="1" allowOverlap="1" wp14:anchorId="2202B054" wp14:editId="12BA770F">
              <wp:simplePos x="635" y="635"/>
              <wp:positionH relativeFrom="page">
                <wp:align>center</wp:align>
              </wp:positionH>
              <wp:positionV relativeFrom="page">
                <wp:align>bottom</wp:align>
              </wp:positionV>
              <wp:extent cx="656590" cy="369570"/>
              <wp:effectExtent l="0" t="0" r="10160" b="0"/>
              <wp:wrapNone/>
              <wp:docPr id="1997847958"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7CE0E35" w14:textId="7703E6DC" w:rsidR="007976B6" w:rsidRPr="007976B6" w:rsidRDefault="007976B6" w:rsidP="007976B6">
                          <w:pPr>
                            <w:spacing w:after="0"/>
                            <w:rPr>
                              <w:rFonts w:ascii="Arial Black" w:eastAsia="Arial Black" w:hAnsi="Arial Black" w:cs="Arial Black"/>
                              <w:noProof/>
                              <w:color w:val="000000"/>
                              <w:sz w:val="20"/>
                            </w:rPr>
                          </w:pPr>
                          <w:r w:rsidRPr="007976B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02B054" id="_x0000_t202" coordsize="21600,21600" o:spt="202" path="m,l,21600r21600,l21600,xe">
              <v:stroke joinstyle="miter"/>
              <v:path gradientshapeok="t" o:connecttype="rect"/>
            </v:shapetype>
            <v:shape id="Text Box 1" o:spid="_x0000_s1028" type="#_x0000_t202" alt="OFFICIAL" style="position:absolute;left:0;text-align:left;margin-left:0;margin-top:0;width:51.7pt;height:29.1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37CE0E35" w14:textId="7703E6DC" w:rsidR="007976B6" w:rsidRPr="007976B6" w:rsidRDefault="007976B6" w:rsidP="007976B6">
                    <w:pPr>
                      <w:spacing w:after="0"/>
                      <w:rPr>
                        <w:rFonts w:ascii="Arial Black" w:eastAsia="Arial Black" w:hAnsi="Arial Black" w:cs="Arial Black"/>
                        <w:noProof/>
                        <w:color w:val="000000"/>
                        <w:sz w:val="20"/>
                      </w:rPr>
                    </w:pPr>
                    <w:r w:rsidRPr="007976B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02016" w14:textId="48AF7DA4" w:rsidR="007976B6" w:rsidRDefault="007976B6">
    <w:pPr>
      <w:pStyle w:val="Footer"/>
    </w:pPr>
    <w:r>
      <w:rPr>
        <w:noProof/>
        <w14:ligatures w14:val="standardContextual"/>
      </w:rPr>
      <mc:AlternateContent>
        <mc:Choice Requires="wps">
          <w:drawing>
            <wp:anchor distT="0" distB="0" distL="0" distR="0" simplePos="0" relativeHeight="251658245" behindDoc="0" locked="0" layoutInCell="1" allowOverlap="1" wp14:anchorId="0F73EA5A" wp14:editId="7A9FF65A">
              <wp:simplePos x="635" y="635"/>
              <wp:positionH relativeFrom="page">
                <wp:align>center</wp:align>
              </wp:positionH>
              <wp:positionV relativeFrom="page">
                <wp:align>bottom</wp:align>
              </wp:positionV>
              <wp:extent cx="656590" cy="369570"/>
              <wp:effectExtent l="0" t="0" r="10160" b="0"/>
              <wp:wrapNone/>
              <wp:docPr id="48172775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E7059B3" w14:textId="472E1114" w:rsidR="007976B6" w:rsidRPr="007976B6" w:rsidRDefault="007976B6" w:rsidP="007976B6">
                          <w:pPr>
                            <w:spacing w:after="0"/>
                            <w:rPr>
                              <w:rFonts w:ascii="Arial Black" w:eastAsia="Arial Black" w:hAnsi="Arial Black" w:cs="Arial Black"/>
                              <w:noProof/>
                              <w:color w:val="000000"/>
                              <w:sz w:val="20"/>
                            </w:rPr>
                          </w:pPr>
                          <w:r w:rsidRPr="007976B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73EA5A" id="_x0000_t202" coordsize="21600,21600" o:spt="202" path="m,l,21600r21600,l21600,xe">
              <v:stroke joinstyle="miter"/>
              <v:path gradientshapeok="t" o:connecttype="rect"/>
            </v:shapetype>
            <v:shape id="Text Box 5" o:spid="_x0000_s1029" type="#_x0000_t202" alt="OFFICIAL" style="position:absolute;left:0;text-align:left;margin-left:0;margin-top:0;width:51.7pt;height:29.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4E7059B3" w14:textId="472E1114" w:rsidR="007976B6" w:rsidRPr="007976B6" w:rsidRDefault="007976B6" w:rsidP="007976B6">
                    <w:pPr>
                      <w:spacing w:after="0"/>
                      <w:rPr>
                        <w:rFonts w:ascii="Arial Black" w:eastAsia="Arial Black" w:hAnsi="Arial Black" w:cs="Arial Black"/>
                        <w:noProof/>
                        <w:color w:val="000000"/>
                        <w:sz w:val="20"/>
                      </w:rPr>
                    </w:pPr>
                    <w:r w:rsidRPr="007976B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BE3E4" w14:textId="24703482" w:rsidR="007976B6" w:rsidRDefault="007976B6">
    <w:pPr>
      <w:pStyle w:val="Footer"/>
    </w:pPr>
    <w:r>
      <w:rPr>
        <w:noProof/>
        <w14:ligatures w14:val="standardContextual"/>
      </w:rPr>
      <mc:AlternateContent>
        <mc:Choice Requires="wps">
          <w:drawing>
            <wp:anchor distT="0" distB="0" distL="0" distR="0" simplePos="0" relativeHeight="251658246" behindDoc="0" locked="0" layoutInCell="1" allowOverlap="1" wp14:anchorId="7F9B30BF" wp14:editId="088656AA">
              <wp:simplePos x="635" y="635"/>
              <wp:positionH relativeFrom="page">
                <wp:align>center</wp:align>
              </wp:positionH>
              <wp:positionV relativeFrom="page">
                <wp:align>bottom</wp:align>
              </wp:positionV>
              <wp:extent cx="656590" cy="369570"/>
              <wp:effectExtent l="0" t="0" r="10160" b="0"/>
              <wp:wrapNone/>
              <wp:docPr id="31323275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FB9BA5E" w14:textId="132FA462" w:rsidR="007976B6" w:rsidRPr="007976B6" w:rsidRDefault="007976B6" w:rsidP="007976B6">
                          <w:pPr>
                            <w:spacing w:after="0"/>
                            <w:rPr>
                              <w:rFonts w:ascii="Arial Black" w:eastAsia="Arial Black" w:hAnsi="Arial Black" w:cs="Arial Black"/>
                              <w:noProof/>
                              <w:color w:val="000000"/>
                              <w:sz w:val="20"/>
                            </w:rPr>
                          </w:pPr>
                          <w:r w:rsidRPr="007976B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9B30BF" id="_x0000_t202" coordsize="21600,21600" o:spt="202" path="m,l,21600r21600,l21600,xe">
              <v:stroke joinstyle="miter"/>
              <v:path gradientshapeok="t" o:connecttype="rect"/>
            </v:shapetype>
            <v:shape id="Text Box 6" o:spid="_x0000_s1030" type="#_x0000_t202" alt="OFFICIAL" style="position:absolute;left:0;text-align:left;margin-left:0;margin-top:0;width:51.7pt;height:29.1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textbox style="mso-fit-shape-to-text:t" inset="0,0,0,15pt">
                <w:txbxContent>
                  <w:p w14:paraId="7FB9BA5E" w14:textId="132FA462" w:rsidR="007976B6" w:rsidRPr="007976B6" w:rsidRDefault="007976B6" w:rsidP="007976B6">
                    <w:pPr>
                      <w:spacing w:after="0"/>
                      <w:rPr>
                        <w:rFonts w:ascii="Arial Black" w:eastAsia="Arial Black" w:hAnsi="Arial Black" w:cs="Arial Black"/>
                        <w:noProof/>
                        <w:color w:val="000000"/>
                        <w:sz w:val="20"/>
                      </w:rPr>
                    </w:pPr>
                    <w:r w:rsidRPr="007976B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422EC" w14:textId="2D598A54" w:rsidR="007976B6" w:rsidRDefault="007976B6">
    <w:pPr>
      <w:pStyle w:val="Footer"/>
    </w:pPr>
    <w:r>
      <w:rPr>
        <w:noProof/>
        <w14:ligatures w14:val="standardContextual"/>
      </w:rPr>
      <mc:AlternateContent>
        <mc:Choice Requires="wps">
          <w:drawing>
            <wp:anchor distT="0" distB="0" distL="0" distR="0" simplePos="0" relativeHeight="251658244" behindDoc="0" locked="0" layoutInCell="1" allowOverlap="1" wp14:anchorId="5F1C79C7" wp14:editId="3785A926">
              <wp:simplePos x="635" y="635"/>
              <wp:positionH relativeFrom="page">
                <wp:align>center</wp:align>
              </wp:positionH>
              <wp:positionV relativeFrom="page">
                <wp:align>bottom</wp:align>
              </wp:positionV>
              <wp:extent cx="656590" cy="369570"/>
              <wp:effectExtent l="0" t="0" r="10160" b="0"/>
              <wp:wrapNone/>
              <wp:docPr id="16547986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F4D6CDF" w14:textId="485676F6" w:rsidR="007976B6" w:rsidRPr="007976B6" w:rsidRDefault="007976B6" w:rsidP="007976B6">
                          <w:pPr>
                            <w:spacing w:after="0"/>
                            <w:rPr>
                              <w:rFonts w:ascii="Arial Black" w:eastAsia="Arial Black" w:hAnsi="Arial Black" w:cs="Arial Black"/>
                              <w:noProof/>
                              <w:color w:val="000000"/>
                              <w:sz w:val="20"/>
                            </w:rPr>
                          </w:pPr>
                          <w:r w:rsidRPr="007976B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1C79C7" id="_x0000_t202" coordsize="21600,21600" o:spt="202" path="m,l,21600r21600,l21600,xe">
              <v:stroke joinstyle="miter"/>
              <v:path gradientshapeok="t" o:connecttype="rect"/>
            </v:shapetype>
            <v:shape id="Text Box 4" o:spid="_x0000_s1031" type="#_x0000_t202" alt="OFFICIAL" style="position:absolute;left:0;text-align:left;margin-left:0;margin-top:0;width:51.7pt;height:29.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textbox style="mso-fit-shape-to-text:t" inset="0,0,0,15pt">
                <w:txbxContent>
                  <w:p w14:paraId="2F4D6CDF" w14:textId="485676F6" w:rsidR="007976B6" w:rsidRPr="007976B6" w:rsidRDefault="007976B6" w:rsidP="007976B6">
                    <w:pPr>
                      <w:spacing w:after="0"/>
                      <w:rPr>
                        <w:rFonts w:ascii="Arial Black" w:eastAsia="Arial Black" w:hAnsi="Arial Black" w:cs="Arial Black"/>
                        <w:noProof/>
                        <w:color w:val="000000"/>
                        <w:sz w:val="20"/>
                      </w:rPr>
                    </w:pPr>
                    <w:r w:rsidRPr="007976B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E088D" w14:textId="4D46565F" w:rsidR="007976B6" w:rsidRDefault="007976B6">
    <w:pPr>
      <w:pStyle w:val="Footer"/>
    </w:pPr>
    <w:r>
      <w:rPr>
        <w:noProof/>
        <w14:ligatures w14:val="standardContextual"/>
      </w:rPr>
      <mc:AlternateContent>
        <mc:Choice Requires="wps">
          <w:drawing>
            <wp:anchor distT="0" distB="0" distL="0" distR="0" simplePos="0" relativeHeight="251658248" behindDoc="0" locked="0" layoutInCell="1" allowOverlap="1" wp14:anchorId="1E6C691C" wp14:editId="0122A075">
              <wp:simplePos x="635" y="635"/>
              <wp:positionH relativeFrom="page">
                <wp:align>center</wp:align>
              </wp:positionH>
              <wp:positionV relativeFrom="page">
                <wp:align>bottom</wp:align>
              </wp:positionV>
              <wp:extent cx="656590" cy="369570"/>
              <wp:effectExtent l="0" t="0" r="10160" b="0"/>
              <wp:wrapNone/>
              <wp:docPr id="954068399"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FF1F986" w14:textId="60FE6B62" w:rsidR="007976B6" w:rsidRPr="007976B6" w:rsidRDefault="007976B6" w:rsidP="007976B6">
                          <w:pPr>
                            <w:spacing w:after="0"/>
                            <w:rPr>
                              <w:rFonts w:ascii="Arial Black" w:eastAsia="Arial Black" w:hAnsi="Arial Black" w:cs="Arial Black"/>
                              <w:noProof/>
                              <w:color w:val="000000"/>
                              <w:sz w:val="20"/>
                            </w:rPr>
                          </w:pPr>
                          <w:r w:rsidRPr="007976B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6C691C" id="_x0000_t202" coordsize="21600,21600" o:spt="202" path="m,l,21600r21600,l21600,xe">
              <v:stroke joinstyle="miter"/>
              <v:path gradientshapeok="t" o:connecttype="rect"/>
            </v:shapetype>
            <v:shape id="Text Box 8" o:spid="_x0000_s1032" type="#_x0000_t202" alt="OFFICIAL" style="position:absolute;left:0;text-align:left;margin-left:0;margin-top:0;width:51.7pt;height:29.1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N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CQYfotFUcsZenEtzNyVaP1Wjj/JCwIxrQQ&#10;rX/EUTbU5ZzOFmcV2V9v+UM+cEeUsw6CybmGojlrfmjwEbQ1GHYwttEYz9JJirjet3cEGY7xIoyM&#10;JrzWN4NZWmpfIOdlaISQ0BLtcr4dzDt/Ui6eg1TLZUyCjIzwa70xMpQOcAUsn/sXYc0ZcA+mHmhQ&#10;k8he4X7KDTedWe490I+kBGhPQJ4RhwQjV+fnEjT+53/Muj7qxW8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CdT+yNDgIAABwE&#10;AAAOAAAAAAAAAAAAAAAAAC4CAABkcnMvZTJvRG9jLnhtbFBLAQItABQABgAIAAAAIQDrG1UU2gAA&#10;AAQBAAAPAAAAAAAAAAAAAAAAAGgEAABkcnMvZG93bnJldi54bWxQSwUGAAAAAAQABADzAAAAbwUA&#10;AAAA&#10;" filled="f" stroked="f">
              <v:textbox style="mso-fit-shape-to-text:t" inset="0,0,0,15pt">
                <w:txbxContent>
                  <w:p w14:paraId="5FF1F986" w14:textId="60FE6B62" w:rsidR="007976B6" w:rsidRPr="007976B6" w:rsidRDefault="007976B6" w:rsidP="007976B6">
                    <w:pPr>
                      <w:spacing w:after="0"/>
                      <w:rPr>
                        <w:rFonts w:ascii="Arial Black" w:eastAsia="Arial Black" w:hAnsi="Arial Black" w:cs="Arial Black"/>
                        <w:noProof/>
                        <w:color w:val="000000"/>
                        <w:sz w:val="20"/>
                      </w:rPr>
                    </w:pPr>
                    <w:r w:rsidRPr="007976B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F945" w14:textId="4456D3D8" w:rsidR="00C35517" w:rsidRPr="00F65AA9" w:rsidRDefault="007976B6">
    <w:pPr>
      <w:pStyle w:val="Footer"/>
    </w:pPr>
    <w:r>
      <w:rPr>
        <w:noProof/>
        <w14:ligatures w14:val="standardContextual"/>
      </w:rPr>
      <mc:AlternateContent>
        <mc:Choice Requires="wps">
          <w:drawing>
            <wp:anchor distT="0" distB="0" distL="0" distR="0" simplePos="0" relativeHeight="251658249" behindDoc="0" locked="0" layoutInCell="1" allowOverlap="1" wp14:anchorId="5209CE09" wp14:editId="77C2218F">
              <wp:simplePos x="635" y="635"/>
              <wp:positionH relativeFrom="page">
                <wp:align>center</wp:align>
              </wp:positionH>
              <wp:positionV relativeFrom="page">
                <wp:align>bottom</wp:align>
              </wp:positionV>
              <wp:extent cx="656590" cy="369570"/>
              <wp:effectExtent l="0" t="0" r="10160" b="0"/>
              <wp:wrapNone/>
              <wp:docPr id="1166754021"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7DE4E59" w14:textId="5670A4BE" w:rsidR="007976B6" w:rsidRPr="007976B6" w:rsidRDefault="007976B6" w:rsidP="007976B6">
                          <w:pPr>
                            <w:spacing w:after="0"/>
                            <w:rPr>
                              <w:rFonts w:ascii="Arial Black" w:eastAsia="Arial Black" w:hAnsi="Arial Black" w:cs="Arial Black"/>
                              <w:noProof/>
                              <w:color w:val="000000"/>
                              <w:sz w:val="20"/>
                            </w:rPr>
                          </w:pPr>
                          <w:r w:rsidRPr="007976B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09CE09" id="_x0000_t202" coordsize="21600,21600" o:spt="202" path="m,l,21600r21600,l21600,xe">
              <v:stroke joinstyle="miter"/>
              <v:path gradientshapeok="t" o:connecttype="rect"/>
            </v:shapetype>
            <v:shape id="Text Box 9" o:spid="_x0000_s1033" type="#_x0000_t202" alt="OFFICIAL" style="position:absolute;left:0;text-align:left;margin-left:0;margin-top:0;width:51.7pt;height:29.1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F6wDgIAABwEAAAOAAAAZHJzL2Uyb0RvYy54bWysU99v2jAQfp+0/8Hy+0joBB0RoWKtmCah&#10;thKd+mwcm0SKfdbZkLC/fmdDoOv2NO3Fudyd78f3fZ7f9aZlB4W+AVvy8SjnTFkJVWN3Jf/xsvr0&#10;hTMfhK1EC1aV/Kg8v1t8/DDvXKFuoIa2UsioiPVF50peh+CKLPOyVkb4EThlKagBjQj0i7usQtFR&#10;ddNmN3k+zTrAyiFI5T15H05Bvkj1tVYyPGntVWBtyWm2kE5M5zae2WIuih0KVzfyPIb4hymMaCw1&#10;vZR6EEGwPTZ/lDKNRPCgw0iCyUDrRqq0A20zzt9ts6mFU2kXAse7C0z+/5WVj4eNe0YW+q/QE4ER&#10;kM75wpMz7tNrNPFLkzKKE4THC2yqD0ySczqZTmYUkRT6PJ1NbhO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w8F6wDgIAABwE&#10;AAAOAAAAAAAAAAAAAAAAAC4CAABkcnMvZTJvRG9jLnhtbFBLAQItABQABgAIAAAAIQDrG1UU2gAA&#10;AAQBAAAPAAAAAAAAAAAAAAAAAGgEAABkcnMvZG93bnJldi54bWxQSwUGAAAAAAQABADzAAAAbwUA&#10;AAAA&#10;" filled="f" stroked="f">
              <v:textbox style="mso-fit-shape-to-text:t" inset="0,0,0,15pt">
                <w:txbxContent>
                  <w:p w14:paraId="67DE4E59" w14:textId="5670A4BE" w:rsidR="007976B6" w:rsidRPr="007976B6" w:rsidRDefault="007976B6" w:rsidP="007976B6">
                    <w:pPr>
                      <w:spacing w:after="0"/>
                      <w:rPr>
                        <w:rFonts w:ascii="Arial Black" w:eastAsia="Arial Black" w:hAnsi="Arial Black" w:cs="Arial Black"/>
                        <w:noProof/>
                        <w:color w:val="000000"/>
                        <w:sz w:val="20"/>
                      </w:rPr>
                    </w:pPr>
                    <w:r w:rsidRPr="007976B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31B54" w14:textId="741B91C7" w:rsidR="007976B6" w:rsidRDefault="007976B6">
    <w:pPr>
      <w:pStyle w:val="Footer"/>
    </w:pPr>
    <w:r>
      <w:rPr>
        <w:noProof/>
        <w14:ligatures w14:val="standardContextual"/>
      </w:rPr>
      <mc:AlternateContent>
        <mc:Choice Requires="wps">
          <w:drawing>
            <wp:anchor distT="0" distB="0" distL="0" distR="0" simplePos="0" relativeHeight="251658247" behindDoc="0" locked="0" layoutInCell="1" allowOverlap="1" wp14:anchorId="60B4814B" wp14:editId="024C3D65">
              <wp:simplePos x="635" y="635"/>
              <wp:positionH relativeFrom="page">
                <wp:align>center</wp:align>
              </wp:positionH>
              <wp:positionV relativeFrom="page">
                <wp:align>bottom</wp:align>
              </wp:positionV>
              <wp:extent cx="656590" cy="369570"/>
              <wp:effectExtent l="0" t="0" r="10160" b="0"/>
              <wp:wrapNone/>
              <wp:docPr id="1770769318"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4947261" w14:textId="5DF4DD8F" w:rsidR="007976B6" w:rsidRPr="007976B6" w:rsidRDefault="007976B6" w:rsidP="007976B6">
                          <w:pPr>
                            <w:spacing w:after="0"/>
                            <w:rPr>
                              <w:rFonts w:ascii="Arial Black" w:eastAsia="Arial Black" w:hAnsi="Arial Black" w:cs="Arial Black"/>
                              <w:noProof/>
                              <w:color w:val="000000"/>
                              <w:sz w:val="20"/>
                            </w:rPr>
                          </w:pPr>
                          <w:r w:rsidRPr="007976B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B4814B" id="_x0000_t202" coordsize="21600,21600" o:spt="202" path="m,l,21600r21600,l21600,xe">
              <v:stroke joinstyle="miter"/>
              <v:path gradientshapeok="t" o:connecttype="rect"/>
            </v:shapetype>
            <v:shape id="Text Box 7" o:spid="_x0000_s1034" type="#_x0000_t202" alt="OFFICIAL" style="position:absolute;left:0;text-align:left;margin-left:0;margin-top:0;width:51.7pt;height:29.1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c2DgIAABwEAAAOAAAAZHJzL2Uyb0RvYy54bWysU99v2jAQfp+0/8Hy+0joBCsRoWKtmCah&#10;thKd+mwcm0SKfdbZkLC/fmdDoOv2NO3Fudyd78f3fZ7f9aZlB4W+AVvy8SjnTFkJVWN3Jf/xsvp0&#10;y5kPwlaiBatKflSe3y0+fph3rlA3UENbKWRUxPqicyWvQ3BFlnlZKyP8CJyyFNSARgT6xV1Woeio&#10;ummzmzyfZh1g5RCk8p68D6cgX6T6WisZnrT2KrC25DRbSCemcxvPbDEXxQ6Fqxt5HkP8wxRGNJaa&#10;Xko9iCDYHps/SplGInjQYSTBZKB1I1XagbYZ5++22dTCqbQLgePdBSb//8rKx8PGPSML/VfoicAI&#10;SOd84ckZ9+k1mvilSRnFCcLjBTbVBybJOZ1MJzOKSAp9ns4mXxK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aMac2DgIAABwE&#10;AAAOAAAAAAAAAAAAAAAAAC4CAABkcnMvZTJvRG9jLnhtbFBLAQItABQABgAIAAAAIQDrG1UU2gAA&#10;AAQBAAAPAAAAAAAAAAAAAAAAAGgEAABkcnMvZG93bnJldi54bWxQSwUGAAAAAAQABADzAAAAbwUA&#10;AAAA&#10;" filled="f" stroked="f">
              <v:textbox style="mso-fit-shape-to-text:t" inset="0,0,0,15pt">
                <w:txbxContent>
                  <w:p w14:paraId="54947261" w14:textId="5DF4DD8F" w:rsidR="007976B6" w:rsidRPr="007976B6" w:rsidRDefault="007976B6" w:rsidP="007976B6">
                    <w:pPr>
                      <w:spacing w:after="0"/>
                      <w:rPr>
                        <w:rFonts w:ascii="Arial Black" w:eastAsia="Arial Black" w:hAnsi="Arial Black" w:cs="Arial Black"/>
                        <w:noProof/>
                        <w:color w:val="000000"/>
                        <w:sz w:val="20"/>
                      </w:rPr>
                    </w:pPr>
                    <w:r w:rsidRPr="007976B6">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BC4E3" w14:textId="77777777" w:rsidR="00383412" w:rsidRDefault="00383412" w:rsidP="007976B6">
      <w:pPr>
        <w:spacing w:after="0" w:line="240" w:lineRule="auto"/>
      </w:pPr>
      <w:r>
        <w:separator/>
      </w:r>
    </w:p>
  </w:footnote>
  <w:footnote w:type="continuationSeparator" w:id="0">
    <w:p w14:paraId="27EA2706" w14:textId="77777777" w:rsidR="00383412" w:rsidRDefault="00383412" w:rsidP="007976B6">
      <w:pPr>
        <w:spacing w:after="0" w:line="240" w:lineRule="auto"/>
      </w:pPr>
      <w:r>
        <w:continuationSeparator/>
      </w:r>
    </w:p>
  </w:footnote>
  <w:footnote w:type="continuationNotice" w:id="1">
    <w:p w14:paraId="43F7211D" w14:textId="77777777" w:rsidR="00383412" w:rsidRDefault="003834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4DEDA" w14:textId="77777777" w:rsidR="00C35517" w:rsidRDefault="00C35517">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C4336" w14:textId="77777777" w:rsidR="00C35517" w:rsidRPr="0051568D" w:rsidRDefault="00633026">
    <w:pPr>
      <w:pStyle w:val="Header"/>
    </w:pPr>
    <w:r>
      <w:t>Managing contacts of a confirmed case of measles</w:t>
    </w:r>
    <w:r>
      <w:ptab w:relativeTo="margin" w:alignment="right" w:leader="none"/>
    </w:r>
    <w:r w:rsidRPr="007E1227">
      <w:rPr>
        <w:b w:val="0"/>
        <w:bCs/>
      </w:rPr>
      <w:fldChar w:fldCharType="begin"/>
    </w:r>
    <w:r w:rsidRPr="007E1227">
      <w:rPr>
        <w:bCs/>
      </w:rPr>
      <w:instrText xml:space="preserve"> PAGE </w:instrText>
    </w:r>
    <w:r w:rsidRPr="007E1227">
      <w:rPr>
        <w:b w:val="0"/>
        <w:bCs/>
      </w:rPr>
      <w:fldChar w:fldCharType="separate"/>
    </w:r>
    <w:r w:rsidRPr="007E1227">
      <w:rPr>
        <w:bCs/>
      </w:rPr>
      <w:t>3</w:t>
    </w:r>
    <w:r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653A"/>
    <w:multiLevelType w:val="hybridMultilevel"/>
    <w:tmpl w:val="653C4FAA"/>
    <w:lvl w:ilvl="0" w:tplc="B7A251FE">
      <w:start w:val="1"/>
      <w:numFmt w:val="bullet"/>
      <w:lvlText w:val=""/>
      <w:lvlJc w:val="left"/>
      <w:pPr>
        <w:ind w:left="720" w:hanging="360"/>
      </w:pPr>
      <w:rPr>
        <w:rFonts w:ascii="Symbol" w:hAnsi="Symbol" w:hint="default"/>
      </w:rPr>
    </w:lvl>
    <w:lvl w:ilvl="1" w:tplc="09A8BC52">
      <w:start w:val="1"/>
      <w:numFmt w:val="bullet"/>
      <w:lvlText w:val="o"/>
      <w:lvlJc w:val="left"/>
      <w:pPr>
        <w:ind w:left="1440" w:hanging="360"/>
      </w:pPr>
      <w:rPr>
        <w:rFonts w:ascii="Courier New" w:hAnsi="Courier New" w:hint="default"/>
      </w:rPr>
    </w:lvl>
    <w:lvl w:ilvl="2" w:tplc="36A24086">
      <w:start w:val="1"/>
      <w:numFmt w:val="bullet"/>
      <w:lvlText w:val=""/>
      <w:lvlJc w:val="left"/>
      <w:pPr>
        <w:ind w:left="2160" w:hanging="360"/>
      </w:pPr>
      <w:rPr>
        <w:rFonts w:ascii="Wingdings" w:hAnsi="Wingdings" w:hint="default"/>
      </w:rPr>
    </w:lvl>
    <w:lvl w:ilvl="3" w:tplc="A71079F0">
      <w:start w:val="1"/>
      <w:numFmt w:val="bullet"/>
      <w:lvlText w:val=""/>
      <w:lvlJc w:val="left"/>
      <w:pPr>
        <w:ind w:left="2880" w:hanging="360"/>
      </w:pPr>
      <w:rPr>
        <w:rFonts w:ascii="Symbol" w:hAnsi="Symbol" w:hint="default"/>
      </w:rPr>
    </w:lvl>
    <w:lvl w:ilvl="4" w:tplc="6E0086F2">
      <w:start w:val="1"/>
      <w:numFmt w:val="bullet"/>
      <w:lvlText w:val="o"/>
      <w:lvlJc w:val="left"/>
      <w:pPr>
        <w:ind w:left="3600" w:hanging="360"/>
      </w:pPr>
      <w:rPr>
        <w:rFonts w:ascii="Courier New" w:hAnsi="Courier New" w:hint="default"/>
      </w:rPr>
    </w:lvl>
    <w:lvl w:ilvl="5" w:tplc="8D8EFFF4">
      <w:start w:val="1"/>
      <w:numFmt w:val="bullet"/>
      <w:lvlText w:val=""/>
      <w:lvlJc w:val="left"/>
      <w:pPr>
        <w:ind w:left="4320" w:hanging="360"/>
      </w:pPr>
      <w:rPr>
        <w:rFonts w:ascii="Wingdings" w:hAnsi="Wingdings" w:hint="default"/>
      </w:rPr>
    </w:lvl>
    <w:lvl w:ilvl="6" w:tplc="CFA8F11E">
      <w:start w:val="1"/>
      <w:numFmt w:val="bullet"/>
      <w:lvlText w:val=""/>
      <w:lvlJc w:val="left"/>
      <w:pPr>
        <w:ind w:left="5040" w:hanging="360"/>
      </w:pPr>
      <w:rPr>
        <w:rFonts w:ascii="Symbol" w:hAnsi="Symbol" w:hint="default"/>
      </w:rPr>
    </w:lvl>
    <w:lvl w:ilvl="7" w:tplc="CE8C7AC6">
      <w:start w:val="1"/>
      <w:numFmt w:val="bullet"/>
      <w:lvlText w:val="o"/>
      <w:lvlJc w:val="left"/>
      <w:pPr>
        <w:ind w:left="5760" w:hanging="360"/>
      </w:pPr>
      <w:rPr>
        <w:rFonts w:ascii="Courier New" w:hAnsi="Courier New" w:hint="default"/>
      </w:rPr>
    </w:lvl>
    <w:lvl w:ilvl="8" w:tplc="7F020762">
      <w:start w:val="1"/>
      <w:numFmt w:val="bullet"/>
      <w:lvlText w:val=""/>
      <w:lvlJc w:val="left"/>
      <w:pPr>
        <w:ind w:left="6480" w:hanging="360"/>
      </w:pPr>
      <w:rPr>
        <w:rFonts w:ascii="Wingdings" w:hAnsi="Wingdings" w:hint="default"/>
      </w:rPr>
    </w:lvl>
  </w:abstractNum>
  <w:abstractNum w:abstractNumId="1" w15:restartNumberingAfterBreak="0">
    <w:nsid w:val="11F04AF8"/>
    <w:multiLevelType w:val="hybridMultilevel"/>
    <w:tmpl w:val="BC56C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DB4269"/>
    <w:multiLevelType w:val="hybridMultilevel"/>
    <w:tmpl w:val="E9D64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204FDC"/>
    <w:multiLevelType w:val="hybridMultilevel"/>
    <w:tmpl w:val="C91244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876D18"/>
    <w:multiLevelType w:val="hybridMultilevel"/>
    <w:tmpl w:val="D29A0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6354B3F"/>
    <w:multiLevelType w:val="hybridMultilevel"/>
    <w:tmpl w:val="53E275A0"/>
    <w:lvl w:ilvl="0" w:tplc="0C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45BB884D"/>
    <w:multiLevelType w:val="hybridMultilevel"/>
    <w:tmpl w:val="724C6F5A"/>
    <w:lvl w:ilvl="0" w:tplc="4C1A18CE">
      <w:start w:val="1"/>
      <w:numFmt w:val="bullet"/>
      <w:lvlText w:val=""/>
      <w:lvlJc w:val="left"/>
      <w:pPr>
        <w:ind w:left="720" w:hanging="360"/>
      </w:pPr>
      <w:rPr>
        <w:rFonts w:ascii="Symbol" w:hAnsi="Symbol" w:hint="default"/>
      </w:rPr>
    </w:lvl>
    <w:lvl w:ilvl="1" w:tplc="0BB23132">
      <w:start w:val="1"/>
      <w:numFmt w:val="bullet"/>
      <w:lvlText w:val="o"/>
      <w:lvlJc w:val="left"/>
      <w:pPr>
        <w:ind w:left="1440" w:hanging="360"/>
      </w:pPr>
      <w:rPr>
        <w:rFonts w:ascii="Courier New" w:hAnsi="Courier New" w:hint="default"/>
      </w:rPr>
    </w:lvl>
    <w:lvl w:ilvl="2" w:tplc="96CA6782">
      <w:start w:val="1"/>
      <w:numFmt w:val="bullet"/>
      <w:lvlText w:val=""/>
      <w:lvlJc w:val="left"/>
      <w:pPr>
        <w:ind w:left="2160" w:hanging="360"/>
      </w:pPr>
      <w:rPr>
        <w:rFonts w:ascii="Wingdings" w:hAnsi="Wingdings" w:hint="default"/>
      </w:rPr>
    </w:lvl>
    <w:lvl w:ilvl="3" w:tplc="7438F3A6">
      <w:start w:val="1"/>
      <w:numFmt w:val="bullet"/>
      <w:lvlText w:val=""/>
      <w:lvlJc w:val="left"/>
      <w:pPr>
        <w:ind w:left="2880" w:hanging="360"/>
      </w:pPr>
      <w:rPr>
        <w:rFonts w:ascii="Symbol" w:hAnsi="Symbol" w:hint="default"/>
      </w:rPr>
    </w:lvl>
    <w:lvl w:ilvl="4" w:tplc="EAD6B57C">
      <w:start w:val="1"/>
      <w:numFmt w:val="bullet"/>
      <w:lvlText w:val="o"/>
      <w:lvlJc w:val="left"/>
      <w:pPr>
        <w:ind w:left="3600" w:hanging="360"/>
      </w:pPr>
      <w:rPr>
        <w:rFonts w:ascii="Courier New" w:hAnsi="Courier New" w:hint="default"/>
      </w:rPr>
    </w:lvl>
    <w:lvl w:ilvl="5" w:tplc="E25A3900">
      <w:start w:val="1"/>
      <w:numFmt w:val="bullet"/>
      <w:lvlText w:val=""/>
      <w:lvlJc w:val="left"/>
      <w:pPr>
        <w:ind w:left="4320" w:hanging="360"/>
      </w:pPr>
      <w:rPr>
        <w:rFonts w:ascii="Wingdings" w:hAnsi="Wingdings" w:hint="default"/>
      </w:rPr>
    </w:lvl>
    <w:lvl w:ilvl="6" w:tplc="1506D13E">
      <w:start w:val="1"/>
      <w:numFmt w:val="bullet"/>
      <w:lvlText w:val=""/>
      <w:lvlJc w:val="left"/>
      <w:pPr>
        <w:ind w:left="5040" w:hanging="360"/>
      </w:pPr>
      <w:rPr>
        <w:rFonts w:ascii="Symbol" w:hAnsi="Symbol" w:hint="default"/>
      </w:rPr>
    </w:lvl>
    <w:lvl w:ilvl="7" w:tplc="B842499A">
      <w:start w:val="1"/>
      <w:numFmt w:val="bullet"/>
      <w:lvlText w:val="o"/>
      <w:lvlJc w:val="left"/>
      <w:pPr>
        <w:ind w:left="5760" w:hanging="360"/>
      </w:pPr>
      <w:rPr>
        <w:rFonts w:ascii="Courier New" w:hAnsi="Courier New" w:hint="default"/>
      </w:rPr>
    </w:lvl>
    <w:lvl w:ilvl="8" w:tplc="F262389A">
      <w:start w:val="1"/>
      <w:numFmt w:val="bullet"/>
      <w:lvlText w:val=""/>
      <w:lvlJc w:val="left"/>
      <w:pPr>
        <w:ind w:left="6480" w:hanging="360"/>
      </w:pPr>
      <w:rPr>
        <w:rFonts w:ascii="Wingdings" w:hAnsi="Wingdings" w:hint="default"/>
      </w:rPr>
    </w:lvl>
  </w:abstractNum>
  <w:abstractNum w:abstractNumId="7" w15:restartNumberingAfterBreak="0">
    <w:nsid w:val="47B819B6"/>
    <w:multiLevelType w:val="hybridMultilevel"/>
    <w:tmpl w:val="FEA2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86060BA"/>
    <w:multiLevelType w:val="hybridMultilevel"/>
    <w:tmpl w:val="06F2B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13D4A95"/>
    <w:multiLevelType w:val="hybridMultilevel"/>
    <w:tmpl w:val="D7E88BE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53773EDC"/>
    <w:multiLevelType w:val="hybridMultilevel"/>
    <w:tmpl w:val="6E58B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7510D30"/>
    <w:multiLevelType w:val="hybridMultilevel"/>
    <w:tmpl w:val="14964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06B3CC3"/>
    <w:multiLevelType w:val="hybridMultilevel"/>
    <w:tmpl w:val="8B8CF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2F3425A"/>
    <w:multiLevelType w:val="hybridMultilevel"/>
    <w:tmpl w:val="7AB027D8"/>
    <w:lvl w:ilvl="0" w:tplc="E372134A">
      <w:start w:val="13"/>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F084E26"/>
    <w:multiLevelType w:val="hybridMultilevel"/>
    <w:tmpl w:val="81A62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BD56CC"/>
    <w:multiLevelType w:val="hybridMultilevel"/>
    <w:tmpl w:val="1DE682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65612B"/>
    <w:multiLevelType w:val="hybridMultilevel"/>
    <w:tmpl w:val="94C27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8A4777A"/>
    <w:multiLevelType w:val="hybridMultilevel"/>
    <w:tmpl w:val="B5562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4E4111"/>
    <w:multiLevelType w:val="hybridMultilevel"/>
    <w:tmpl w:val="D2E2C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926A78"/>
    <w:multiLevelType w:val="hybridMultilevel"/>
    <w:tmpl w:val="A1ACF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60142516">
    <w:abstractNumId w:val="11"/>
  </w:num>
  <w:num w:numId="2" w16cid:durableId="368409074">
    <w:abstractNumId w:val="20"/>
  </w:num>
  <w:num w:numId="3" w16cid:durableId="640304267">
    <w:abstractNumId w:val="15"/>
  </w:num>
  <w:num w:numId="4" w16cid:durableId="1331326133">
    <w:abstractNumId w:val="3"/>
  </w:num>
  <w:num w:numId="5" w16cid:durableId="212737845">
    <w:abstractNumId w:val="17"/>
  </w:num>
  <w:num w:numId="6" w16cid:durableId="465971238">
    <w:abstractNumId w:val="18"/>
  </w:num>
  <w:num w:numId="7" w16cid:durableId="2070498312">
    <w:abstractNumId w:val="2"/>
  </w:num>
  <w:num w:numId="8" w16cid:durableId="4749112">
    <w:abstractNumId w:val="19"/>
  </w:num>
  <w:num w:numId="9" w16cid:durableId="1713993244">
    <w:abstractNumId w:val="0"/>
  </w:num>
  <w:num w:numId="10" w16cid:durableId="621571897">
    <w:abstractNumId w:val="6"/>
  </w:num>
  <w:num w:numId="11" w16cid:durableId="1029263059">
    <w:abstractNumId w:val="7"/>
  </w:num>
  <w:num w:numId="12" w16cid:durableId="20786741">
    <w:abstractNumId w:val="16"/>
  </w:num>
  <w:num w:numId="13" w16cid:durableId="842353736">
    <w:abstractNumId w:val="10"/>
  </w:num>
  <w:num w:numId="14" w16cid:durableId="473957535">
    <w:abstractNumId w:val="14"/>
  </w:num>
  <w:num w:numId="15" w16cid:durableId="317535304">
    <w:abstractNumId w:val="13"/>
  </w:num>
  <w:num w:numId="16" w16cid:durableId="1008674680">
    <w:abstractNumId w:val="9"/>
  </w:num>
  <w:num w:numId="17" w16cid:durableId="34932590">
    <w:abstractNumId w:val="8"/>
  </w:num>
  <w:num w:numId="18" w16cid:durableId="1233850927">
    <w:abstractNumId w:val="12"/>
  </w:num>
  <w:num w:numId="19" w16cid:durableId="1228883308">
    <w:abstractNumId w:val="1"/>
  </w:num>
  <w:num w:numId="20" w16cid:durableId="1649362178">
    <w:abstractNumId w:val="5"/>
  </w:num>
  <w:num w:numId="21" w16cid:durableId="3377317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6B6"/>
    <w:rsid w:val="00000E24"/>
    <w:rsid w:val="00001487"/>
    <w:rsid w:val="00003F2C"/>
    <w:rsid w:val="00003F69"/>
    <w:rsid w:val="00006F14"/>
    <w:rsid w:val="00010BE1"/>
    <w:rsid w:val="0001126D"/>
    <w:rsid w:val="00011BDB"/>
    <w:rsid w:val="00012F3C"/>
    <w:rsid w:val="00020271"/>
    <w:rsid w:val="00021C73"/>
    <w:rsid w:val="00024FFD"/>
    <w:rsid w:val="000251CF"/>
    <w:rsid w:val="00025D7C"/>
    <w:rsid w:val="00026230"/>
    <w:rsid w:val="000309D2"/>
    <w:rsid w:val="00034897"/>
    <w:rsid w:val="00037DDB"/>
    <w:rsid w:val="000425A0"/>
    <w:rsid w:val="0005347F"/>
    <w:rsid w:val="000540CE"/>
    <w:rsid w:val="0005445E"/>
    <w:rsid w:val="00054EC8"/>
    <w:rsid w:val="00056D7C"/>
    <w:rsid w:val="0006100A"/>
    <w:rsid w:val="00066495"/>
    <w:rsid w:val="000671CE"/>
    <w:rsid w:val="000728A2"/>
    <w:rsid w:val="00073A5F"/>
    <w:rsid w:val="000772B1"/>
    <w:rsid w:val="000774BA"/>
    <w:rsid w:val="00077A00"/>
    <w:rsid w:val="00080C4C"/>
    <w:rsid w:val="00081035"/>
    <w:rsid w:val="0008131E"/>
    <w:rsid w:val="0008167C"/>
    <w:rsid w:val="00082459"/>
    <w:rsid w:val="00084D15"/>
    <w:rsid w:val="000858BA"/>
    <w:rsid w:val="00094412"/>
    <w:rsid w:val="00094DE4"/>
    <w:rsid w:val="0009600E"/>
    <w:rsid w:val="00096B34"/>
    <w:rsid w:val="00097256"/>
    <w:rsid w:val="00097E6B"/>
    <w:rsid w:val="000A116E"/>
    <w:rsid w:val="000A289B"/>
    <w:rsid w:val="000A41CE"/>
    <w:rsid w:val="000A65E0"/>
    <w:rsid w:val="000A7FDC"/>
    <w:rsid w:val="000B242B"/>
    <w:rsid w:val="000B3E4C"/>
    <w:rsid w:val="000B54A5"/>
    <w:rsid w:val="000B7B63"/>
    <w:rsid w:val="000C12C1"/>
    <w:rsid w:val="000C1380"/>
    <w:rsid w:val="000C25D7"/>
    <w:rsid w:val="000C2C1E"/>
    <w:rsid w:val="000C4567"/>
    <w:rsid w:val="000C4AB7"/>
    <w:rsid w:val="000C7D3F"/>
    <w:rsid w:val="000D04DE"/>
    <w:rsid w:val="000D16E1"/>
    <w:rsid w:val="000D1D3E"/>
    <w:rsid w:val="000D25D1"/>
    <w:rsid w:val="000D4661"/>
    <w:rsid w:val="000D48CB"/>
    <w:rsid w:val="000D5470"/>
    <w:rsid w:val="000D5863"/>
    <w:rsid w:val="000D77D5"/>
    <w:rsid w:val="000E0CA2"/>
    <w:rsid w:val="000E4139"/>
    <w:rsid w:val="000E6832"/>
    <w:rsid w:val="000F1034"/>
    <w:rsid w:val="000F6731"/>
    <w:rsid w:val="00101183"/>
    <w:rsid w:val="00101DB8"/>
    <w:rsid w:val="00103DD5"/>
    <w:rsid w:val="001057CF"/>
    <w:rsid w:val="001058A2"/>
    <w:rsid w:val="0010783B"/>
    <w:rsid w:val="00111394"/>
    <w:rsid w:val="00111A5C"/>
    <w:rsid w:val="00115758"/>
    <w:rsid w:val="0012136C"/>
    <w:rsid w:val="00122835"/>
    <w:rsid w:val="00122BB4"/>
    <w:rsid w:val="00123336"/>
    <w:rsid w:val="001235FE"/>
    <w:rsid w:val="00124AD1"/>
    <w:rsid w:val="00125A11"/>
    <w:rsid w:val="0013084F"/>
    <w:rsid w:val="0013287A"/>
    <w:rsid w:val="00135F2A"/>
    <w:rsid w:val="00136E40"/>
    <w:rsid w:val="0014036F"/>
    <w:rsid w:val="0014168A"/>
    <w:rsid w:val="00142799"/>
    <w:rsid w:val="001450B9"/>
    <w:rsid w:val="00145133"/>
    <w:rsid w:val="00145B70"/>
    <w:rsid w:val="00145F29"/>
    <w:rsid w:val="0014631E"/>
    <w:rsid w:val="00147C4D"/>
    <w:rsid w:val="0015066B"/>
    <w:rsid w:val="001515A7"/>
    <w:rsid w:val="00152F86"/>
    <w:rsid w:val="0015413D"/>
    <w:rsid w:val="001558C5"/>
    <w:rsid w:val="00156A08"/>
    <w:rsid w:val="0016024A"/>
    <w:rsid w:val="00161132"/>
    <w:rsid w:val="00161223"/>
    <w:rsid w:val="00161F58"/>
    <w:rsid w:val="0016369B"/>
    <w:rsid w:val="0016436B"/>
    <w:rsid w:val="00177210"/>
    <w:rsid w:val="00181BF9"/>
    <w:rsid w:val="001820AC"/>
    <w:rsid w:val="00182D3A"/>
    <w:rsid w:val="001830B8"/>
    <w:rsid w:val="001865CA"/>
    <w:rsid w:val="001871C3"/>
    <w:rsid w:val="001873CD"/>
    <w:rsid w:val="0019234B"/>
    <w:rsid w:val="001946E9"/>
    <w:rsid w:val="00194FDF"/>
    <w:rsid w:val="001957A3"/>
    <w:rsid w:val="001A1A67"/>
    <w:rsid w:val="001A3530"/>
    <w:rsid w:val="001A3B2A"/>
    <w:rsid w:val="001A5233"/>
    <w:rsid w:val="001A5313"/>
    <w:rsid w:val="001A5791"/>
    <w:rsid w:val="001A6033"/>
    <w:rsid w:val="001B0041"/>
    <w:rsid w:val="001B451F"/>
    <w:rsid w:val="001B54FE"/>
    <w:rsid w:val="001B61E7"/>
    <w:rsid w:val="001C17EF"/>
    <w:rsid w:val="001C37C6"/>
    <w:rsid w:val="001C3F33"/>
    <w:rsid w:val="001C411B"/>
    <w:rsid w:val="001C6A10"/>
    <w:rsid w:val="001C6D21"/>
    <w:rsid w:val="001D1BC6"/>
    <w:rsid w:val="001D4893"/>
    <w:rsid w:val="001D7789"/>
    <w:rsid w:val="001E04A7"/>
    <w:rsid w:val="001E4E24"/>
    <w:rsid w:val="001E583B"/>
    <w:rsid w:val="001E6378"/>
    <w:rsid w:val="001F0D02"/>
    <w:rsid w:val="001F5897"/>
    <w:rsid w:val="001F7727"/>
    <w:rsid w:val="0020084C"/>
    <w:rsid w:val="00200CB0"/>
    <w:rsid w:val="0020105C"/>
    <w:rsid w:val="00202EDC"/>
    <w:rsid w:val="002044E2"/>
    <w:rsid w:val="00204849"/>
    <w:rsid w:val="002060B8"/>
    <w:rsid w:val="00206FF8"/>
    <w:rsid w:val="0020706B"/>
    <w:rsid w:val="00207A50"/>
    <w:rsid w:val="002107D1"/>
    <w:rsid w:val="00210BCC"/>
    <w:rsid w:val="00214579"/>
    <w:rsid w:val="002150B0"/>
    <w:rsid w:val="00216D64"/>
    <w:rsid w:val="00221389"/>
    <w:rsid w:val="002229F6"/>
    <w:rsid w:val="00223A45"/>
    <w:rsid w:val="002259C4"/>
    <w:rsid w:val="00235ACA"/>
    <w:rsid w:val="00235D5E"/>
    <w:rsid w:val="00241343"/>
    <w:rsid w:val="002426D0"/>
    <w:rsid w:val="0024286F"/>
    <w:rsid w:val="0024445B"/>
    <w:rsid w:val="00245A64"/>
    <w:rsid w:val="00245ABC"/>
    <w:rsid w:val="00250986"/>
    <w:rsid w:val="00251506"/>
    <w:rsid w:val="00252BC6"/>
    <w:rsid w:val="00252EC2"/>
    <w:rsid w:val="002536B9"/>
    <w:rsid w:val="00253E37"/>
    <w:rsid w:val="00254A1B"/>
    <w:rsid w:val="00256398"/>
    <w:rsid w:val="00262549"/>
    <w:rsid w:val="00266D62"/>
    <w:rsid w:val="00266EF9"/>
    <w:rsid w:val="0026705C"/>
    <w:rsid w:val="00276E05"/>
    <w:rsid w:val="00277BC4"/>
    <w:rsid w:val="00283E74"/>
    <w:rsid w:val="002873DF"/>
    <w:rsid w:val="00291ED1"/>
    <w:rsid w:val="0029295B"/>
    <w:rsid w:val="002930DB"/>
    <w:rsid w:val="00293C6B"/>
    <w:rsid w:val="002A109B"/>
    <w:rsid w:val="002A1FB8"/>
    <w:rsid w:val="002B02B4"/>
    <w:rsid w:val="002B1538"/>
    <w:rsid w:val="002B4357"/>
    <w:rsid w:val="002B6A62"/>
    <w:rsid w:val="002C0DF7"/>
    <w:rsid w:val="002C109E"/>
    <w:rsid w:val="002C4C2A"/>
    <w:rsid w:val="002C7A0F"/>
    <w:rsid w:val="002D0880"/>
    <w:rsid w:val="002D2E84"/>
    <w:rsid w:val="002D3956"/>
    <w:rsid w:val="002D446B"/>
    <w:rsid w:val="002D5CF6"/>
    <w:rsid w:val="002D656D"/>
    <w:rsid w:val="002E1D36"/>
    <w:rsid w:val="002E2BF6"/>
    <w:rsid w:val="002E2E0A"/>
    <w:rsid w:val="002E35F5"/>
    <w:rsid w:val="002E3D63"/>
    <w:rsid w:val="002E4919"/>
    <w:rsid w:val="002E5733"/>
    <w:rsid w:val="002F29A8"/>
    <w:rsid w:val="002F382E"/>
    <w:rsid w:val="002F47E1"/>
    <w:rsid w:val="002F4976"/>
    <w:rsid w:val="00300DCE"/>
    <w:rsid w:val="0030146A"/>
    <w:rsid w:val="00301A91"/>
    <w:rsid w:val="0030211A"/>
    <w:rsid w:val="00303244"/>
    <w:rsid w:val="00303D74"/>
    <w:rsid w:val="003043F8"/>
    <w:rsid w:val="00310011"/>
    <w:rsid w:val="00310086"/>
    <w:rsid w:val="00311775"/>
    <w:rsid w:val="0031267B"/>
    <w:rsid w:val="003139FD"/>
    <w:rsid w:val="00313CD4"/>
    <w:rsid w:val="00314F7A"/>
    <w:rsid w:val="00315404"/>
    <w:rsid w:val="00320E95"/>
    <w:rsid w:val="0032259F"/>
    <w:rsid w:val="003226CA"/>
    <w:rsid w:val="00323571"/>
    <w:rsid w:val="0032560F"/>
    <w:rsid w:val="0032706B"/>
    <w:rsid w:val="00327C39"/>
    <w:rsid w:val="00327F79"/>
    <w:rsid w:val="00333693"/>
    <w:rsid w:val="00335388"/>
    <w:rsid w:val="003368FE"/>
    <w:rsid w:val="00340962"/>
    <w:rsid w:val="00341DCA"/>
    <w:rsid w:val="003421B4"/>
    <w:rsid w:val="00343DDA"/>
    <w:rsid w:val="003447AC"/>
    <w:rsid w:val="003506BD"/>
    <w:rsid w:val="00350D61"/>
    <w:rsid w:val="00350D65"/>
    <w:rsid w:val="003525AE"/>
    <w:rsid w:val="003526B0"/>
    <w:rsid w:val="003571B8"/>
    <w:rsid w:val="0035752B"/>
    <w:rsid w:val="003600B0"/>
    <w:rsid w:val="0036074A"/>
    <w:rsid w:val="00360B3A"/>
    <w:rsid w:val="00361B4F"/>
    <w:rsid w:val="00362D3A"/>
    <w:rsid w:val="00363489"/>
    <w:rsid w:val="003638C1"/>
    <w:rsid w:val="00363F9A"/>
    <w:rsid w:val="00366E97"/>
    <w:rsid w:val="00375158"/>
    <w:rsid w:val="003754AC"/>
    <w:rsid w:val="0037568B"/>
    <w:rsid w:val="00375DC4"/>
    <w:rsid w:val="00375E58"/>
    <w:rsid w:val="0037760E"/>
    <w:rsid w:val="003778B7"/>
    <w:rsid w:val="00377A56"/>
    <w:rsid w:val="00383412"/>
    <w:rsid w:val="00385C09"/>
    <w:rsid w:val="00390F71"/>
    <w:rsid w:val="00391B34"/>
    <w:rsid w:val="003A0C67"/>
    <w:rsid w:val="003A27C4"/>
    <w:rsid w:val="003A57FA"/>
    <w:rsid w:val="003A774A"/>
    <w:rsid w:val="003A7A76"/>
    <w:rsid w:val="003B06EF"/>
    <w:rsid w:val="003B186B"/>
    <w:rsid w:val="003B4234"/>
    <w:rsid w:val="003B4BA7"/>
    <w:rsid w:val="003B4BEB"/>
    <w:rsid w:val="003B54E4"/>
    <w:rsid w:val="003B73D6"/>
    <w:rsid w:val="003B7FD0"/>
    <w:rsid w:val="003C0290"/>
    <w:rsid w:val="003C12D6"/>
    <w:rsid w:val="003D03C0"/>
    <w:rsid w:val="003D08F1"/>
    <w:rsid w:val="003D0F75"/>
    <w:rsid w:val="003D1080"/>
    <w:rsid w:val="003D1FE2"/>
    <w:rsid w:val="003D3BBD"/>
    <w:rsid w:val="003D54CE"/>
    <w:rsid w:val="003D7C1A"/>
    <w:rsid w:val="003E38FF"/>
    <w:rsid w:val="003E685D"/>
    <w:rsid w:val="003E7459"/>
    <w:rsid w:val="003F1ECA"/>
    <w:rsid w:val="003F2286"/>
    <w:rsid w:val="003F4349"/>
    <w:rsid w:val="003F5559"/>
    <w:rsid w:val="003F5940"/>
    <w:rsid w:val="003F621C"/>
    <w:rsid w:val="003F664E"/>
    <w:rsid w:val="003F7C7B"/>
    <w:rsid w:val="00401D4A"/>
    <w:rsid w:val="004041CD"/>
    <w:rsid w:val="004068CA"/>
    <w:rsid w:val="0040735B"/>
    <w:rsid w:val="00411CF6"/>
    <w:rsid w:val="00411E93"/>
    <w:rsid w:val="0041233D"/>
    <w:rsid w:val="00415860"/>
    <w:rsid w:val="00416A6A"/>
    <w:rsid w:val="00420F95"/>
    <w:rsid w:val="004220C7"/>
    <w:rsid w:val="004221A9"/>
    <w:rsid w:val="00425A86"/>
    <w:rsid w:val="0042607F"/>
    <w:rsid w:val="004321E3"/>
    <w:rsid w:val="00433FA1"/>
    <w:rsid w:val="004351FC"/>
    <w:rsid w:val="0044167C"/>
    <w:rsid w:val="00442C21"/>
    <w:rsid w:val="00445C31"/>
    <w:rsid w:val="0044607E"/>
    <w:rsid w:val="004461BC"/>
    <w:rsid w:val="00447079"/>
    <w:rsid w:val="00447630"/>
    <w:rsid w:val="00447D1A"/>
    <w:rsid w:val="004508D6"/>
    <w:rsid w:val="00460C0C"/>
    <w:rsid w:val="00461DAC"/>
    <w:rsid w:val="00463D4A"/>
    <w:rsid w:val="00464BDB"/>
    <w:rsid w:val="00466AB1"/>
    <w:rsid w:val="00467105"/>
    <w:rsid w:val="00467412"/>
    <w:rsid w:val="00471185"/>
    <w:rsid w:val="00472AF0"/>
    <w:rsid w:val="004732FE"/>
    <w:rsid w:val="004737BA"/>
    <w:rsid w:val="0047594C"/>
    <w:rsid w:val="00476134"/>
    <w:rsid w:val="00480295"/>
    <w:rsid w:val="00480E11"/>
    <w:rsid w:val="00481B70"/>
    <w:rsid w:val="004829FA"/>
    <w:rsid w:val="00482AD4"/>
    <w:rsid w:val="0048405C"/>
    <w:rsid w:val="0048421D"/>
    <w:rsid w:val="00484F2A"/>
    <w:rsid w:val="004850F8"/>
    <w:rsid w:val="00490454"/>
    <w:rsid w:val="00495E5D"/>
    <w:rsid w:val="00495E70"/>
    <w:rsid w:val="00496921"/>
    <w:rsid w:val="00497058"/>
    <w:rsid w:val="004A0B8A"/>
    <w:rsid w:val="004A1E29"/>
    <w:rsid w:val="004A25A3"/>
    <w:rsid w:val="004A25F8"/>
    <w:rsid w:val="004A3F20"/>
    <w:rsid w:val="004A558B"/>
    <w:rsid w:val="004B0ADB"/>
    <w:rsid w:val="004B12F4"/>
    <w:rsid w:val="004B19D3"/>
    <w:rsid w:val="004B3CDC"/>
    <w:rsid w:val="004B4C4F"/>
    <w:rsid w:val="004C2A7A"/>
    <w:rsid w:val="004C450C"/>
    <w:rsid w:val="004C703A"/>
    <w:rsid w:val="004D08F6"/>
    <w:rsid w:val="004D4359"/>
    <w:rsid w:val="004D5A72"/>
    <w:rsid w:val="004E25CE"/>
    <w:rsid w:val="004E6C09"/>
    <w:rsid w:val="004F40F7"/>
    <w:rsid w:val="004F5227"/>
    <w:rsid w:val="004F6565"/>
    <w:rsid w:val="004F7A20"/>
    <w:rsid w:val="00502440"/>
    <w:rsid w:val="005073E4"/>
    <w:rsid w:val="005102F5"/>
    <w:rsid w:val="00510C8D"/>
    <w:rsid w:val="00512BDD"/>
    <w:rsid w:val="00516EAC"/>
    <w:rsid w:val="00517533"/>
    <w:rsid w:val="0051759C"/>
    <w:rsid w:val="00522202"/>
    <w:rsid w:val="00524DA3"/>
    <w:rsid w:val="00526488"/>
    <w:rsid w:val="00526CCF"/>
    <w:rsid w:val="005304F8"/>
    <w:rsid w:val="0053188E"/>
    <w:rsid w:val="005364B0"/>
    <w:rsid w:val="0054132F"/>
    <w:rsid w:val="00543F66"/>
    <w:rsid w:val="00545EC1"/>
    <w:rsid w:val="005475A6"/>
    <w:rsid w:val="00550BF2"/>
    <w:rsid w:val="00550FAB"/>
    <w:rsid w:val="00552009"/>
    <w:rsid w:val="00555F08"/>
    <w:rsid w:val="00556F19"/>
    <w:rsid w:val="00560337"/>
    <w:rsid w:val="005616AD"/>
    <w:rsid w:val="00561D54"/>
    <w:rsid w:val="00562D91"/>
    <w:rsid w:val="00563932"/>
    <w:rsid w:val="00564142"/>
    <w:rsid w:val="0056458C"/>
    <w:rsid w:val="00565A46"/>
    <w:rsid w:val="005661D5"/>
    <w:rsid w:val="00566D40"/>
    <w:rsid w:val="005676F3"/>
    <w:rsid w:val="00570487"/>
    <w:rsid w:val="0057104E"/>
    <w:rsid w:val="0057114F"/>
    <w:rsid w:val="00571C2C"/>
    <w:rsid w:val="005730D0"/>
    <w:rsid w:val="00575950"/>
    <w:rsid w:val="00575BE1"/>
    <w:rsid w:val="0057655D"/>
    <w:rsid w:val="0058016F"/>
    <w:rsid w:val="00581D3F"/>
    <w:rsid w:val="00583767"/>
    <w:rsid w:val="0058654A"/>
    <w:rsid w:val="00586EBB"/>
    <w:rsid w:val="00587F3E"/>
    <w:rsid w:val="00591951"/>
    <w:rsid w:val="00592194"/>
    <w:rsid w:val="0059238A"/>
    <w:rsid w:val="0059299B"/>
    <w:rsid w:val="005943E1"/>
    <w:rsid w:val="00595FA3"/>
    <w:rsid w:val="00596451"/>
    <w:rsid w:val="00596CE7"/>
    <w:rsid w:val="00597925"/>
    <w:rsid w:val="005A3578"/>
    <w:rsid w:val="005A3E21"/>
    <w:rsid w:val="005A7DD1"/>
    <w:rsid w:val="005A7E93"/>
    <w:rsid w:val="005B13D1"/>
    <w:rsid w:val="005B3643"/>
    <w:rsid w:val="005B4515"/>
    <w:rsid w:val="005B6417"/>
    <w:rsid w:val="005B6652"/>
    <w:rsid w:val="005B7230"/>
    <w:rsid w:val="005C1521"/>
    <w:rsid w:val="005C2DC4"/>
    <w:rsid w:val="005C41F3"/>
    <w:rsid w:val="005C4708"/>
    <w:rsid w:val="005C64FD"/>
    <w:rsid w:val="005D03CB"/>
    <w:rsid w:val="005D0A85"/>
    <w:rsid w:val="005D0E64"/>
    <w:rsid w:val="005D1B54"/>
    <w:rsid w:val="005D2B49"/>
    <w:rsid w:val="005D3C27"/>
    <w:rsid w:val="005E4AA2"/>
    <w:rsid w:val="005E4F8A"/>
    <w:rsid w:val="005E5ADA"/>
    <w:rsid w:val="005E5DC8"/>
    <w:rsid w:val="005E5DE4"/>
    <w:rsid w:val="005F0277"/>
    <w:rsid w:val="005F06C0"/>
    <w:rsid w:val="005F1289"/>
    <w:rsid w:val="005F1E69"/>
    <w:rsid w:val="005F29D8"/>
    <w:rsid w:val="005F3114"/>
    <w:rsid w:val="00602997"/>
    <w:rsid w:val="0060489A"/>
    <w:rsid w:val="00604DDE"/>
    <w:rsid w:val="00605473"/>
    <w:rsid w:val="006060CD"/>
    <w:rsid w:val="0060646A"/>
    <w:rsid w:val="00606628"/>
    <w:rsid w:val="00606DC9"/>
    <w:rsid w:val="00611DEF"/>
    <w:rsid w:val="006125AF"/>
    <w:rsid w:val="006137E8"/>
    <w:rsid w:val="00616365"/>
    <w:rsid w:val="006165FD"/>
    <w:rsid w:val="006174CD"/>
    <w:rsid w:val="00617D5A"/>
    <w:rsid w:val="0062084E"/>
    <w:rsid w:val="00620F60"/>
    <w:rsid w:val="00621064"/>
    <w:rsid w:val="00625C6A"/>
    <w:rsid w:val="00625E37"/>
    <w:rsid w:val="00627C84"/>
    <w:rsid w:val="0063094F"/>
    <w:rsid w:val="00630DDB"/>
    <w:rsid w:val="006317D6"/>
    <w:rsid w:val="00633026"/>
    <w:rsid w:val="00636D87"/>
    <w:rsid w:val="00636DFC"/>
    <w:rsid w:val="006375B0"/>
    <w:rsid w:val="0063794F"/>
    <w:rsid w:val="00637CBB"/>
    <w:rsid w:val="006406DA"/>
    <w:rsid w:val="00641A9D"/>
    <w:rsid w:val="00642697"/>
    <w:rsid w:val="00643ACE"/>
    <w:rsid w:val="00643BF3"/>
    <w:rsid w:val="00646738"/>
    <w:rsid w:val="00647A9A"/>
    <w:rsid w:val="00650062"/>
    <w:rsid w:val="00650B2B"/>
    <w:rsid w:val="00651CB2"/>
    <w:rsid w:val="00652486"/>
    <w:rsid w:val="00653752"/>
    <w:rsid w:val="0065379A"/>
    <w:rsid w:val="00655F49"/>
    <w:rsid w:val="00657C75"/>
    <w:rsid w:val="00660272"/>
    <w:rsid w:val="006607AD"/>
    <w:rsid w:val="00663523"/>
    <w:rsid w:val="00664B43"/>
    <w:rsid w:val="00664EE4"/>
    <w:rsid w:val="00665D5D"/>
    <w:rsid w:val="006752B0"/>
    <w:rsid w:val="006772FD"/>
    <w:rsid w:val="00677A09"/>
    <w:rsid w:val="006802EF"/>
    <w:rsid w:val="0068140D"/>
    <w:rsid w:val="00681F57"/>
    <w:rsid w:val="0068413C"/>
    <w:rsid w:val="0068494A"/>
    <w:rsid w:val="00684DB0"/>
    <w:rsid w:val="0068535B"/>
    <w:rsid w:val="00685E83"/>
    <w:rsid w:val="0068652E"/>
    <w:rsid w:val="00687B51"/>
    <w:rsid w:val="00690C37"/>
    <w:rsid w:val="0069129D"/>
    <w:rsid w:val="006927A6"/>
    <w:rsid w:val="00694747"/>
    <w:rsid w:val="0069510A"/>
    <w:rsid w:val="00695383"/>
    <w:rsid w:val="006963DE"/>
    <w:rsid w:val="006973E4"/>
    <w:rsid w:val="006A3530"/>
    <w:rsid w:val="006A409C"/>
    <w:rsid w:val="006A72E6"/>
    <w:rsid w:val="006B0887"/>
    <w:rsid w:val="006B2C66"/>
    <w:rsid w:val="006B4E64"/>
    <w:rsid w:val="006C1ED0"/>
    <w:rsid w:val="006C4236"/>
    <w:rsid w:val="006C4A29"/>
    <w:rsid w:val="006C683F"/>
    <w:rsid w:val="006D6115"/>
    <w:rsid w:val="006D62E5"/>
    <w:rsid w:val="006D7A2D"/>
    <w:rsid w:val="006E0F06"/>
    <w:rsid w:val="006E1172"/>
    <w:rsid w:val="006E2D53"/>
    <w:rsid w:val="006E39FA"/>
    <w:rsid w:val="006E7063"/>
    <w:rsid w:val="006E73D3"/>
    <w:rsid w:val="006E752F"/>
    <w:rsid w:val="006F0F61"/>
    <w:rsid w:val="006F2B5D"/>
    <w:rsid w:val="006F389F"/>
    <w:rsid w:val="006F50BD"/>
    <w:rsid w:val="0070162A"/>
    <w:rsid w:val="00701ACA"/>
    <w:rsid w:val="007034BA"/>
    <w:rsid w:val="007036AB"/>
    <w:rsid w:val="00704792"/>
    <w:rsid w:val="0070494E"/>
    <w:rsid w:val="007061B7"/>
    <w:rsid w:val="00706632"/>
    <w:rsid w:val="0070790D"/>
    <w:rsid w:val="0071082B"/>
    <w:rsid w:val="0071163B"/>
    <w:rsid w:val="00711645"/>
    <w:rsid w:val="0071209E"/>
    <w:rsid w:val="0071557F"/>
    <w:rsid w:val="00717BAF"/>
    <w:rsid w:val="007219B4"/>
    <w:rsid w:val="007227C0"/>
    <w:rsid w:val="007228C5"/>
    <w:rsid w:val="0072311B"/>
    <w:rsid w:val="00723429"/>
    <w:rsid w:val="00723633"/>
    <w:rsid w:val="007251D9"/>
    <w:rsid w:val="00726F52"/>
    <w:rsid w:val="00727CE5"/>
    <w:rsid w:val="00730957"/>
    <w:rsid w:val="0073095F"/>
    <w:rsid w:val="00731C07"/>
    <w:rsid w:val="007322AB"/>
    <w:rsid w:val="007345CB"/>
    <w:rsid w:val="00737543"/>
    <w:rsid w:val="007401AB"/>
    <w:rsid w:val="007418F9"/>
    <w:rsid w:val="00741E11"/>
    <w:rsid w:val="00743515"/>
    <w:rsid w:val="00743CD4"/>
    <w:rsid w:val="0074466E"/>
    <w:rsid w:val="0074493C"/>
    <w:rsid w:val="00744A62"/>
    <w:rsid w:val="00747299"/>
    <w:rsid w:val="00747AC6"/>
    <w:rsid w:val="00747EBF"/>
    <w:rsid w:val="00750BAB"/>
    <w:rsid w:val="00750E07"/>
    <w:rsid w:val="007532CA"/>
    <w:rsid w:val="007545D0"/>
    <w:rsid w:val="0075628B"/>
    <w:rsid w:val="00761551"/>
    <w:rsid w:val="00762B29"/>
    <w:rsid w:val="0076470B"/>
    <w:rsid w:val="00766D2F"/>
    <w:rsid w:val="00767419"/>
    <w:rsid w:val="00770A1D"/>
    <w:rsid w:val="00770A40"/>
    <w:rsid w:val="00772B8C"/>
    <w:rsid w:val="0077357C"/>
    <w:rsid w:val="00773DEC"/>
    <w:rsid w:val="00775C49"/>
    <w:rsid w:val="00777C2C"/>
    <w:rsid w:val="00780903"/>
    <w:rsid w:val="007819B6"/>
    <w:rsid w:val="007820DE"/>
    <w:rsid w:val="0078357B"/>
    <w:rsid w:val="007849E1"/>
    <w:rsid w:val="00785FD2"/>
    <w:rsid w:val="007871BD"/>
    <w:rsid w:val="00790579"/>
    <w:rsid w:val="00792DDF"/>
    <w:rsid w:val="0079348A"/>
    <w:rsid w:val="00793862"/>
    <w:rsid w:val="0079677A"/>
    <w:rsid w:val="007976B6"/>
    <w:rsid w:val="0079770C"/>
    <w:rsid w:val="007A25A0"/>
    <w:rsid w:val="007A4662"/>
    <w:rsid w:val="007A4C50"/>
    <w:rsid w:val="007A77EB"/>
    <w:rsid w:val="007B16D2"/>
    <w:rsid w:val="007B25AA"/>
    <w:rsid w:val="007B6BDA"/>
    <w:rsid w:val="007C1CF5"/>
    <w:rsid w:val="007C1F86"/>
    <w:rsid w:val="007C3169"/>
    <w:rsid w:val="007C41D9"/>
    <w:rsid w:val="007C43C4"/>
    <w:rsid w:val="007C5926"/>
    <w:rsid w:val="007D0A0C"/>
    <w:rsid w:val="007D0A41"/>
    <w:rsid w:val="007D3121"/>
    <w:rsid w:val="007D764B"/>
    <w:rsid w:val="007E228D"/>
    <w:rsid w:val="007E23A7"/>
    <w:rsid w:val="007E355F"/>
    <w:rsid w:val="007E465C"/>
    <w:rsid w:val="007E6824"/>
    <w:rsid w:val="007F029E"/>
    <w:rsid w:val="007F0BF3"/>
    <w:rsid w:val="007F2C34"/>
    <w:rsid w:val="007F335D"/>
    <w:rsid w:val="00800186"/>
    <w:rsid w:val="00800D6E"/>
    <w:rsid w:val="00800DA9"/>
    <w:rsid w:val="0080165E"/>
    <w:rsid w:val="00801DF7"/>
    <w:rsid w:val="0080253A"/>
    <w:rsid w:val="00802DEF"/>
    <w:rsid w:val="008042B1"/>
    <w:rsid w:val="0080461D"/>
    <w:rsid w:val="00804F07"/>
    <w:rsid w:val="00805459"/>
    <w:rsid w:val="00806302"/>
    <w:rsid w:val="008104DB"/>
    <w:rsid w:val="0081061E"/>
    <w:rsid w:val="008106C8"/>
    <w:rsid w:val="0081207C"/>
    <w:rsid w:val="00813255"/>
    <w:rsid w:val="00813273"/>
    <w:rsid w:val="00813EB5"/>
    <w:rsid w:val="0081463C"/>
    <w:rsid w:val="008227FD"/>
    <w:rsid w:val="00823461"/>
    <w:rsid w:val="00823B8C"/>
    <w:rsid w:val="00824904"/>
    <w:rsid w:val="0083059F"/>
    <w:rsid w:val="00831186"/>
    <w:rsid w:val="00835365"/>
    <w:rsid w:val="00836E5C"/>
    <w:rsid w:val="00837536"/>
    <w:rsid w:val="00845150"/>
    <w:rsid w:val="0084625D"/>
    <w:rsid w:val="00846A0A"/>
    <w:rsid w:val="00850751"/>
    <w:rsid w:val="00851F1A"/>
    <w:rsid w:val="0085427B"/>
    <w:rsid w:val="00856550"/>
    <w:rsid w:val="0085725E"/>
    <w:rsid w:val="00860AB3"/>
    <w:rsid w:val="00862047"/>
    <w:rsid w:val="0086249C"/>
    <w:rsid w:val="00862C06"/>
    <w:rsid w:val="00864C12"/>
    <w:rsid w:val="0086786F"/>
    <w:rsid w:val="00867AEE"/>
    <w:rsid w:val="00870477"/>
    <w:rsid w:val="0087308A"/>
    <w:rsid w:val="00875630"/>
    <w:rsid w:val="008817CE"/>
    <w:rsid w:val="00884FFF"/>
    <w:rsid w:val="0088507F"/>
    <w:rsid w:val="00885B04"/>
    <w:rsid w:val="00885B8D"/>
    <w:rsid w:val="00887128"/>
    <w:rsid w:val="00891911"/>
    <w:rsid w:val="00891A95"/>
    <w:rsid w:val="0089213A"/>
    <w:rsid w:val="008929E9"/>
    <w:rsid w:val="00893B23"/>
    <w:rsid w:val="00893B30"/>
    <w:rsid w:val="00896CB9"/>
    <w:rsid w:val="008975FD"/>
    <w:rsid w:val="008A3737"/>
    <w:rsid w:val="008A4E32"/>
    <w:rsid w:val="008A522B"/>
    <w:rsid w:val="008B0EC9"/>
    <w:rsid w:val="008B1356"/>
    <w:rsid w:val="008B2EC3"/>
    <w:rsid w:val="008B7489"/>
    <w:rsid w:val="008B7616"/>
    <w:rsid w:val="008C0A05"/>
    <w:rsid w:val="008C33BB"/>
    <w:rsid w:val="008C4BAC"/>
    <w:rsid w:val="008C6187"/>
    <w:rsid w:val="008C7927"/>
    <w:rsid w:val="008D1722"/>
    <w:rsid w:val="008D4D4E"/>
    <w:rsid w:val="008D540B"/>
    <w:rsid w:val="008D5888"/>
    <w:rsid w:val="008D5B2D"/>
    <w:rsid w:val="008D5DA3"/>
    <w:rsid w:val="008D6864"/>
    <w:rsid w:val="008D6CDE"/>
    <w:rsid w:val="008E06D5"/>
    <w:rsid w:val="008E0F4B"/>
    <w:rsid w:val="008E4A48"/>
    <w:rsid w:val="008E4A5D"/>
    <w:rsid w:val="008E5592"/>
    <w:rsid w:val="008E59EC"/>
    <w:rsid w:val="008E5F07"/>
    <w:rsid w:val="008F067A"/>
    <w:rsid w:val="008F26DF"/>
    <w:rsid w:val="008F66C3"/>
    <w:rsid w:val="008F77C9"/>
    <w:rsid w:val="00901C60"/>
    <w:rsid w:val="00901FAC"/>
    <w:rsid w:val="00901FB8"/>
    <w:rsid w:val="009027EA"/>
    <w:rsid w:val="009076FC"/>
    <w:rsid w:val="00907F33"/>
    <w:rsid w:val="00911863"/>
    <w:rsid w:val="00913956"/>
    <w:rsid w:val="0091412F"/>
    <w:rsid w:val="009162BC"/>
    <w:rsid w:val="00917676"/>
    <w:rsid w:val="00917E4F"/>
    <w:rsid w:val="00921596"/>
    <w:rsid w:val="009218E7"/>
    <w:rsid w:val="00921C87"/>
    <w:rsid w:val="00923D95"/>
    <w:rsid w:val="009242BC"/>
    <w:rsid w:val="00925FE4"/>
    <w:rsid w:val="00926B45"/>
    <w:rsid w:val="009300B1"/>
    <w:rsid w:val="009311A2"/>
    <w:rsid w:val="009321A9"/>
    <w:rsid w:val="00932567"/>
    <w:rsid w:val="009330A9"/>
    <w:rsid w:val="00933C4E"/>
    <w:rsid w:val="00933E5B"/>
    <w:rsid w:val="00933E79"/>
    <w:rsid w:val="009370BA"/>
    <w:rsid w:val="009379D1"/>
    <w:rsid w:val="009444D3"/>
    <w:rsid w:val="00944DE6"/>
    <w:rsid w:val="00945383"/>
    <w:rsid w:val="009464A9"/>
    <w:rsid w:val="00950834"/>
    <w:rsid w:val="00950D0B"/>
    <w:rsid w:val="009533B0"/>
    <w:rsid w:val="00954DA8"/>
    <w:rsid w:val="0095735E"/>
    <w:rsid w:val="009627FD"/>
    <w:rsid w:val="00962B96"/>
    <w:rsid w:val="00963758"/>
    <w:rsid w:val="00965819"/>
    <w:rsid w:val="009665FC"/>
    <w:rsid w:val="00966BEA"/>
    <w:rsid w:val="00967016"/>
    <w:rsid w:val="00967D26"/>
    <w:rsid w:val="009730C6"/>
    <w:rsid w:val="00974AD9"/>
    <w:rsid w:val="009753D8"/>
    <w:rsid w:val="009756CA"/>
    <w:rsid w:val="00976D2A"/>
    <w:rsid w:val="0098365F"/>
    <w:rsid w:val="00983692"/>
    <w:rsid w:val="009837CC"/>
    <w:rsid w:val="00995EAA"/>
    <w:rsid w:val="00997B43"/>
    <w:rsid w:val="00997DC4"/>
    <w:rsid w:val="00997E25"/>
    <w:rsid w:val="009A266A"/>
    <w:rsid w:val="009A272B"/>
    <w:rsid w:val="009A33D2"/>
    <w:rsid w:val="009A4115"/>
    <w:rsid w:val="009A4865"/>
    <w:rsid w:val="009A6E7A"/>
    <w:rsid w:val="009B144D"/>
    <w:rsid w:val="009B19AA"/>
    <w:rsid w:val="009B1EDD"/>
    <w:rsid w:val="009B24F8"/>
    <w:rsid w:val="009B2FD1"/>
    <w:rsid w:val="009B3265"/>
    <w:rsid w:val="009B3A06"/>
    <w:rsid w:val="009B4B21"/>
    <w:rsid w:val="009B4D7C"/>
    <w:rsid w:val="009B6C96"/>
    <w:rsid w:val="009C181C"/>
    <w:rsid w:val="009C2D34"/>
    <w:rsid w:val="009C5889"/>
    <w:rsid w:val="009C5FA5"/>
    <w:rsid w:val="009D3E6A"/>
    <w:rsid w:val="009D53AA"/>
    <w:rsid w:val="009D53F5"/>
    <w:rsid w:val="009D6E56"/>
    <w:rsid w:val="009D735D"/>
    <w:rsid w:val="009E14AD"/>
    <w:rsid w:val="009E27F9"/>
    <w:rsid w:val="009E4BB7"/>
    <w:rsid w:val="009E52DD"/>
    <w:rsid w:val="009E657B"/>
    <w:rsid w:val="009F08C0"/>
    <w:rsid w:val="00A00246"/>
    <w:rsid w:val="00A03178"/>
    <w:rsid w:val="00A06A84"/>
    <w:rsid w:val="00A071C3"/>
    <w:rsid w:val="00A07A5A"/>
    <w:rsid w:val="00A1123C"/>
    <w:rsid w:val="00A12C8A"/>
    <w:rsid w:val="00A13C8F"/>
    <w:rsid w:val="00A14461"/>
    <w:rsid w:val="00A20A52"/>
    <w:rsid w:val="00A22ECC"/>
    <w:rsid w:val="00A25D68"/>
    <w:rsid w:val="00A267F7"/>
    <w:rsid w:val="00A3007B"/>
    <w:rsid w:val="00A311C8"/>
    <w:rsid w:val="00A32045"/>
    <w:rsid w:val="00A321CC"/>
    <w:rsid w:val="00A32DC7"/>
    <w:rsid w:val="00A33F10"/>
    <w:rsid w:val="00A3758C"/>
    <w:rsid w:val="00A375EA"/>
    <w:rsid w:val="00A37A69"/>
    <w:rsid w:val="00A40524"/>
    <w:rsid w:val="00A42094"/>
    <w:rsid w:val="00A42723"/>
    <w:rsid w:val="00A453DF"/>
    <w:rsid w:val="00A4548D"/>
    <w:rsid w:val="00A4735F"/>
    <w:rsid w:val="00A50974"/>
    <w:rsid w:val="00A519E8"/>
    <w:rsid w:val="00A51B90"/>
    <w:rsid w:val="00A52784"/>
    <w:rsid w:val="00A54714"/>
    <w:rsid w:val="00A56A79"/>
    <w:rsid w:val="00A56CC2"/>
    <w:rsid w:val="00A60D26"/>
    <w:rsid w:val="00A613AE"/>
    <w:rsid w:val="00A615A2"/>
    <w:rsid w:val="00A615AF"/>
    <w:rsid w:val="00A63BAC"/>
    <w:rsid w:val="00A649E9"/>
    <w:rsid w:val="00A64E3F"/>
    <w:rsid w:val="00A651AE"/>
    <w:rsid w:val="00A664CD"/>
    <w:rsid w:val="00A674F2"/>
    <w:rsid w:val="00A70227"/>
    <w:rsid w:val="00A70CFD"/>
    <w:rsid w:val="00A718DC"/>
    <w:rsid w:val="00A71B19"/>
    <w:rsid w:val="00A7254A"/>
    <w:rsid w:val="00A74621"/>
    <w:rsid w:val="00A7599C"/>
    <w:rsid w:val="00A77A06"/>
    <w:rsid w:val="00A842D5"/>
    <w:rsid w:val="00A8644B"/>
    <w:rsid w:val="00A86600"/>
    <w:rsid w:val="00A90EA6"/>
    <w:rsid w:val="00AA0553"/>
    <w:rsid w:val="00AA16E7"/>
    <w:rsid w:val="00AA1FA9"/>
    <w:rsid w:val="00AA66CF"/>
    <w:rsid w:val="00AA7CB0"/>
    <w:rsid w:val="00AA7D5B"/>
    <w:rsid w:val="00AB11FD"/>
    <w:rsid w:val="00AB1C0A"/>
    <w:rsid w:val="00AB1D74"/>
    <w:rsid w:val="00AB3FD7"/>
    <w:rsid w:val="00AB6C51"/>
    <w:rsid w:val="00AC0C34"/>
    <w:rsid w:val="00AC148A"/>
    <w:rsid w:val="00AC27AF"/>
    <w:rsid w:val="00AC2BE2"/>
    <w:rsid w:val="00AC3FA6"/>
    <w:rsid w:val="00AC5329"/>
    <w:rsid w:val="00AC727C"/>
    <w:rsid w:val="00AD0EEC"/>
    <w:rsid w:val="00AD20F5"/>
    <w:rsid w:val="00AD243E"/>
    <w:rsid w:val="00AD3A64"/>
    <w:rsid w:val="00AE0AB8"/>
    <w:rsid w:val="00AE0F6A"/>
    <w:rsid w:val="00AE211A"/>
    <w:rsid w:val="00AE599D"/>
    <w:rsid w:val="00AE65B8"/>
    <w:rsid w:val="00AF05F3"/>
    <w:rsid w:val="00AF21A0"/>
    <w:rsid w:val="00AF30AB"/>
    <w:rsid w:val="00AF3686"/>
    <w:rsid w:val="00AF3E01"/>
    <w:rsid w:val="00AF5ACB"/>
    <w:rsid w:val="00AF6279"/>
    <w:rsid w:val="00AF66AA"/>
    <w:rsid w:val="00B01A85"/>
    <w:rsid w:val="00B04946"/>
    <w:rsid w:val="00B06BBD"/>
    <w:rsid w:val="00B075CE"/>
    <w:rsid w:val="00B07CD0"/>
    <w:rsid w:val="00B11145"/>
    <w:rsid w:val="00B13997"/>
    <w:rsid w:val="00B13A37"/>
    <w:rsid w:val="00B15189"/>
    <w:rsid w:val="00B158FC"/>
    <w:rsid w:val="00B15D8F"/>
    <w:rsid w:val="00B16911"/>
    <w:rsid w:val="00B2170C"/>
    <w:rsid w:val="00B21837"/>
    <w:rsid w:val="00B2427C"/>
    <w:rsid w:val="00B2696B"/>
    <w:rsid w:val="00B27170"/>
    <w:rsid w:val="00B2779A"/>
    <w:rsid w:val="00B30228"/>
    <w:rsid w:val="00B315F0"/>
    <w:rsid w:val="00B323D4"/>
    <w:rsid w:val="00B33849"/>
    <w:rsid w:val="00B40437"/>
    <w:rsid w:val="00B45DE8"/>
    <w:rsid w:val="00B47E53"/>
    <w:rsid w:val="00B521CF"/>
    <w:rsid w:val="00B5629F"/>
    <w:rsid w:val="00B62025"/>
    <w:rsid w:val="00B64E10"/>
    <w:rsid w:val="00B64E77"/>
    <w:rsid w:val="00B65239"/>
    <w:rsid w:val="00B700AA"/>
    <w:rsid w:val="00B72D88"/>
    <w:rsid w:val="00B74067"/>
    <w:rsid w:val="00B7432F"/>
    <w:rsid w:val="00B772BD"/>
    <w:rsid w:val="00B83AEA"/>
    <w:rsid w:val="00B83C48"/>
    <w:rsid w:val="00B84234"/>
    <w:rsid w:val="00B900E1"/>
    <w:rsid w:val="00B931EE"/>
    <w:rsid w:val="00B934EC"/>
    <w:rsid w:val="00B944BE"/>
    <w:rsid w:val="00B964CD"/>
    <w:rsid w:val="00B965C6"/>
    <w:rsid w:val="00BA0A94"/>
    <w:rsid w:val="00BA0B4D"/>
    <w:rsid w:val="00BA196A"/>
    <w:rsid w:val="00BA2178"/>
    <w:rsid w:val="00BA2B02"/>
    <w:rsid w:val="00BA36B4"/>
    <w:rsid w:val="00BA40F9"/>
    <w:rsid w:val="00BB0482"/>
    <w:rsid w:val="00BB0E10"/>
    <w:rsid w:val="00BB1415"/>
    <w:rsid w:val="00BB1C37"/>
    <w:rsid w:val="00BB1F74"/>
    <w:rsid w:val="00BB2F91"/>
    <w:rsid w:val="00BB3641"/>
    <w:rsid w:val="00BB4685"/>
    <w:rsid w:val="00BC39F0"/>
    <w:rsid w:val="00BC4677"/>
    <w:rsid w:val="00BC4813"/>
    <w:rsid w:val="00BC69AA"/>
    <w:rsid w:val="00BC7F57"/>
    <w:rsid w:val="00BD2925"/>
    <w:rsid w:val="00BD2B84"/>
    <w:rsid w:val="00BD4116"/>
    <w:rsid w:val="00BD4A9D"/>
    <w:rsid w:val="00BD504D"/>
    <w:rsid w:val="00BD51CD"/>
    <w:rsid w:val="00BD7DEA"/>
    <w:rsid w:val="00BE0D2F"/>
    <w:rsid w:val="00BE2C3E"/>
    <w:rsid w:val="00BE4F82"/>
    <w:rsid w:val="00BE57F2"/>
    <w:rsid w:val="00BE5BF4"/>
    <w:rsid w:val="00BE5D59"/>
    <w:rsid w:val="00BE7EDF"/>
    <w:rsid w:val="00BF3C6F"/>
    <w:rsid w:val="00BF3E1B"/>
    <w:rsid w:val="00BF417D"/>
    <w:rsid w:val="00BF4336"/>
    <w:rsid w:val="00BF5CA4"/>
    <w:rsid w:val="00BF6E6B"/>
    <w:rsid w:val="00C00787"/>
    <w:rsid w:val="00C0355F"/>
    <w:rsid w:val="00C03E19"/>
    <w:rsid w:val="00C0615F"/>
    <w:rsid w:val="00C073A3"/>
    <w:rsid w:val="00C10903"/>
    <w:rsid w:val="00C10D1A"/>
    <w:rsid w:val="00C15D33"/>
    <w:rsid w:val="00C16711"/>
    <w:rsid w:val="00C1740E"/>
    <w:rsid w:val="00C21806"/>
    <w:rsid w:val="00C22B45"/>
    <w:rsid w:val="00C25AB5"/>
    <w:rsid w:val="00C31DFF"/>
    <w:rsid w:val="00C32A29"/>
    <w:rsid w:val="00C33D4C"/>
    <w:rsid w:val="00C344B4"/>
    <w:rsid w:val="00C35517"/>
    <w:rsid w:val="00C36F83"/>
    <w:rsid w:val="00C40CC7"/>
    <w:rsid w:val="00C42A2F"/>
    <w:rsid w:val="00C43CFE"/>
    <w:rsid w:val="00C44F2E"/>
    <w:rsid w:val="00C47612"/>
    <w:rsid w:val="00C478F8"/>
    <w:rsid w:val="00C5042F"/>
    <w:rsid w:val="00C56514"/>
    <w:rsid w:val="00C572D6"/>
    <w:rsid w:val="00C5787E"/>
    <w:rsid w:val="00C6008F"/>
    <w:rsid w:val="00C63A6E"/>
    <w:rsid w:val="00C645B7"/>
    <w:rsid w:val="00C64DE6"/>
    <w:rsid w:val="00C72B22"/>
    <w:rsid w:val="00C73EA6"/>
    <w:rsid w:val="00C74460"/>
    <w:rsid w:val="00C8233F"/>
    <w:rsid w:val="00C8272C"/>
    <w:rsid w:val="00C8356A"/>
    <w:rsid w:val="00C83B5B"/>
    <w:rsid w:val="00C84799"/>
    <w:rsid w:val="00C84FA5"/>
    <w:rsid w:val="00C87791"/>
    <w:rsid w:val="00C902BB"/>
    <w:rsid w:val="00C917D6"/>
    <w:rsid w:val="00C924A1"/>
    <w:rsid w:val="00C92BF4"/>
    <w:rsid w:val="00C9572C"/>
    <w:rsid w:val="00C964AA"/>
    <w:rsid w:val="00C96974"/>
    <w:rsid w:val="00C96DAD"/>
    <w:rsid w:val="00CA1B73"/>
    <w:rsid w:val="00CA1D39"/>
    <w:rsid w:val="00CA1EC9"/>
    <w:rsid w:val="00CA42AB"/>
    <w:rsid w:val="00CA4611"/>
    <w:rsid w:val="00CA5297"/>
    <w:rsid w:val="00CA5623"/>
    <w:rsid w:val="00CA671A"/>
    <w:rsid w:val="00CA7391"/>
    <w:rsid w:val="00CB1945"/>
    <w:rsid w:val="00CB2AA7"/>
    <w:rsid w:val="00CB326C"/>
    <w:rsid w:val="00CB7BA0"/>
    <w:rsid w:val="00CB7C9B"/>
    <w:rsid w:val="00CC216F"/>
    <w:rsid w:val="00CC3138"/>
    <w:rsid w:val="00CC332E"/>
    <w:rsid w:val="00CC35D0"/>
    <w:rsid w:val="00CC4D70"/>
    <w:rsid w:val="00CC5A5B"/>
    <w:rsid w:val="00CD2DFB"/>
    <w:rsid w:val="00CD341C"/>
    <w:rsid w:val="00CD3739"/>
    <w:rsid w:val="00CE2DEF"/>
    <w:rsid w:val="00CE395C"/>
    <w:rsid w:val="00CE4979"/>
    <w:rsid w:val="00CE7B4B"/>
    <w:rsid w:val="00CF064F"/>
    <w:rsid w:val="00CF20FD"/>
    <w:rsid w:val="00CF31CF"/>
    <w:rsid w:val="00CF36BB"/>
    <w:rsid w:val="00CF3E4E"/>
    <w:rsid w:val="00CF6125"/>
    <w:rsid w:val="00CF695C"/>
    <w:rsid w:val="00CF7650"/>
    <w:rsid w:val="00D03BED"/>
    <w:rsid w:val="00D05485"/>
    <w:rsid w:val="00D10D20"/>
    <w:rsid w:val="00D124C5"/>
    <w:rsid w:val="00D141DC"/>
    <w:rsid w:val="00D144D9"/>
    <w:rsid w:val="00D144F4"/>
    <w:rsid w:val="00D178DF"/>
    <w:rsid w:val="00D21043"/>
    <w:rsid w:val="00D21128"/>
    <w:rsid w:val="00D21BBB"/>
    <w:rsid w:val="00D24020"/>
    <w:rsid w:val="00D2515E"/>
    <w:rsid w:val="00D3114E"/>
    <w:rsid w:val="00D313E3"/>
    <w:rsid w:val="00D316EC"/>
    <w:rsid w:val="00D3283C"/>
    <w:rsid w:val="00D35C27"/>
    <w:rsid w:val="00D35E18"/>
    <w:rsid w:val="00D36377"/>
    <w:rsid w:val="00D36BB0"/>
    <w:rsid w:val="00D415E5"/>
    <w:rsid w:val="00D416BC"/>
    <w:rsid w:val="00D428B3"/>
    <w:rsid w:val="00D42D75"/>
    <w:rsid w:val="00D449E0"/>
    <w:rsid w:val="00D463DF"/>
    <w:rsid w:val="00D46452"/>
    <w:rsid w:val="00D5154E"/>
    <w:rsid w:val="00D518E7"/>
    <w:rsid w:val="00D5455B"/>
    <w:rsid w:val="00D56556"/>
    <w:rsid w:val="00D5682E"/>
    <w:rsid w:val="00D60050"/>
    <w:rsid w:val="00D61032"/>
    <w:rsid w:val="00D61C65"/>
    <w:rsid w:val="00D63B80"/>
    <w:rsid w:val="00D64BDA"/>
    <w:rsid w:val="00D65E65"/>
    <w:rsid w:val="00D74BE6"/>
    <w:rsid w:val="00D75488"/>
    <w:rsid w:val="00D76384"/>
    <w:rsid w:val="00D76393"/>
    <w:rsid w:val="00D76A6D"/>
    <w:rsid w:val="00D81465"/>
    <w:rsid w:val="00D852A6"/>
    <w:rsid w:val="00D92E50"/>
    <w:rsid w:val="00D92F1C"/>
    <w:rsid w:val="00D94A17"/>
    <w:rsid w:val="00D95562"/>
    <w:rsid w:val="00DA0507"/>
    <w:rsid w:val="00DA7D1A"/>
    <w:rsid w:val="00DB06BC"/>
    <w:rsid w:val="00DB1925"/>
    <w:rsid w:val="00DB1A02"/>
    <w:rsid w:val="00DB4090"/>
    <w:rsid w:val="00DB4584"/>
    <w:rsid w:val="00DB4B39"/>
    <w:rsid w:val="00DC2CC0"/>
    <w:rsid w:val="00DC2D0F"/>
    <w:rsid w:val="00DC3649"/>
    <w:rsid w:val="00DC38E5"/>
    <w:rsid w:val="00DC491A"/>
    <w:rsid w:val="00DC50FB"/>
    <w:rsid w:val="00DC6118"/>
    <w:rsid w:val="00DC67BF"/>
    <w:rsid w:val="00DD1195"/>
    <w:rsid w:val="00DD2ADE"/>
    <w:rsid w:val="00DD367F"/>
    <w:rsid w:val="00DD37A2"/>
    <w:rsid w:val="00DD46B1"/>
    <w:rsid w:val="00DD48D3"/>
    <w:rsid w:val="00DD4A09"/>
    <w:rsid w:val="00DD4B99"/>
    <w:rsid w:val="00DD66D1"/>
    <w:rsid w:val="00DE583F"/>
    <w:rsid w:val="00DE712A"/>
    <w:rsid w:val="00DF3E54"/>
    <w:rsid w:val="00DF68B8"/>
    <w:rsid w:val="00E00A14"/>
    <w:rsid w:val="00E02B4F"/>
    <w:rsid w:val="00E02BCA"/>
    <w:rsid w:val="00E02CF4"/>
    <w:rsid w:val="00E03743"/>
    <w:rsid w:val="00E13470"/>
    <w:rsid w:val="00E1397A"/>
    <w:rsid w:val="00E167CF"/>
    <w:rsid w:val="00E20E27"/>
    <w:rsid w:val="00E21008"/>
    <w:rsid w:val="00E23302"/>
    <w:rsid w:val="00E23B3A"/>
    <w:rsid w:val="00E24546"/>
    <w:rsid w:val="00E2781B"/>
    <w:rsid w:val="00E30B72"/>
    <w:rsid w:val="00E323A4"/>
    <w:rsid w:val="00E3354D"/>
    <w:rsid w:val="00E3415E"/>
    <w:rsid w:val="00E35626"/>
    <w:rsid w:val="00E44697"/>
    <w:rsid w:val="00E463EC"/>
    <w:rsid w:val="00E50EA0"/>
    <w:rsid w:val="00E50F40"/>
    <w:rsid w:val="00E5234A"/>
    <w:rsid w:val="00E54095"/>
    <w:rsid w:val="00E613A7"/>
    <w:rsid w:val="00E63584"/>
    <w:rsid w:val="00E63B18"/>
    <w:rsid w:val="00E66DB2"/>
    <w:rsid w:val="00E67285"/>
    <w:rsid w:val="00E70C71"/>
    <w:rsid w:val="00E70E06"/>
    <w:rsid w:val="00E72DE5"/>
    <w:rsid w:val="00E73B8F"/>
    <w:rsid w:val="00E74B07"/>
    <w:rsid w:val="00E76221"/>
    <w:rsid w:val="00E77069"/>
    <w:rsid w:val="00E77FCF"/>
    <w:rsid w:val="00E80A2B"/>
    <w:rsid w:val="00E81237"/>
    <w:rsid w:val="00E837E2"/>
    <w:rsid w:val="00E8726E"/>
    <w:rsid w:val="00E87321"/>
    <w:rsid w:val="00E8771B"/>
    <w:rsid w:val="00E87763"/>
    <w:rsid w:val="00E9234D"/>
    <w:rsid w:val="00E94B1F"/>
    <w:rsid w:val="00E95D67"/>
    <w:rsid w:val="00E97B0B"/>
    <w:rsid w:val="00EA24A1"/>
    <w:rsid w:val="00EA2A14"/>
    <w:rsid w:val="00EA387D"/>
    <w:rsid w:val="00EA3A4E"/>
    <w:rsid w:val="00EA46B2"/>
    <w:rsid w:val="00EA7579"/>
    <w:rsid w:val="00EB10F8"/>
    <w:rsid w:val="00EB339C"/>
    <w:rsid w:val="00EB3899"/>
    <w:rsid w:val="00EB3CFC"/>
    <w:rsid w:val="00EB58EE"/>
    <w:rsid w:val="00EB660D"/>
    <w:rsid w:val="00EC02AC"/>
    <w:rsid w:val="00EC08AB"/>
    <w:rsid w:val="00EC0AC0"/>
    <w:rsid w:val="00EC2828"/>
    <w:rsid w:val="00EC57C7"/>
    <w:rsid w:val="00EC6815"/>
    <w:rsid w:val="00EC7FFD"/>
    <w:rsid w:val="00ED0C46"/>
    <w:rsid w:val="00ED4C40"/>
    <w:rsid w:val="00ED5301"/>
    <w:rsid w:val="00EE2654"/>
    <w:rsid w:val="00EE2C32"/>
    <w:rsid w:val="00EE4AA4"/>
    <w:rsid w:val="00EE6DCE"/>
    <w:rsid w:val="00EF01BE"/>
    <w:rsid w:val="00EF04C0"/>
    <w:rsid w:val="00EF0703"/>
    <w:rsid w:val="00EF1813"/>
    <w:rsid w:val="00EF234C"/>
    <w:rsid w:val="00EF630E"/>
    <w:rsid w:val="00F00EE4"/>
    <w:rsid w:val="00F0136D"/>
    <w:rsid w:val="00F04F46"/>
    <w:rsid w:val="00F0626E"/>
    <w:rsid w:val="00F13264"/>
    <w:rsid w:val="00F14E63"/>
    <w:rsid w:val="00F15C71"/>
    <w:rsid w:val="00F20258"/>
    <w:rsid w:val="00F2055D"/>
    <w:rsid w:val="00F25AE9"/>
    <w:rsid w:val="00F25DDE"/>
    <w:rsid w:val="00F30A22"/>
    <w:rsid w:val="00F30A8B"/>
    <w:rsid w:val="00F30D52"/>
    <w:rsid w:val="00F31994"/>
    <w:rsid w:val="00F324AA"/>
    <w:rsid w:val="00F33E03"/>
    <w:rsid w:val="00F3534B"/>
    <w:rsid w:val="00F36405"/>
    <w:rsid w:val="00F379ED"/>
    <w:rsid w:val="00F37D78"/>
    <w:rsid w:val="00F41961"/>
    <w:rsid w:val="00F41DDA"/>
    <w:rsid w:val="00F44361"/>
    <w:rsid w:val="00F47D45"/>
    <w:rsid w:val="00F5035E"/>
    <w:rsid w:val="00F51071"/>
    <w:rsid w:val="00F51427"/>
    <w:rsid w:val="00F53440"/>
    <w:rsid w:val="00F55BB3"/>
    <w:rsid w:val="00F55CF1"/>
    <w:rsid w:val="00F55D80"/>
    <w:rsid w:val="00F578A5"/>
    <w:rsid w:val="00F600F9"/>
    <w:rsid w:val="00F636A5"/>
    <w:rsid w:val="00F64BD3"/>
    <w:rsid w:val="00F66F46"/>
    <w:rsid w:val="00F70088"/>
    <w:rsid w:val="00F70C29"/>
    <w:rsid w:val="00F71CD8"/>
    <w:rsid w:val="00F732D1"/>
    <w:rsid w:val="00F73FD8"/>
    <w:rsid w:val="00F75580"/>
    <w:rsid w:val="00F76444"/>
    <w:rsid w:val="00F76703"/>
    <w:rsid w:val="00F7689F"/>
    <w:rsid w:val="00F77439"/>
    <w:rsid w:val="00F812E5"/>
    <w:rsid w:val="00F826B7"/>
    <w:rsid w:val="00F83350"/>
    <w:rsid w:val="00F837E8"/>
    <w:rsid w:val="00F85DF3"/>
    <w:rsid w:val="00F86D6F"/>
    <w:rsid w:val="00F935E5"/>
    <w:rsid w:val="00F95A9E"/>
    <w:rsid w:val="00F95FFD"/>
    <w:rsid w:val="00F96417"/>
    <w:rsid w:val="00F96728"/>
    <w:rsid w:val="00F96B01"/>
    <w:rsid w:val="00FA219D"/>
    <w:rsid w:val="00FA2271"/>
    <w:rsid w:val="00FA3E3E"/>
    <w:rsid w:val="00FA4302"/>
    <w:rsid w:val="00FA5190"/>
    <w:rsid w:val="00FA5A50"/>
    <w:rsid w:val="00FB11C8"/>
    <w:rsid w:val="00FB42F6"/>
    <w:rsid w:val="00FB669C"/>
    <w:rsid w:val="00FC1443"/>
    <w:rsid w:val="00FC1791"/>
    <w:rsid w:val="00FC4AED"/>
    <w:rsid w:val="00FC5EF9"/>
    <w:rsid w:val="00FC7258"/>
    <w:rsid w:val="00FD14BF"/>
    <w:rsid w:val="00FD1F22"/>
    <w:rsid w:val="00FD24EF"/>
    <w:rsid w:val="00FD3015"/>
    <w:rsid w:val="00FD436F"/>
    <w:rsid w:val="00FD5B8F"/>
    <w:rsid w:val="00FD5D0E"/>
    <w:rsid w:val="00FD637F"/>
    <w:rsid w:val="00FD7CA4"/>
    <w:rsid w:val="00FE0891"/>
    <w:rsid w:val="00FE21A2"/>
    <w:rsid w:val="00FE65A0"/>
    <w:rsid w:val="00FF04A1"/>
    <w:rsid w:val="00FF16BF"/>
    <w:rsid w:val="00FF2516"/>
    <w:rsid w:val="00FF2972"/>
    <w:rsid w:val="00FF3C26"/>
    <w:rsid w:val="00FF3D61"/>
    <w:rsid w:val="00FF433E"/>
    <w:rsid w:val="00FF593C"/>
    <w:rsid w:val="011F6FB2"/>
    <w:rsid w:val="07D14A72"/>
    <w:rsid w:val="0A7AE9AE"/>
    <w:rsid w:val="0FFDFF34"/>
    <w:rsid w:val="15F473F2"/>
    <w:rsid w:val="1D5357BB"/>
    <w:rsid w:val="27B20DD3"/>
    <w:rsid w:val="2D72D33B"/>
    <w:rsid w:val="3255B6DB"/>
    <w:rsid w:val="331E121A"/>
    <w:rsid w:val="37BF83EE"/>
    <w:rsid w:val="39488AB9"/>
    <w:rsid w:val="3BAC3D62"/>
    <w:rsid w:val="3CA7BD53"/>
    <w:rsid w:val="45B4A0E5"/>
    <w:rsid w:val="48E7ECE6"/>
    <w:rsid w:val="4AB43252"/>
    <w:rsid w:val="51C4DFCE"/>
    <w:rsid w:val="5669C481"/>
    <w:rsid w:val="59704FAA"/>
    <w:rsid w:val="59BBC911"/>
    <w:rsid w:val="632350EC"/>
    <w:rsid w:val="6363FD9F"/>
    <w:rsid w:val="637E1F5A"/>
    <w:rsid w:val="64033308"/>
    <w:rsid w:val="648053B5"/>
    <w:rsid w:val="67CC5A07"/>
    <w:rsid w:val="6922E409"/>
    <w:rsid w:val="70B27261"/>
    <w:rsid w:val="72EB4BFC"/>
    <w:rsid w:val="79BEDCC6"/>
    <w:rsid w:val="7A062AEF"/>
    <w:rsid w:val="7F2E884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08532"/>
  <w15:chartTrackingRefBased/>
  <w15:docId w15:val="{9E71F3C6-E49C-4B60-AA89-C613E6662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7976B6"/>
    <w:pPr>
      <w:spacing w:after="120" w:line="280" w:lineRule="atLeast"/>
    </w:pPr>
    <w:rPr>
      <w:rFonts w:ascii="Arial" w:eastAsia="Times New Roman" w:hAnsi="Arial" w:cs="Times New Roman"/>
      <w:kern w:val="0"/>
      <w:sz w:val="21"/>
      <w:szCs w:val="20"/>
      <w14:ligatures w14:val="none"/>
    </w:rPr>
  </w:style>
  <w:style w:type="paragraph" w:styleId="Heading1">
    <w:name w:val="heading 1"/>
    <w:basedOn w:val="Normal"/>
    <w:next w:val="Normal"/>
    <w:link w:val="Heading1Char"/>
    <w:uiPriority w:val="1"/>
    <w:qFormat/>
    <w:rsid w:val="007976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7976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1"/>
    <w:unhideWhenUsed/>
    <w:qFormat/>
    <w:rsid w:val="007976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76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76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76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6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6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6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976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1"/>
    <w:rsid w:val="007976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1"/>
    <w:rsid w:val="007976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76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76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76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6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6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6B6"/>
    <w:rPr>
      <w:rFonts w:eastAsiaTheme="majorEastAsia" w:cstheme="majorBidi"/>
      <w:color w:val="272727" w:themeColor="text1" w:themeTint="D8"/>
    </w:rPr>
  </w:style>
  <w:style w:type="paragraph" w:styleId="Title">
    <w:name w:val="Title"/>
    <w:basedOn w:val="Normal"/>
    <w:next w:val="Normal"/>
    <w:link w:val="TitleChar"/>
    <w:uiPriority w:val="10"/>
    <w:qFormat/>
    <w:rsid w:val="007976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6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6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6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6B6"/>
    <w:pPr>
      <w:spacing w:before="160"/>
      <w:jc w:val="center"/>
    </w:pPr>
    <w:rPr>
      <w:i/>
      <w:iCs/>
      <w:color w:val="404040" w:themeColor="text1" w:themeTint="BF"/>
    </w:rPr>
  </w:style>
  <w:style w:type="character" w:customStyle="1" w:styleId="QuoteChar">
    <w:name w:val="Quote Char"/>
    <w:basedOn w:val="DefaultParagraphFont"/>
    <w:link w:val="Quote"/>
    <w:uiPriority w:val="29"/>
    <w:rsid w:val="007976B6"/>
    <w:rPr>
      <w:i/>
      <w:iCs/>
      <w:color w:val="404040" w:themeColor="text1" w:themeTint="BF"/>
    </w:rPr>
  </w:style>
  <w:style w:type="paragraph" w:styleId="ListParagraph">
    <w:name w:val="List Paragraph"/>
    <w:basedOn w:val="Normal"/>
    <w:uiPriority w:val="34"/>
    <w:qFormat/>
    <w:rsid w:val="007976B6"/>
    <w:pPr>
      <w:ind w:left="720"/>
      <w:contextualSpacing/>
    </w:pPr>
  </w:style>
  <w:style w:type="character" w:styleId="IntenseEmphasis">
    <w:name w:val="Intense Emphasis"/>
    <w:basedOn w:val="DefaultParagraphFont"/>
    <w:uiPriority w:val="21"/>
    <w:qFormat/>
    <w:rsid w:val="007976B6"/>
    <w:rPr>
      <w:i/>
      <w:iCs/>
      <w:color w:val="2F5496" w:themeColor="accent1" w:themeShade="BF"/>
    </w:rPr>
  </w:style>
  <w:style w:type="paragraph" w:styleId="IntenseQuote">
    <w:name w:val="Intense Quote"/>
    <w:basedOn w:val="Normal"/>
    <w:next w:val="Normal"/>
    <w:link w:val="IntenseQuoteChar"/>
    <w:uiPriority w:val="30"/>
    <w:qFormat/>
    <w:rsid w:val="007976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76B6"/>
    <w:rPr>
      <w:i/>
      <w:iCs/>
      <w:color w:val="2F5496" w:themeColor="accent1" w:themeShade="BF"/>
    </w:rPr>
  </w:style>
  <w:style w:type="character" w:styleId="IntenseReference">
    <w:name w:val="Intense Reference"/>
    <w:basedOn w:val="DefaultParagraphFont"/>
    <w:uiPriority w:val="32"/>
    <w:qFormat/>
    <w:rsid w:val="007976B6"/>
    <w:rPr>
      <w:b/>
      <w:bCs/>
      <w:smallCaps/>
      <w:color w:val="2F5496" w:themeColor="accent1" w:themeShade="BF"/>
      <w:spacing w:val="5"/>
    </w:rPr>
  </w:style>
  <w:style w:type="paragraph" w:customStyle="1" w:styleId="Body">
    <w:name w:val="Body"/>
    <w:link w:val="BodyChar"/>
    <w:qFormat/>
    <w:rsid w:val="007976B6"/>
    <w:pPr>
      <w:spacing w:after="120" w:line="280" w:lineRule="atLeast"/>
    </w:pPr>
    <w:rPr>
      <w:rFonts w:ascii="Arial" w:eastAsia="Times" w:hAnsi="Arial" w:cs="Times New Roman"/>
      <w:kern w:val="0"/>
      <w:sz w:val="21"/>
      <w:szCs w:val="20"/>
      <w14:ligatures w14:val="none"/>
    </w:rPr>
  </w:style>
  <w:style w:type="paragraph" w:styleId="Header">
    <w:name w:val="header"/>
    <w:basedOn w:val="Normal"/>
    <w:link w:val="HeaderChar"/>
    <w:uiPriority w:val="10"/>
    <w:rsid w:val="007976B6"/>
    <w:pPr>
      <w:spacing w:after="300" w:line="240" w:lineRule="auto"/>
    </w:pPr>
    <w:rPr>
      <w:rFonts w:cs="Arial"/>
      <w:b/>
      <w:color w:val="53565A"/>
      <w:sz w:val="18"/>
      <w:szCs w:val="18"/>
    </w:rPr>
  </w:style>
  <w:style w:type="character" w:customStyle="1" w:styleId="HeaderChar">
    <w:name w:val="Header Char"/>
    <w:basedOn w:val="DefaultParagraphFont"/>
    <w:link w:val="Header"/>
    <w:uiPriority w:val="10"/>
    <w:rsid w:val="007976B6"/>
    <w:rPr>
      <w:rFonts w:ascii="Arial" w:eastAsia="Times New Roman" w:hAnsi="Arial" w:cs="Arial"/>
      <w:b/>
      <w:color w:val="53565A"/>
      <w:kern w:val="0"/>
      <w:sz w:val="18"/>
      <w:szCs w:val="18"/>
      <w14:ligatures w14:val="none"/>
    </w:rPr>
  </w:style>
  <w:style w:type="paragraph" w:styleId="Footer">
    <w:name w:val="footer"/>
    <w:link w:val="FooterChar"/>
    <w:uiPriority w:val="8"/>
    <w:rsid w:val="007976B6"/>
    <w:pPr>
      <w:spacing w:before="300" w:after="0" w:line="240" w:lineRule="auto"/>
      <w:jc w:val="right"/>
    </w:pPr>
    <w:rPr>
      <w:rFonts w:ascii="Arial" w:eastAsia="Times New Roman" w:hAnsi="Arial" w:cs="Arial"/>
      <w:kern w:val="0"/>
      <w:sz w:val="20"/>
      <w:szCs w:val="18"/>
      <w14:ligatures w14:val="none"/>
    </w:rPr>
  </w:style>
  <w:style w:type="character" w:customStyle="1" w:styleId="FooterChar">
    <w:name w:val="Footer Char"/>
    <w:basedOn w:val="DefaultParagraphFont"/>
    <w:link w:val="Footer"/>
    <w:uiPriority w:val="8"/>
    <w:rsid w:val="007976B6"/>
    <w:rPr>
      <w:rFonts w:ascii="Arial" w:eastAsia="Times New Roman" w:hAnsi="Arial" w:cs="Arial"/>
      <w:kern w:val="0"/>
      <w:sz w:val="20"/>
      <w:szCs w:val="18"/>
      <w14:ligatures w14:val="none"/>
    </w:rPr>
  </w:style>
  <w:style w:type="table" w:styleId="TableGrid">
    <w:name w:val="Table Grid"/>
    <w:basedOn w:val="TableNormal"/>
    <w:rsid w:val="007976B6"/>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Body"/>
    <w:qFormat/>
    <w:rsid w:val="007976B6"/>
    <w:pPr>
      <w:numPr>
        <w:numId w:val="1"/>
      </w:numPr>
      <w:spacing w:after="40"/>
    </w:pPr>
  </w:style>
  <w:style w:type="character" w:styleId="Strong">
    <w:name w:val="Strong"/>
    <w:uiPriority w:val="22"/>
    <w:qFormat/>
    <w:rsid w:val="007976B6"/>
    <w:rPr>
      <w:b/>
      <w:bCs/>
    </w:rPr>
  </w:style>
  <w:style w:type="paragraph" w:customStyle="1" w:styleId="Sectionbreakfirstpage">
    <w:name w:val="Section break first page"/>
    <w:basedOn w:val="Normal"/>
    <w:uiPriority w:val="5"/>
    <w:rsid w:val="007976B6"/>
    <w:pPr>
      <w:spacing w:after="0" w:line="240" w:lineRule="auto"/>
    </w:pPr>
    <w:rPr>
      <w:rFonts w:eastAsia="Times"/>
      <w:noProof/>
      <w:sz w:val="12"/>
    </w:rPr>
  </w:style>
  <w:style w:type="paragraph" w:customStyle="1" w:styleId="Documenttitle">
    <w:name w:val="Document title"/>
    <w:uiPriority w:val="8"/>
    <w:rsid w:val="007976B6"/>
    <w:pPr>
      <w:spacing w:after="240" w:line="560" w:lineRule="atLeast"/>
    </w:pPr>
    <w:rPr>
      <w:rFonts w:ascii="Arial" w:eastAsia="Times New Roman" w:hAnsi="Arial" w:cs="Times New Roman"/>
      <w:b/>
      <w:color w:val="201547"/>
      <w:kern w:val="0"/>
      <w:sz w:val="48"/>
      <w:szCs w:val="50"/>
      <w14:ligatures w14:val="none"/>
    </w:rPr>
  </w:style>
  <w:style w:type="paragraph" w:customStyle="1" w:styleId="Bullet2">
    <w:name w:val="Bullet 2"/>
    <w:basedOn w:val="Body"/>
    <w:uiPriority w:val="2"/>
    <w:qFormat/>
    <w:rsid w:val="007976B6"/>
    <w:pPr>
      <w:numPr>
        <w:ilvl w:val="1"/>
        <w:numId w:val="1"/>
      </w:numPr>
      <w:spacing w:after="40"/>
    </w:pPr>
  </w:style>
  <w:style w:type="character" w:styleId="Hyperlink">
    <w:name w:val="Hyperlink"/>
    <w:uiPriority w:val="99"/>
    <w:rsid w:val="007976B6"/>
    <w:rPr>
      <w:color w:val="004C97"/>
      <w:u w:val="dotted"/>
    </w:rPr>
  </w:style>
  <w:style w:type="paragraph" w:customStyle="1" w:styleId="Documentsubtitle">
    <w:name w:val="Document subtitle"/>
    <w:uiPriority w:val="8"/>
    <w:rsid w:val="007976B6"/>
    <w:pPr>
      <w:spacing w:after="120" w:line="240" w:lineRule="auto"/>
    </w:pPr>
    <w:rPr>
      <w:rFonts w:ascii="Arial" w:eastAsia="Times New Roman" w:hAnsi="Arial" w:cs="Times New Roman"/>
      <w:color w:val="53565A"/>
      <w:kern w:val="0"/>
      <w:sz w:val="28"/>
      <w:szCs w:val="24"/>
      <w14:ligatures w14:val="none"/>
    </w:rPr>
  </w:style>
  <w:style w:type="numbering" w:customStyle="1" w:styleId="ZZBullets">
    <w:name w:val="ZZ Bullets"/>
    <w:rsid w:val="007976B6"/>
    <w:pPr>
      <w:numPr>
        <w:numId w:val="1"/>
      </w:numPr>
    </w:pPr>
  </w:style>
  <w:style w:type="paragraph" w:styleId="CommentText">
    <w:name w:val="annotation text"/>
    <w:basedOn w:val="Normal"/>
    <w:link w:val="CommentTextChar"/>
    <w:uiPriority w:val="99"/>
    <w:unhideWhenUsed/>
    <w:rsid w:val="007976B6"/>
  </w:style>
  <w:style w:type="character" w:customStyle="1" w:styleId="CommentTextChar">
    <w:name w:val="Comment Text Char"/>
    <w:basedOn w:val="DefaultParagraphFont"/>
    <w:link w:val="CommentText"/>
    <w:uiPriority w:val="99"/>
    <w:rsid w:val="007976B6"/>
    <w:rPr>
      <w:rFonts w:ascii="Arial" w:eastAsia="Times New Roman" w:hAnsi="Arial" w:cs="Times New Roman"/>
      <w:kern w:val="0"/>
      <w:sz w:val="21"/>
      <w:szCs w:val="20"/>
      <w14:ligatures w14:val="none"/>
    </w:rPr>
  </w:style>
  <w:style w:type="character" w:styleId="CommentReference">
    <w:name w:val="annotation reference"/>
    <w:basedOn w:val="DefaultParagraphFont"/>
    <w:uiPriority w:val="99"/>
    <w:semiHidden/>
    <w:unhideWhenUsed/>
    <w:rsid w:val="007976B6"/>
    <w:rPr>
      <w:sz w:val="16"/>
      <w:szCs w:val="16"/>
    </w:rPr>
  </w:style>
  <w:style w:type="character" w:customStyle="1" w:styleId="BodyChar">
    <w:name w:val="Body Char"/>
    <w:basedOn w:val="DefaultParagraphFont"/>
    <w:link w:val="Body"/>
    <w:rsid w:val="007976B6"/>
    <w:rPr>
      <w:rFonts w:ascii="Arial" w:eastAsia="Times" w:hAnsi="Arial" w:cs="Times New Roman"/>
      <w:kern w:val="0"/>
      <w:sz w:val="21"/>
      <w:szCs w:val="20"/>
      <w14:ligatures w14:val="none"/>
    </w:rPr>
  </w:style>
  <w:style w:type="paragraph" w:customStyle="1" w:styleId="Bannermarking">
    <w:name w:val="Banner marking"/>
    <w:basedOn w:val="Body"/>
    <w:uiPriority w:val="11"/>
    <w:rsid w:val="007976B6"/>
    <w:pPr>
      <w:spacing w:after="0"/>
    </w:pPr>
    <w:rPr>
      <w:b/>
      <w:bCs/>
      <w:color w:val="000000" w:themeColor="text1"/>
    </w:rPr>
  </w:style>
  <w:style w:type="paragraph" w:customStyle="1" w:styleId="DHHSbody">
    <w:name w:val="DHHS body"/>
    <w:qFormat/>
    <w:rsid w:val="007976B6"/>
    <w:pPr>
      <w:spacing w:after="120" w:line="270" w:lineRule="atLeast"/>
    </w:pPr>
    <w:rPr>
      <w:rFonts w:ascii="Arial" w:eastAsia="Times" w:hAnsi="Arial" w:cs="Times New Roman"/>
      <w:kern w:val="0"/>
      <w:sz w:val="20"/>
      <w:szCs w:val="20"/>
      <w14:ligatures w14:val="none"/>
    </w:rPr>
  </w:style>
  <w:style w:type="paragraph" w:customStyle="1" w:styleId="DHHStablebullet">
    <w:name w:val="DHHS table bullet"/>
    <w:basedOn w:val="Normal"/>
    <w:uiPriority w:val="3"/>
    <w:qFormat/>
    <w:rsid w:val="007976B6"/>
    <w:pPr>
      <w:spacing w:before="80" w:after="60" w:line="240" w:lineRule="auto"/>
      <w:ind w:left="227" w:hanging="227"/>
    </w:pPr>
    <w:rPr>
      <w:sz w:val="20"/>
    </w:rPr>
  </w:style>
  <w:style w:type="paragraph" w:customStyle="1" w:styleId="DHHStablecaption">
    <w:name w:val="DHHS table caption"/>
    <w:next w:val="DHHSbody"/>
    <w:uiPriority w:val="3"/>
    <w:qFormat/>
    <w:rsid w:val="007976B6"/>
    <w:pPr>
      <w:keepNext/>
      <w:keepLines/>
      <w:spacing w:before="240" w:after="120" w:line="240" w:lineRule="atLeast"/>
    </w:pPr>
    <w:rPr>
      <w:rFonts w:ascii="Arial" w:eastAsia="Times New Roman" w:hAnsi="Arial" w:cs="Times New Roman"/>
      <w:b/>
      <w:kern w:val="0"/>
      <w:sz w:val="20"/>
      <w:szCs w:val="20"/>
      <w14:ligatures w14:val="none"/>
    </w:rPr>
  </w:style>
  <w:style w:type="paragraph" w:styleId="Revision">
    <w:name w:val="Revision"/>
    <w:hidden/>
    <w:uiPriority w:val="99"/>
    <w:semiHidden/>
    <w:rsid w:val="0091412F"/>
    <w:pPr>
      <w:spacing w:after="0" w:line="240" w:lineRule="auto"/>
    </w:pPr>
    <w:rPr>
      <w:rFonts w:ascii="Arial" w:eastAsia="Times New Roman" w:hAnsi="Arial" w:cs="Times New Roman"/>
      <w:kern w:val="0"/>
      <w:sz w:val="21"/>
      <w:szCs w:val="20"/>
      <w14:ligatures w14:val="none"/>
    </w:rPr>
  </w:style>
  <w:style w:type="paragraph" w:styleId="CommentSubject">
    <w:name w:val="annotation subject"/>
    <w:basedOn w:val="CommentText"/>
    <w:next w:val="CommentText"/>
    <w:link w:val="CommentSubjectChar"/>
    <w:uiPriority w:val="99"/>
    <w:semiHidden/>
    <w:unhideWhenUsed/>
    <w:rsid w:val="00AA0553"/>
    <w:pPr>
      <w:spacing w:line="240" w:lineRule="auto"/>
    </w:pPr>
    <w:rPr>
      <w:b/>
      <w:bCs/>
      <w:sz w:val="20"/>
    </w:rPr>
  </w:style>
  <w:style w:type="character" w:customStyle="1" w:styleId="CommentSubjectChar">
    <w:name w:val="Comment Subject Char"/>
    <w:basedOn w:val="CommentTextChar"/>
    <w:link w:val="CommentSubject"/>
    <w:uiPriority w:val="99"/>
    <w:semiHidden/>
    <w:rsid w:val="00AA0553"/>
    <w:rPr>
      <w:rFonts w:ascii="Arial" w:eastAsia="Times New Roman" w:hAnsi="Arial" w:cs="Times New Roman"/>
      <w:b/>
      <w:bCs/>
      <w:kern w:val="0"/>
      <w:sz w:val="20"/>
      <w:szCs w:val="20"/>
      <w14:ligatures w14:val="none"/>
    </w:rPr>
  </w:style>
  <w:style w:type="character" w:styleId="FollowedHyperlink">
    <w:name w:val="FollowedHyperlink"/>
    <w:basedOn w:val="DefaultParagraphFont"/>
    <w:uiPriority w:val="99"/>
    <w:semiHidden/>
    <w:unhideWhenUsed/>
    <w:rsid w:val="009D53F5"/>
    <w:rPr>
      <w:color w:val="954F72" w:themeColor="followedHyperlink"/>
      <w:u w:val="single"/>
    </w:rPr>
  </w:style>
  <w:style w:type="character" w:styleId="UnresolvedMention">
    <w:name w:val="Unresolved Mention"/>
    <w:basedOn w:val="DefaultParagraphFont"/>
    <w:uiPriority w:val="99"/>
    <w:semiHidden/>
    <w:unhideWhenUsed/>
    <w:rsid w:val="00375E58"/>
    <w:rPr>
      <w:color w:val="605E5C"/>
      <w:shd w:val="clear" w:color="auto" w:fill="E1DFDD"/>
    </w:rPr>
  </w:style>
  <w:style w:type="character" w:styleId="Mention">
    <w:name w:val="Mention"/>
    <w:basedOn w:val="DefaultParagraphFont"/>
    <w:uiPriority w:val="99"/>
    <w:unhideWhenUsed/>
    <w:rsid w:val="007905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639901">
      <w:bodyDiv w:val="1"/>
      <w:marLeft w:val="0"/>
      <w:marRight w:val="0"/>
      <w:marTop w:val="0"/>
      <w:marBottom w:val="0"/>
      <w:divBdr>
        <w:top w:val="none" w:sz="0" w:space="0" w:color="auto"/>
        <w:left w:val="none" w:sz="0" w:space="0" w:color="auto"/>
        <w:bottom w:val="none" w:sz="0" w:space="0" w:color="auto"/>
        <w:right w:val="none" w:sz="0" w:space="0" w:color="auto"/>
      </w:divBdr>
    </w:div>
    <w:div w:id="1623418535">
      <w:bodyDiv w:val="1"/>
      <w:marLeft w:val="0"/>
      <w:marRight w:val="0"/>
      <w:marTop w:val="0"/>
      <w:marBottom w:val="0"/>
      <w:divBdr>
        <w:top w:val="none" w:sz="0" w:space="0" w:color="auto"/>
        <w:left w:val="none" w:sz="0" w:space="0" w:color="auto"/>
        <w:bottom w:val="none" w:sz="0" w:space="0" w:color="auto"/>
        <w:right w:val="none" w:sz="0" w:space="0" w:color="auto"/>
      </w:divBdr>
    </w:div>
    <w:div w:id="2065911002">
      <w:bodyDiv w:val="1"/>
      <w:marLeft w:val="0"/>
      <w:marRight w:val="0"/>
      <w:marTop w:val="0"/>
      <w:marBottom w:val="0"/>
      <w:divBdr>
        <w:top w:val="none" w:sz="0" w:space="0" w:color="auto"/>
        <w:left w:val="none" w:sz="0" w:space="0" w:color="auto"/>
        <w:bottom w:val="none" w:sz="0" w:space="0" w:color="auto"/>
        <w:right w:val="none" w:sz="0" w:space="0" w:color="auto"/>
      </w:divBdr>
    </w:div>
    <w:div w:id="212422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yperlink" Target="https://immunisationhandbook.health.gov.au/contents/vaccine-preventable-diseases/measles" TargetMode="External"/><Relationship Id="rId21" Type="http://schemas.openxmlformats.org/officeDocument/2006/relationships/hyperlink" Target="https://www.health.vic.gov.au/local-public-health-units" TargetMode="External"/><Relationship Id="rId34" Type="http://schemas.openxmlformats.org/officeDocument/2006/relationships/hyperlink" Target="https://www.health.gov.au/resources/collections/cdna-series-of-national-guidelines-song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www.health.vic.gov.au/infectious-diseases/measles-contact-information" TargetMode="Externa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health.vic.gov.au/infectious-diseases/notifiable-infectious-diseases-conditions-and-micro-organisms" TargetMode="External"/><Relationship Id="rId29" Type="http://schemas.openxmlformats.org/officeDocument/2006/relationships/hyperlink" Target="https://www.health.vic.gov.au/health-alerts/measles-public-exposure-sites-victori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infectious-diseases/measles-contact-information" TargetMode="External"/><Relationship Id="rId32" Type="http://schemas.openxmlformats.org/officeDocument/2006/relationships/footer" Target="footer8.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servicesaustralia.gov.au/australian-immunisation-register-for-health-professionals" TargetMode="External"/><Relationship Id="rId28" Type="http://schemas.openxmlformats.org/officeDocument/2006/relationships/hyperlink" Target="https://www.health.vic.gov.au/news-and-events/cho-health-advisory-alert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ealth.vic.gov.au/local-public-health-units" TargetMode="External"/><Relationship Id="rId27" Type="http://schemas.openxmlformats.org/officeDocument/2006/relationships/hyperlink" Target="https://www.health.vic.gov.au/infectious-diseases/measles-contact-information" TargetMode="External"/><Relationship Id="rId30" Type="http://schemas.openxmlformats.org/officeDocument/2006/relationships/hyperlink" Target="https://www.health.vic.gov.au/local-public-health-units" TargetMode="External"/><Relationship Id="rId35" Type="http://schemas.openxmlformats.org/officeDocument/2006/relationships/hyperlink" Target="https://www.health.gov.au/resources/collections/cdna-series-of-national-guidelines-song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D0C7B5DB48243899A425A906156C6" ma:contentTypeVersion="17" ma:contentTypeDescription="Create a new document." ma:contentTypeScope="" ma:versionID="6ec8ee5fe35c74ec05f8f2b19192c24c">
  <xsd:schema xmlns:xsd="http://www.w3.org/2001/XMLSchema" xmlns:xs="http://www.w3.org/2001/XMLSchema" xmlns:p="http://schemas.microsoft.com/office/2006/metadata/properties" xmlns:ns2="47e38451-04d3-4ba3-b385-7c061ba67f5a" xmlns:ns3="4d33c502-030c-43db-90e0-03d88d6d0151" targetNamespace="http://schemas.microsoft.com/office/2006/metadata/properties" ma:root="true" ma:fieldsID="141904adf7dc5ac8730d5daf2b8aa00e" ns2:_="" ns3:_="">
    <xsd:import namespace="47e38451-04d3-4ba3-b385-7c061ba67f5a"/>
    <xsd:import namespace="4d33c502-030c-43db-90e0-03d88d6d0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8451-04d3-4ba3-b385-7c061ba6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33c502-030c-43db-90e0-03d88d6d01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2da6099-9de7-4d51-8fad-9cc9a2cb11cc}" ma:internalName="TaxCatchAll" ma:showField="CatchAllData" ma:web="4d33c502-030c-43db-90e0-03d88d6d01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e38451-04d3-4ba3-b385-7c061ba67f5a">
      <Terms xmlns="http://schemas.microsoft.com/office/infopath/2007/PartnerControls"/>
    </lcf76f155ced4ddcb4097134ff3c332f>
    <TaxCatchAll xmlns="4d33c502-030c-43db-90e0-03d88d6d0151" xsi:nil="true"/>
  </documentManagement>
</p:properties>
</file>

<file path=customXml/itemProps1.xml><?xml version="1.0" encoding="utf-8"?>
<ds:datastoreItem xmlns:ds="http://schemas.openxmlformats.org/officeDocument/2006/customXml" ds:itemID="{847346B6-3F33-488C-B7B7-BF8D0BA39A62}">
  <ds:schemaRefs>
    <ds:schemaRef ds:uri="http://schemas.microsoft.com/sharepoint/v3/contenttype/forms"/>
  </ds:schemaRefs>
</ds:datastoreItem>
</file>

<file path=customXml/itemProps2.xml><?xml version="1.0" encoding="utf-8"?>
<ds:datastoreItem xmlns:ds="http://schemas.openxmlformats.org/officeDocument/2006/customXml" ds:itemID="{E1DE0560-C077-4B38-8AB9-3799E5191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38451-04d3-4ba3-b385-7c061ba67f5a"/>
    <ds:schemaRef ds:uri="4d33c502-030c-43db-90e0-03d88d6d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A27A9C-BEB4-487B-9F2D-650688870320}">
  <ds:schemaRefs>
    <ds:schemaRef ds:uri="http://schemas.openxmlformats.org/officeDocument/2006/bibliography"/>
  </ds:schemaRefs>
</ds:datastoreItem>
</file>

<file path=customXml/itemProps4.xml><?xml version="1.0" encoding="utf-8"?>
<ds:datastoreItem xmlns:ds="http://schemas.openxmlformats.org/officeDocument/2006/customXml" ds:itemID="{5F45CFE3-BA61-4EB2-8907-FE012EE574B7}">
  <ds:schemaRefs>
    <ds:schemaRef ds:uri="http://schemas.microsoft.com/office/2006/metadata/properties"/>
    <ds:schemaRef ds:uri="47e38451-04d3-4ba3-b385-7c061ba67f5a"/>
    <ds:schemaRef ds:uri="http://schemas.microsoft.com/office/infopath/2007/PartnerControls"/>
    <ds:schemaRef ds:uri="http://purl.org/dc/dcmitype/"/>
    <ds:schemaRef ds:uri="http://schemas.microsoft.com/office/2006/documentManagement/types"/>
    <ds:schemaRef ds:uri="http://purl.org/dc/elements/1.1/"/>
    <ds:schemaRef ds:uri="http://schemas.openxmlformats.org/package/2006/metadata/core-properties"/>
    <ds:schemaRef ds:uri="4d33c502-030c-43db-90e0-03d88d6d0151"/>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2678</Words>
  <Characters>15270</Characters>
  <Application>Microsoft Office Word</Application>
  <DocSecurity>0</DocSecurity>
  <Lines>127</Lines>
  <Paragraphs>35</Paragraphs>
  <ScaleCrop>false</ScaleCrop>
  <Company/>
  <LinksUpToDate>false</LinksUpToDate>
  <CharactersWithSpaces>17913</CharactersWithSpaces>
  <SharedDoc>false</SharedDoc>
  <HLinks>
    <vt:vector size="54" baseType="variant">
      <vt:variant>
        <vt:i4>6488135</vt:i4>
      </vt:variant>
      <vt:variant>
        <vt:i4>27</vt:i4>
      </vt:variant>
      <vt:variant>
        <vt:i4>0</vt:i4>
      </vt:variant>
      <vt:variant>
        <vt:i4>5</vt:i4>
      </vt:variant>
      <vt:variant>
        <vt:lpwstr>mailto:jane@gmail.com</vt:lpwstr>
      </vt:variant>
      <vt:variant>
        <vt:lpwstr/>
      </vt:variant>
      <vt:variant>
        <vt:i4>1114132</vt:i4>
      </vt:variant>
      <vt:variant>
        <vt:i4>24</vt:i4>
      </vt:variant>
      <vt:variant>
        <vt:i4>0</vt:i4>
      </vt:variant>
      <vt:variant>
        <vt:i4>5</vt:i4>
      </vt:variant>
      <vt:variant>
        <vt:lpwstr>https://www.health.gov.au/resources/collections/cdna-series-of-national-guidelines-songs</vt:lpwstr>
      </vt:variant>
      <vt:variant>
        <vt:lpwstr/>
      </vt:variant>
      <vt:variant>
        <vt:i4>1114132</vt:i4>
      </vt:variant>
      <vt:variant>
        <vt:i4>21</vt:i4>
      </vt:variant>
      <vt:variant>
        <vt:i4>0</vt:i4>
      </vt:variant>
      <vt:variant>
        <vt:i4>5</vt:i4>
      </vt:variant>
      <vt:variant>
        <vt:lpwstr>https://www.health.gov.au/resources/collections/cdna-series-of-national-guidelines-songs</vt:lpwstr>
      </vt:variant>
      <vt:variant>
        <vt:lpwstr/>
      </vt:variant>
      <vt:variant>
        <vt:i4>6946878</vt:i4>
      </vt:variant>
      <vt:variant>
        <vt:i4>18</vt:i4>
      </vt:variant>
      <vt:variant>
        <vt:i4>0</vt:i4>
      </vt:variant>
      <vt:variant>
        <vt:i4>5</vt:i4>
      </vt:variant>
      <vt:variant>
        <vt:lpwstr>https://immunisationhandbook.health.gov.au/contents/vaccine-preventable-diseases/measles</vt:lpwstr>
      </vt:variant>
      <vt:variant>
        <vt:lpwstr>managing-contacts-of-measles-cases</vt:lpwstr>
      </vt:variant>
      <vt:variant>
        <vt:i4>327732</vt:i4>
      </vt:variant>
      <vt:variant>
        <vt:i4>15</vt:i4>
      </vt:variant>
      <vt:variant>
        <vt:i4>0</vt:i4>
      </vt:variant>
      <vt:variant>
        <vt:i4>5</vt:i4>
      </vt:variant>
      <vt:variant>
        <vt:lpwstr/>
      </vt:variant>
      <vt:variant>
        <vt:lpwstr>_Table_2:_Post</vt:lpwstr>
      </vt:variant>
      <vt:variant>
        <vt:i4>327732</vt:i4>
      </vt:variant>
      <vt:variant>
        <vt:i4>12</vt:i4>
      </vt:variant>
      <vt:variant>
        <vt:i4>0</vt:i4>
      </vt:variant>
      <vt:variant>
        <vt:i4>5</vt:i4>
      </vt:variant>
      <vt:variant>
        <vt:lpwstr/>
      </vt:variant>
      <vt:variant>
        <vt:lpwstr>_Table_2:_Post</vt:lpwstr>
      </vt:variant>
      <vt:variant>
        <vt:i4>393268</vt:i4>
      </vt:variant>
      <vt:variant>
        <vt:i4>9</vt:i4>
      </vt:variant>
      <vt:variant>
        <vt:i4>0</vt:i4>
      </vt:variant>
      <vt:variant>
        <vt:i4>5</vt:i4>
      </vt:variant>
      <vt:variant>
        <vt:lpwstr/>
      </vt:variant>
      <vt:variant>
        <vt:lpwstr>_Table_1:_Post</vt:lpwstr>
      </vt:variant>
      <vt:variant>
        <vt:i4>7733365</vt:i4>
      </vt:variant>
      <vt:variant>
        <vt:i4>6</vt:i4>
      </vt:variant>
      <vt:variant>
        <vt:i4>0</vt:i4>
      </vt:variant>
      <vt:variant>
        <vt:i4>5</vt:i4>
      </vt:variant>
      <vt:variant>
        <vt:lpwstr>https://www.servicesaustralia.gov.au/australian-immunisation-register-for-health-professionals</vt:lpwstr>
      </vt:variant>
      <vt:variant>
        <vt:lpwstr/>
      </vt:variant>
      <vt:variant>
        <vt:i4>6684739</vt:i4>
      </vt:variant>
      <vt:variant>
        <vt:i4>3</vt:i4>
      </vt:variant>
      <vt:variant>
        <vt:i4>0</vt:i4>
      </vt:variant>
      <vt:variant>
        <vt:i4>5</vt:i4>
      </vt:variant>
      <vt:variant>
        <vt:lpwstr/>
      </vt:variant>
      <vt:variant>
        <vt:lpwstr>_Table_3:_Example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Services - Managing contacts of a confirmed case of measles</dc:title>
  <dc:subject>Measles</dc:subject>
  <dc:creator>infectious.diseases@health.vic.gov.au</dc:creator>
  <cp:keywords/>
  <dc:description/>
  <cp:lastPrinted>2025-07-28T06:44:00Z</cp:lastPrinted>
  <dcterms:created xsi:type="dcterms:W3CDTF">2025-11-12T03:22:00Z</dcterms:created>
  <dcterms:modified xsi:type="dcterms:W3CDTF">2025-11-12T03:22:00Z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7714bd96,79267b6c,42b235b,9dd05b7,1cb69506,12ab8d6f,698bcba6,38ddedaf,458b40e5</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2025-06-02T04:28:18Z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1916be67-e98d-42ed-a2fd-8e4510a8a5e8</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y fmtid="{D5CDD505-2E9C-101B-9397-08002B2CF9AE}" pid="13" name="ContentTypeId">
    <vt:lpwstr>0x010100C33D0C7B5DB48243899A425A906156C6</vt:lpwstr>
  </property>
  <property fmtid="{D5CDD505-2E9C-101B-9397-08002B2CF9AE}" pid="14" name="MediaServiceImageTags">
    <vt:lpwstr/>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xd_Signature">
    <vt:bool>false</vt:bool>
  </property>
  <property fmtid="{D5CDD505-2E9C-101B-9397-08002B2CF9AE}" pid="21" name="MSIP_Label_3f1a9bcb-5012-4dc2-af9d-cbdac688eaea_Enabled">
    <vt:lpwstr>true</vt:lpwstr>
  </property>
  <property fmtid="{D5CDD505-2E9C-101B-9397-08002B2CF9AE}" pid="22" name="MSIP_Label_3f1a9bcb-5012-4dc2-af9d-cbdac688eaea_SetDate">
    <vt:lpwstr>2025-07-08T09:00:16Z</vt:lpwstr>
  </property>
  <property fmtid="{D5CDD505-2E9C-101B-9397-08002B2CF9AE}" pid="23" name="MSIP_Label_3f1a9bcb-5012-4dc2-af9d-cbdac688eaea_Method">
    <vt:lpwstr>Standard</vt:lpwstr>
  </property>
  <property fmtid="{D5CDD505-2E9C-101B-9397-08002B2CF9AE}" pid="24" name="MSIP_Label_3f1a9bcb-5012-4dc2-af9d-cbdac688eaea_Name">
    <vt:lpwstr>Internal</vt:lpwstr>
  </property>
  <property fmtid="{D5CDD505-2E9C-101B-9397-08002B2CF9AE}" pid="25" name="MSIP_Label_3f1a9bcb-5012-4dc2-af9d-cbdac688eaea_SiteId">
    <vt:lpwstr>4d53b7d9-4cf1-4344-9565-d8ca0e809b41</vt:lpwstr>
  </property>
  <property fmtid="{D5CDD505-2E9C-101B-9397-08002B2CF9AE}" pid="26" name="MSIP_Label_3f1a9bcb-5012-4dc2-af9d-cbdac688eaea_ActionId">
    <vt:lpwstr>ba37e403-66cc-4215-bd2f-959215995816</vt:lpwstr>
  </property>
  <property fmtid="{D5CDD505-2E9C-101B-9397-08002B2CF9AE}" pid="27" name="MSIP_Label_3f1a9bcb-5012-4dc2-af9d-cbdac688eaea_ContentBits">
    <vt:lpwstr>0</vt:lpwstr>
  </property>
  <property fmtid="{D5CDD505-2E9C-101B-9397-08002B2CF9AE}" pid="28" name="MSIP_Label_3f1a9bcb-5012-4dc2-af9d-cbdac688eaea_Tag">
    <vt:lpwstr>10, 3, 0, 1</vt:lpwstr>
  </property>
</Properties>
</file>