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BB0E" w14:textId="126773E9" w:rsidR="00056EC4" w:rsidRPr="005F4143" w:rsidRDefault="00E9042A" w:rsidP="008575A6">
      <w:pPr>
        <w:pStyle w:val="Body"/>
      </w:pPr>
      <w:r w:rsidRPr="005F4143">
        <w:rPr>
          <w:noProof/>
        </w:rPr>
        <w:drawing>
          <wp:anchor distT="0" distB="0" distL="114300" distR="114300" simplePos="0" relativeHeight="251658240" behindDoc="1" locked="1" layoutInCell="1" allowOverlap="0" wp14:anchorId="74FEC765" wp14:editId="1C1A781A">
            <wp:simplePos x="0" y="0"/>
            <wp:positionH relativeFrom="page">
              <wp:posOffset>0</wp:posOffset>
            </wp:positionH>
            <wp:positionV relativeFrom="page">
              <wp:posOffset>0</wp:posOffset>
            </wp:positionV>
            <wp:extent cx="7555865" cy="10146665"/>
            <wp:effectExtent l="0" t="0" r="635"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p w14:paraId="4A28F3ED" w14:textId="77777777" w:rsidR="003F779D" w:rsidRPr="005F4143" w:rsidRDefault="003F779D" w:rsidP="008575A6">
      <w:pPr>
        <w:pStyle w:val="Body"/>
      </w:pP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5F4143" w14:paraId="50C45B4E" w14:textId="77777777" w:rsidTr="00431F42">
        <w:trPr>
          <w:cantSplit/>
        </w:trPr>
        <w:tc>
          <w:tcPr>
            <w:tcW w:w="0" w:type="auto"/>
            <w:tcMar>
              <w:top w:w="0" w:type="dxa"/>
              <w:left w:w="0" w:type="dxa"/>
              <w:right w:w="0" w:type="dxa"/>
            </w:tcMar>
          </w:tcPr>
          <w:p w14:paraId="2962DCFB" w14:textId="5C413946" w:rsidR="00AD784C" w:rsidRPr="005F4143" w:rsidRDefault="004912AA" w:rsidP="00431F42">
            <w:pPr>
              <w:pStyle w:val="Documenttitle"/>
            </w:pPr>
            <w:r w:rsidRPr="005F4143">
              <w:t xml:space="preserve">Indicators for </w:t>
            </w:r>
            <w:r w:rsidR="007D0EBE" w:rsidRPr="005F4143">
              <w:t>the</w:t>
            </w:r>
            <w:r w:rsidRPr="005F4143">
              <w:t xml:space="preserve"> </w:t>
            </w:r>
            <w:r w:rsidR="00D4520B" w:rsidRPr="005F4143">
              <w:t>h</w:t>
            </w:r>
            <w:r w:rsidRPr="005F4143">
              <w:t xml:space="preserve">epatitis B, </w:t>
            </w:r>
            <w:r w:rsidR="00D4520B" w:rsidRPr="005F4143">
              <w:t>h</w:t>
            </w:r>
            <w:r w:rsidRPr="005F4143">
              <w:t xml:space="preserve">epatitis C, HIV </w:t>
            </w:r>
            <w:r w:rsidR="00396297" w:rsidRPr="005F4143">
              <w:t xml:space="preserve">and STI </w:t>
            </w:r>
            <w:r w:rsidR="00D4520B" w:rsidRPr="005F4143">
              <w:t>p</w:t>
            </w:r>
            <w:r w:rsidRPr="005F4143">
              <w:t xml:space="preserve">lans of the Victorian </w:t>
            </w:r>
            <w:r w:rsidR="00396297" w:rsidRPr="005F4143">
              <w:t>s</w:t>
            </w:r>
            <w:r w:rsidRPr="005F4143">
              <w:t xml:space="preserve">exual and </w:t>
            </w:r>
            <w:r w:rsidR="00396297" w:rsidRPr="005F4143">
              <w:t>r</w:t>
            </w:r>
            <w:r w:rsidRPr="005F4143">
              <w:t xml:space="preserve">eproductive </w:t>
            </w:r>
            <w:r w:rsidR="00396297" w:rsidRPr="005F4143">
              <w:t>h</w:t>
            </w:r>
            <w:r w:rsidRPr="005F4143">
              <w:t xml:space="preserve">ealth and </w:t>
            </w:r>
            <w:r w:rsidR="00FC48C4" w:rsidRPr="005F4143">
              <w:t>v</w:t>
            </w:r>
            <w:r w:rsidRPr="005F4143">
              <w:t xml:space="preserve">iral </w:t>
            </w:r>
            <w:r w:rsidR="00FC48C4" w:rsidRPr="005F4143">
              <w:t>h</w:t>
            </w:r>
            <w:r w:rsidRPr="005F4143">
              <w:t xml:space="preserve">epatitis </w:t>
            </w:r>
            <w:r w:rsidR="00FC48C4" w:rsidRPr="005F4143">
              <w:t>s</w:t>
            </w:r>
            <w:r w:rsidRPr="005F4143">
              <w:t>trategy 2022</w:t>
            </w:r>
            <w:r w:rsidR="007A6EF8" w:rsidRPr="005F4143">
              <w:t>–</w:t>
            </w:r>
            <w:r w:rsidR="008B2F1D" w:rsidRPr="005F4143">
              <w:t>30</w:t>
            </w:r>
            <w:r w:rsidRPr="005F4143">
              <w:t>.</w:t>
            </w:r>
          </w:p>
        </w:tc>
      </w:tr>
      <w:tr w:rsidR="00AD784C" w:rsidRPr="005F4143" w14:paraId="5E471FD8" w14:textId="77777777" w:rsidTr="00431F42">
        <w:trPr>
          <w:cantSplit/>
        </w:trPr>
        <w:tc>
          <w:tcPr>
            <w:tcW w:w="0" w:type="auto"/>
          </w:tcPr>
          <w:p w14:paraId="17EF9C2D" w14:textId="13E7F700" w:rsidR="00386109" w:rsidRPr="005F4143" w:rsidRDefault="00386109" w:rsidP="009315BE">
            <w:pPr>
              <w:pStyle w:val="Documentsubtitle"/>
            </w:pPr>
          </w:p>
        </w:tc>
      </w:tr>
      <w:tr w:rsidR="00430393" w:rsidRPr="005F4143" w14:paraId="5D89E997" w14:textId="77777777" w:rsidTr="00431F42">
        <w:trPr>
          <w:cantSplit/>
        </w:trPr>
        <w:tc>
          <w:tcPr>
            <w:tcW w:w="0" w:type="auto"/>
          </w:tcPr>
          <w:p w14:paraId="699D95D5" w14:textId="3726415D" w:rsidR="00430393" w:rsidRPr="005F4143" w:rsidRDefault="00F15AE6" w:rsidP="00430393">
            <w:pPr>
              <w:pStyle w:val="Bannermarking"/>
            </w:pPr>
            <w:fldSimple w:instr="FILLIN  &quot;Type the protective marking&quot; \d OFFICIAL \o  \* MERGEFORMAT">
              <w:r w:rsidRPr="005F4143">
                <w:t>OFFICIAL</w:t>
              </w:r>
            </w:fldSimple>
          </w:p>
        </w:tc>
      </w:tr>
    </w:tbl>
    <w:p w14:paraId="0ED31E33" w14:textId="77777777" w:rsidR="00FE4081" w:rsidRPr="005F4143" w:rsidRDefault="00FE4081" w:rsidP="00FE4081">
      <w:pPr>
        <w:pStyle w:val="Body"/>
      </w:pPr>
    </w:p>
    <w:p w14:paraId="543A43EC" w14:textId="77777777" w:rsidR="00FE4081" w:rsidRPr="005F4143" w:rsidRDefault="00FE4081" w:rsidP="00FE4081">
      <w:pPr>
        <w:pStyle w:val="Body"/>
        <w:sectPr w:rsidR="00FE4081" w:rsidRPr="005F4143" w:rsidSect="002C5B7C">
          <w:headerReference w:type="default" r:id="rId12"/>
          <w:footerReference w:type="even" r:id="rId13"/>
          <w:footerReference w:type="default" r:id="rId14"/>
          <w:headerReference w:type="first" r:id="rId15"/>
          <w:footerReference w:type="first" r:id="rId16"/>
          <w:type w:val="continuous"/>
          <w:pgSz w:w="11906" w:h="16838" w:code="9"/>
          <w:pgMar w:top="3969" w:right="1304" w:bottom="1418" w:left="1304" w:header="680" w:footer="851" w:gutter="0"/>
          <w:cols w:space="340"/>
          <w:docGrid w:linePitch="360"/>
        </w:sectPr>
      </w:pPr>
    </w:p>
    <w:p w14:paraId="5A4C93D1" w14:textId="48E7F738" w:rsidR="00431F42" w:rsidRPr="005F4143"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rsidRPr="005F4143" w14:paraId="3715CAAA" w14:textId="77777777" w:rsidTr="00431F42">
        <w:trPr>
          <w:trHeight w:val="7371"/>
        </w:trPr>
        <w:tc>
          <w:tcPr>
            <w:tcW w:w="7598" w:type="dxa"/>
            <w:vAlign w:val="center"/>
          </w:tcPr>
          <w:p w14:paraId="2720F9A4" w14:textId="3B8FF938" w:rsidR="00431F42" w:rsidRPr="005F4143" w:rsidRDefault="004912AA" w:rsidP="00431F42">
            <w:pPr>
              <w:pStyle w:val="Documentsubtitle"/>
            </w:pPr>
            <w:r w:rsidRPr="005F4143">
              <w:rPr>
                <w:b/>
                <w:color w:val="AF272F"/>
                <w:sz w:val="48"/>
                <w:szCs w:val="50"/>
              </w:rPr>
              <w:t xml:space="preserve">Indicators for </w:t>
            </w:r>
            <w:r w:rsidR="007D0EBE" w:rsidRPr="005F4143">
              <w:rPr>
                <w:b/>
                <w:color w:val="AF272F"/>
                <w:sz w:val="48"/>
                <w:szCs w:val="50"/>
              </w:rPr>
              <w:t xml:space="preserve">the </w:t>
            </w:r>
            <w:r w:rsidR="00FC0949" w:rsidRPr="005F4143">
              <w:rPr>
                <w:b/>
                <w:color w:val="AF272F"/>
                <w:sz w:val="48"/>
                <w:szCs w:val="50"/>
              </w:rPr>
              <w:t>h</w:t>
            </w:r>
            <w:r w:rsidRPr="005F4143">
              <w:rPr>
                <w:b/>
                <w:color w:val="AF272F"/>
                <w:sz w:val="48"/>
                <w:szCs w:val="50"/>
              </w:rPr>
              <w:t xml:space="preserve">epatitis B, </w:t>
            </w:r>
            <w:r w:rsidR="00FC0949" w:rsidRPr="005F4143">
              <w:rPr>
                <w:b/>
                <w:color w:val="AF272F"/>
                <w:sz w:val="48"/>
                <w:szCs w:val="50"/>
              </w:rPr>
              <w:t>h</w:t>
            </w:r>
            <w:r w:rsidRPr="005F4143">
              <w:rPr>
                <w:b/>
                <w:color w:val="AF272F"/>
                <w:sz w:val="48"/>
                <w:szCs w:val="50"/>
              </w:rPr>
              <w:t>epatitis C, HIV</w:t>
            </w:r>
            <w:r w:rsidR="00566063" w:rsidRPr="005F4143">
              <w:rPr>
                <w:b/>
                <w:color w:val="AF272F"/>
                <w:sz w:val="48"/>
                <w:szCs w:val="50"/>
              </w:rPr>
              <w:t xml:space="preserve"> and STI</w:t>
            </w:r>
            <w:r w:rsidRPr="005F4143">
              <w:rPr>
                <w:b/>
                <w:color w:val="AF272F"/>
                <w:sz w:val="48"/>
                <w:szCs w:val="50"/>
              </w:rPr>
              <w:t xml:space="preserve"> </w:t>
            </w:r>
            <w:r w:rsidR="00D4520B" w:rsidRPr="005F4143">
              <w:rPr>
                <w:b/>
                <w:color w:val="AF272F"/>
                <w:sz w:val="48"/>
                <w:szCs w:val="50"/>
              </w:rPr>
              <w:t>p</w:t>
            </w:r>
            <w:r w:rsidRPr="005F4143">
              <w:rPr>
                <w:b/>
                <w:color w:val="AF272F"/>
                <w:sz w:val="48"/>
                <w:szCs w:val="50"/>
              </w:rPr>
              <w:t xml:space="preserve">lans of the Victorian </w:t>
            </w:r>
            <w:r w:rsidR="007D0EBE" w:rsidRPr="005F4143">
              <w:rPr>
                <w:b/>
                <w:color w:val="AF272F"/>
                <w:sz w:val="48"/>
                <w:szCs w:val="50"/>
              </w:rPr>
              <w:t>s</w:t>
            </w:r>
            <w:r w:rsidRPr="005F4143">
              <w:rPr>
                <w:b/>
                <w:color w:val="AF272F"/>
                <w:sz w:val="48"/>
                <w:szCs w:val="50"/>
              </w:rPr>
              <w:t xml:space="preserve">exual and </w:t>
            </w:r>
            <w:r w:rsidR="007D0EBE" w:rsidRPr="005F4143">
              <w:rPr>
                <w:b/>
                <w:color w:val="AF272F"/>
                <w:sz w:val="48"/>
                <w:szCs w:val="50"/>
              </w:rPr>
              <w:t>r</w:t>
            </w:r>
            <w:r w:rsidRPr="005F4143">
              <w:rPr>
                <w:b/>
                <w:color w:val="AF272F"/>
                <w:sz w:val="48"/>
                <w:szCs w:val="50"/>
              </w:rPr>
              <w:t xml:space="preserve">eproductive </w:t>
            </w:r>
            <w:r w:rsidR="007D0EBE" w:rsidRPr="005F4143">
              <w:rPr>
                <w:b/>
                <w:color w:val="AF272F"/>
                <w:sz w:val="48"/>
                <w:szCs w:val="50"/>
              </w:rPr>
              <w:t>h</w:t>
            </w:r>
            <w:r w:rsidRPr="005F4143">
              <w:rPr>
                <w:b/>
                <w:color w:val="AF272F"/>
                <w:sz w:val="48"/>
                <w:szCs w:val="50"/>
              </w:rPr>
              <w:t xml:space="preserve">ealth and </w:t>
            </w:r>
            <w:r w:rsidR="007D0EBE" w:rsidRPr="005F4143">
              <w:rPr>
                <w:b/>
                <w:color w:val="AF272F"/>
                <w:sz w:val="48"/>
                <w:szCs w:val="50"/>
              </w:rPr>
              <w:t>v</w:t>
            </w:r>
            <w:r w:rsidRPr="005F4143">
              <w:rPr>
                <w:b/>
                <w:color w:val="AF272F"/>
                <w:sz w:val="48"/>
                <w:szCs w:val="50"/>
              </w:rPr>
              <w:t xml:space="preserve">iral </w:t>
            </w:r>
            <w:r w:rsidR="007D0EBE" w:rsidRPr="005F4143">
              <w:rPr>
                <w:b/>
                <w:color w:val="AF272F"/>
                <w:sz w:val="48"/>
                <w:szCs w:val="50"/>
              </w:rPr>
              <w:t>h</w:t>
            </w:r>
            <w:r w:rsidRPr="005F4143">
              <w:rPr>
                <w:b/>
                <w:color w:val="AF272F"/>
                <w:sz w:val="48"/>
                <w:szCs w:val="50"/>
              </w:rPr>
              <w:t xml:space="preserve">epatitis </w:t>
            </w:r>
            <w:r w:rsidR="007D0EBE" w:rsidRPr="005F4143">
              <w:rPr>
                <w:b/>
                <w:color w:val="AF272F"/>
                <w:sz w:val="48"/>
                <w:szCs w:val="50"/>
              </w:rPr>
              <w:t>s</w:t>
            </w:r>
            <w:r w:rsidRPr="005F4143">
              <w:rPr>
                <w:b/>
                <w:color w:val="AF272F"/>
                <w:sz w:val="48"/>
                <w:szCs w:val="50"/>
              </w:rPr>
              <w:t>trategy 2022</w:t>
            </w:r>
            <w:r w:rsidR="007A6EF8" w:rsidRPr="005F4143">
              <w:rPr>
                <w:b/>
                <w:color w:val="AF272F"/>
                <w:sz w:val="48"/>
                <w:szCs w:val="50"/>
              </w:rPr>
              <w:t>–</w:t>
            </w:r>
            <w:r w:rsidR="008B2F1D" w:rsidRPr="005F4143">
              <w:rPr>
                <w:b/>
                <w:color w:val="AF272F"/>
                <w:sz w:val="48"/>
                <w:szCs w:val="50"/>
              </w:rPr>
              <w:t>30</w:t>
            </w:r>
            <w:r w:rsidRPr="005F4143">
              <w:rPr>
                <w:b/>
                <w:color w:val="AF272F"/>
                <w:sz w:val="48"/>
                <w:szCs w:val="50"/>
              </w:rPr>
              <w:t>.</w:t>
            </w:r>
          </w:p>
        </w:tc>
      </w:tr>
      <w:tr w:rsidR="00431F42" w:rsidRPr="005F4143" w14:paraId="35D0328C" w14:textId="77777777" w:rsidTr="00431F42">
        <w:tc>
          <w:tcPr>
            <w:tcW w:w="7598" w:type="dxa"/>
          </w:tcPr>
          <w:p w14:paraId="5A0CBD8A" w14:textId="77777777" w:rsidR="00431F42" w:rsidRPr="005F4143" w:rsidRDefault="00431F42" w:rsidP="00431F42">
            <w:pPr>
              <w:pStyle w:val="Body"/>
            </w:pPr>
          </w:p>
        </w:tc>
      </w:tr>
    </w:tbl>
    <w:p w14:paraId="0F2FEF6B" w14:textId="77777777" w:rsidR="000D2ABA" w:rsidRPr="005F4143" w:rsidRDefault="000D2ABA" w:rsidP="00431F42">
      <w:pPr>
        <w:pStyle w:val="Body"/>
      </w:pPr>
      <w:r w:rsidRPr="005F4143">
        <w:br w:type="page"/>
      </w:r>
    </w:p>
    <w:p w14:paraId="3D008515" w14:textId="77777777" w:rsidR="009F2182" w:rsidRPr="005F4143"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5F4143" w14:paraId="1873BE01" w14:textId="77777777" w:rsidTr="3F671A63">
        <w:trPr>
          <w:cantSplit/>
          <w:trHeight w:val="7088"/>
        </w:trPr>
        <w:tc>
          <w:tcPr>
            <w:tcW w:w="9288" w:type="dxa"/>
          </w:tcPr>
          <w:p w14:paraId="57920918" w14:textId="65F1FB20" w:rsidR="009F2182" w:rsidRPr="005F4143" w:rsidRDefault="009F2182" w:rsidP="00B71380">
            <w:pPr>
              <w:pStyle w:val="Bullet1"/>
              <w:numPr>
                <w:ilvl w:val="0"/>
                <w:numId w:val="0"/>
              </w:numPr>
              <w:rPr>
                <w:color w:val="87189D"/>
                <w:sz w:val="24"/>
                <w:szCs w:val="24"/>
              </w:rPr>
            </w:pPr>
          </w:p>
        </w:tc>
      </w:tr>
      <w:tr w:rsidR="009F2182" w:rsidRPr="005F4143" w14:paraId="2CECD7CF" w14:textId="77777777" w:rsidTr="3F671A63">
        <w:trPr>
          <w:cantSplit/>
          <w:trHeight w:val="5103"/>
        </w:trPr>
        <w:tc>
          <w:tcPr>
            <w:tcW w:w="9288" w:type="dxa"/>
            <w:vAlign w:val="bottom"/>
          </w:tcPr>
          <w:p w14:paraId="3AB24FED" w14:textId="77777777" w:rsidR="00DE2FD2" w:rsidRDefault="00DE2FD2" w:rsidP="009F2182">
            <w:pPr>
              <w:pStyle w:val="Imprint"/>
            </w:pPr>
          </w:p>
          <w:p w14:paraId="51CD1C6C" w14:textId="77777777" w:rsidR="00DE2FD2" w:rsidRDefault="00DE2FD2" w:rsidP="009F2182">
            <w:pPr>
              <w:pStyle w:val="Imprint"/>
            </w:pPr>
          </w:p>
          <w:p w14:paraId="52B3E887" w14:textId="77777777" w:rsidR="00DE2FD2" w:rsidRDefault="00DE2FD2" w:rsidP="009F2182">
            <w:pPr>
              <w:pStyle w:val="Imprint"/>
            </w:pPr>
          </w:p>
          <w:p w14:paraId="37FF03EC" w14:textId="77777777" w:rsidR="00DE2FD2" w:rsidRDefault="00DE2FD2" w:rsidP="009F2182">
            <w:pPr>
              <w:pStyle w:val="Imprint"/>
            </w:pPr>
          </w:p>
          <w:p w14:paraId="6A21FBCA" w14:textId="77777777" w:rsidR="00DE2FD2" w:rsidRDefault="00DE2FD2" w:rsidP="009F2182">
            <w:pPr>
              <w:pStyle w:val="Imprint"/>
            </w:pPr>
          </w:p>
          <w:p w14:paraId="418CD1C0" w14:textId="27AE7096" w:rsidR="009F2182" w:rsidRPr="005F4143" w:rsidRDefault="009F2182" w:rsidP="009F2182">
            <w:pPr>
              <w:pStyle w:val="Imprint"/>
            </w:pPr>
            <w:r w:rsidRPr="005F4143">
              <w:t>Authorised and published by the Victorian Government, 1 Treasury Place, Melbourne.</w:t>
            </w:r>
          </w:p>
          <w:p w14:paraId="52577AD5" w14:textId="417A25B9" w:rsidR="009F2182" w:rsidRPr="005F4143" w:rsidRDefault="009F2182" w:rsidP="009F2182">
            <w:pPr>
              <w:pStyle w:val="Imprint"/>
            </w:pPr>
            <w:r w:rsidRPr="005F4143">
              <w:t xml:space="preserve">© State of Victoria, Australia, Department of </w:t>
            </w:r>
            <w:r w:rsidR="00D76ECC" w:rsidRPr="005F4143">
              <w:t>Health</w:t>
            </w:r>
            <w:r w:rsidRPr="005F4143">
              <w:t xml:space="preserve">, </w:t>
            </w:r>
            <w:r w:rsidR="4B27D2B4" w:rsidRPr="005F4143">
              <w:rPr>
                <w:color w:val="004C97"/>
              </w:rPr>
              <w:t xml:space="preserve">June </w:t>
            </w:r>
            <w:r w:rsidR="00D41B57" w:rsidRPr="005F4143">
              <w:rPr>
                <w:color w:val="004C97"/>
              </w:rPr>
              <w:t>2023</w:t>
            </w:r>
            <w:r w:rsidRPr="005F4143">
              <w:t>.</w:t>
            </w:r>
          </w:p>
          <w:p w14:paraId="01100D2F" w14:textId="77777777" w:rsidR="009F2182" w:rsidRPr="005F4143" w:rsidRDefault="009F2182" w:rsidP="009F2182">
            <w:pPr>
              <w:pStyle w:val="Imprint"/>
              <w:rPr>
                <w:color w:val="004C97"/>
              </w:rPr>
            </w:pPr>
            <w:bookmarkStart w:id="0" w:name="_Hlk62746129"/>
            <w:r w:rsidRPr="005F4143">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bookmarkEnd w:id="0"/>
          <w:p w14:paraId="643410EA" w14:textId="78487DDC" w:rsidR="009F2182" w:rsidRPr="005F4143" w:rsidRDefault="009F2182" w:rsidP="3F671A63">
            <w:pPr>
              <w:pStyle w:val="Imprint"/>
              <w:rPr>
                <w:color w:val="004C97"/>
              </w:rPr>
            </w:pPr>
            <w:r w:rsidRPr="005F4143">
              <w:rPr>
                <w:color w:val="004C97"/>
              </w:rPr>
              <w:t>In this document, ‘Aboriginal’ refers to both Aboriginal and Torres Strait Islander people. ‘Indigenous’ or ‘Koori/Koorie’ is retained when part of the title of a report, program or quotation.</w:t>
            </w:r>
          </w:p>
          <w:p w14:paraId="112FAEF6" w14:textId="33900EF9" w:rsidR="009F2182" w:rsidRPr="005F4143" w:rsidRDefault="009F2182" w:rsidP="3F671A63">
            <w:pPr>
              <w:pStyle w:val="Imprint"/>
              <w:rPr>
                <w:color w:val="004C97"/>
              </w:rPr>
            </w:pPr>
          </w:p>
          <w:p w14:paraId="4455DC2F" w14:textId="2B2D8AA5" w:rsidR="009F2182" w:rsidRPr="005F4143" w:rsidRDefault="5A18C9DD" w:rsidP="3F671A63">
            <w:pPr>
              <w:pStyle w:val="Imprint"/>
              <w:rPr>
                <w:color w:val="004C97"/>
              </w:rPr>
            </w:pPr>
            <w:r w:rsidRPr="005F4143">
              <w:rPr>
                <w:color w:val="004C97"/>
              </w:rPr>
              <w:t>Endorsed by Sexual and Reproductive Health and Viral Hepatitis Strategy Data Working Group, June 2023</w:t>
            </w:r>
          </w:p>
        </w:tc>
      </w:tr>
    </w:tbl>
    <w:p w14:paraId="124EF2D4" w14:textId="77777777" w:rsidR="0008204A" w:rsidRPr="005F4143" w:rsidRDefault="0008204A" w:rsidP="0008204A">
      <w:pPr>
        <w:pStyle w:val="Body"/>
      </w:pPr>
      <w:r w:rsidRPr="005F4143">
        <w:br w:type="page"/>
      </w:r>
    </w:p>
    <w:p w14:paraId="577BB22C" w14:textId="77777777" w:rsidR="00071E59" w:rsidRPr="005F4143" w:rsidRDefault="00071E59" w:rsidP="00071E59">
      <w:pPr>
        <w:pStyle w:val="TOCheadingreport"/>
      </w:pPr>
      <w:r w:rsidRPr="005F4143">
        <w:lastRenderedPageBreak/>
        <w:t>Contents</w:t>
      </w:r>
    </w:p>
    <w:p w14:paraId="06370B33" w14:textId="4C8346EC" w:rsidR="00406FBE" w:rsidRDefault="00713422">
      <w:pPr>
        <w:pStyle w:val="TOC1"/>
        <w:rPr>
          <w:rFonts w:asciiTheme="minorHAnsi" w:eastAsiaTheme="minorEastAsia" w:hAnsiTheme="minorHAnsi" w:cstheme="minorBidi"/>
          <w:b w:val="0"/>
          <w:kern w:val="2"/>
          <w:sz w:val="24"/>
          <w:szCs w:val="24"/>
          <w:lang w:eastAsia="en-AU"/>
          <w14:ligatures w14:val="standardContextual"/>
        </w:rPr>
      </w:pPr>
      <w:r w:rsidRPr="005F4143">
        <w:rPr>
          <w:b w:val="0"/>
          <w:noProof w:val="0"/>
        </w:rPr>
        <w:fldChar w:fldCharType="begin"/>
      </w:r>
      <w:r w:rsidRPr="005F4143">
        <w:rPr>
          <w:b w:val="0"/>
          <w:noProof w:val="0"/>
        </w:rPr>
        <w:instrText xml:space="preserve"> TOC \o "1-4" \h \z \u </w:instrText>
      </w:r>
      <w:r w:rsidRPr="005F4143">
        <w:rPr>
          <w:b w:val="0"/>
          <w:noProof w:val="0"/>
        </w:rPr>
        <w:fldChar w:fldCharType="separate"/>
      </w:r>
      <w:hyperlink w:anchor="_Toc214457259" w:history="1">
        <w:r w:rsidR="00406FBE" w:rsidRPr="00184046">
          <w:rPr>
            <w:rStyle w:val="Hyperlink"/>
          </w:rPr>
          <w:t>Glossary of terms</w:t>
        </w:r>
        <w:r w:rsidR="00406FBE">
          <w:rPr>
            <w:webHidden/>
          </w:rPr>
          <w:tab/>
        </w:r>
        <w:r w:rsidR="00406FBE">
          <w:rPr>
            <w:webHidden/>
          </w:rPr>
          <w:fldChar w:fldCharType="begin"/>
        </w:r>
        <w:r w:rsidR="00406FBE">
          <w:rPr>
            <w:webHidden/>
          </w:rPr>
          <w:instrText xml:space="preserve"> PAGEREF _Toc214457259 \h </w:instrText>
        </w:r>
        <w:r w:rsidR="00406FBE">
          <w:rPr>
            <w:webHidden/>
          </w:rPr>
        </w:r>
        <w:r w:rsidR="00406FBE">
          <w:rPr>
            <w:webHidden/>
          </w:rPr>
          <w:fldChar w:fldCharType="separate"/>
        </w:r>
        <w:r w:rsidR="00670632">
          <w:rPr>
            <w:webHidden/>
          </w:rPr>
          <w:t>5</w:t>
        </w:r>
        <w:r w:rsidR="00406FBE">
          <w:rPr>
            <w:webHidden/>
          </w:rPr>
          <w:fldChar w:fldCharType="end"/>
        </w:r>
      </w:hyperlink>
    </w:p>
    <w:p w14:paraId="08B56A0A" w14:textId="1D1A26D9" w:rsidR="00406FBE" w:rsidRDefault="00406FBE">
      <w:pPr>
        <w:pStyle w:val="TOC1"/>
        <w:rPr>
          <w:rFonts w:asciiTheme="minorHAnsi" w:eastAsiaTheme="minorEastAsia" w:hAnsiTheme="minorHAnsi" w:cstheme="minorBidi"/>
          <w:b w:val="0"/>
          <w:kern w:val="2"/>
          <w:sz w:val="24"/>
          <w:szCs w:val="24"/>
          <w:lang w:eastAsia="en-AU"/>
          <w14:ligatures w14:val="standardContextual"/>
        </w:rPr>
      </w:pPr>
      <w:hyperlink w:anchor="_Toc214457260" w:history="1">
        <w:r w:rsidRPr="00184046">
          <w:rPr>
            <w:rStyle w:val="Hyperlink"/>
          </w:rPr>
          <w:t>Glossary of data sources</w:t>
        </w:r>
        <w:r>
          <w:rPr>
            <w:webHidden/>
          </w:rPr>
          <w:tab/>
        </w:r>
        <w:r>
          <w:rPr>
            <w:webHidden/>
          </w:rPr>
          <w:fldChar w:fldCharType="begin"/>
        </w:r>
        <w:r>
          <w:rPr>
            <w:webHidden/>
          </w:rPr>
          <w:instrText xml:space="preserve"> PAGEREF _Toc214457260 \h </w:instrText>
        </w:r>
        <w:r>
          <w:rPr>
            <w:webHidden/>
          </w:rPr>
        </w:r>
        <w:r>
          <w:rPr>
            <w:webHidden/>
          </w:rPr>
          <w:fldChar w:fldCharType="separate"/>
        </w:r>
        <w:r w:rsidR="00670632">
          <w:rPr>
            <w:webHidden/>
          </w:rPr>
          <w:t>6</w:t>
        </w:r>
        <w:r>
          <w:rPr>
            <w:webHidden/>
          </w:rPr>
          <w:fldChar w:fldCharType="end"/>
        </w:r>
      </w:hyperlink>
    </w:p>
    <w:p w14:paraId="32B1B230" w14:textId="34713F18" w:rsidR="00406FBE" w:rsidRDefault="00406FBE">
      <w:pPr>
        <w:pStyle w:val="TOC1"/>
        <w:rPr>
          <w:rFonts w:asciiTheme="minorHAnsi" w:eastAsiaTheme="minorEastAsia" w:hAnsiTheme="minorHAnsi" w:cstheme="minorBidi"/>
          <w:b w:val="0"/>
          <w:kern w:val="2"/>
          <w:sz w:val="24"/>
          <w:szCs w:val="24"/>
          <w:lang w:eastAsia="en-AU"/>
          <w14:ligatures w14:val="standardContextual"/>
        </w:rPr>
      </w:pPr>
      <w:hyperlink w:anchor="_Toc214457261" w:history="1">
        <w:r w:rsidRPr="00184046">
          <w:rPr>
            <w:rStyle w:val="Hyperlink"/>
          </w:rPr>
          <w:t>Indicator List</w:t>
        </w:r>
        <w:r>
          <w:rPr>
            <w:webHidden/>
          </w:rPr>
          <w:tab/>
        </w:r>
        <w:r>
          <w:rPr>
            <w:webHidden/>
          </w:rPr>
          <w:fldChar w:fldCharType="begin"/>
        </w:r>
        <w:r>
          <w:rPr>
            <w:webHidden/>
          </w:rPr>
          <w:instrText xml:space="preserve"> PAGEREF _Toc214457261 \h </w:instrText>
        </w:r>
        <w:r>
          <w:rPr>
            <w:webHidden/>
          </w:rPr>
        </w:r>
        <w:r>
          <w:rPr>
            <w:webHidden/>
          </w:rPr>
          <w:fldChar w:fldCharType="separate"/>
        </w:r>
        <w:r w:rsidR="00670632">
          <w:rPr>
            <w:webHidden/>
          </w:rPr>
          <w:t>8</w:t>
        </w:r>
        <w:r>
          <w:rPr>
            <w:webHidden/>
          </w:rPr>
          <w:fldChar w:fldCharType="end"/>
        </w:r>
      </w:hyperlink>
    </w:p>
    <w:p w14:paraId="660DA9E3" w14:textId="287577A5" w:rsidR="00406FBE" w:rsidRDefault="00406FBE">
      <w:pPr>
        <w:pStyle w:val="TOC1"/>
        <w:rPr>
          <w:rFonts w:asciiTheme="minorHAnsi" w:eastAsiaTheme="minorEastAsia" w:hAnsiTheme="minorHAnsi" w:cstheme="minorBidi"/>
          <w:b w:val="0"/>
          <w:kern w:val="2"/>
          <w:sz w:val="24"/>
          <w:szCs w:val="24"/>
          <w:lang w:eastAsia="en-AU"/>
          <w14:ligatures w14:val="standardContextual"/>
        </w:rPr>
      </w:pPr>
      <w:hyperlink w:anchor="_Toc214457262" w:history="1">
        <w:r w:rsidRPr="00184046">
          <w:rPr>
            <w:rStyle w:val="Hyperlink"/>
          </w:rPr>
          <w:t>Background</w:t>
        </w:r>
        <w:r>
          <w:rPr>
            <w:webHidden/>
          </w:rPr>
          <w:tab/>
        </w:r>
        <w:r>
          <w:rPr>
            <w:webHidden/>
          </w:rPr>
          <w:fldChar w:fldCharType="begin"/>
        </w:r>
        <w:r>
          <w:rPr>
            <w:webHidden/>
          </w:rPr>
          <w:instrText xml:space="preserve"> PAGEREF _Toc214457262 \h </w:instrText>
        </w:r>
        <w:r>
          <w:rPr>
            <w:webHidden/>
          </w:rPr>
        </w:r>
        <w:r>
          <w:rPr>
            <w:webHidden/>
          </w:rPr>
          <w:fldChar w:fldCharType="separate"/>
        </w:r>
        <w:r w:rsidR="00670632">
          <w:rPr>
            <w:webHidden/>
          </w:rPr>
          <w:t>9</w:t>
        </w:r>
        <w:r>
          <w:rPr>
            <w:webHidden/>
          </w:rPr>
          <w:fldChar w:fldCharType="end"/>
        </w:r>
      </w:hyperlink>
    </w:p>
    <w:p w14:paraId="353B4A20" w14:textId="4C99DB4D" w:rsidR="00406FBE" w:rsidRDefault="00406FBE">
      <w:pPr>
        <w:pStyle w:val="TOC2"/>
        <w:rPr>
          <w:rFonts w:asciiTheme="minorHAnsi" w:eastAsiaTheme="minorEastAsia" w:hAnsiTheme="minorHAnsi" w:cstheme="minorBidi"/>
          <w:kern w:val="2"/>
          <w:sz w:val="24"/>
          <w:szCs w:val="24"/>
          <w:lang w:eastAsia="en-AU"/>
          <w14:ligatures w14:val="standardContextual"/>
        </w:rPr>
      </w:pPr>
      <w:hyperlink w:anchor="_Toc214457263" w:history="1">
        <w:r w:rsidRPr="00184046">
          <w:rPr>
            <w:rStyle w:val="Hyperlink"/>
          </w:rPr>
          <w:t>Hepatitis B, hepatitis C, HIV and STI plans</w:t>
        </w:r>
        <w:r>
          <w:rPr>
            <w:webHidden/>
          </w:rPr>
          <w:tab/>
        </w:r>
        <w:r>
          <w:rPr>
            <w:webHidden/>
          </w:rPr>
          <w:fldChar w:fldCharType="begin"/>
        </w:r>
        <w:r>
          <w:rPr>
            <w:webHidden/>
          </w:rPr>
          <w:instrText xml:space="preserve"> PAGEREF _Toc214457263 \h </w:instrText>
        </w:r>
        <w:r>
          <w:rPr>
            <w:webHidden/>
          </w:rPr>
        </w:r>
        <w:r>
          <w:rPr>
            <w:webHidden/>
          </w:rPr>
          <w:fldChar w:fldCharType="separate"/>
        </w:r>
        <w:r w:rsidR="00670632">
          <w:rPr>
            <w:webHidden/>
          </w:rPr>
          <w:t>9</w:t>
        </w:r>
        <w:r>
          <w:rPr>
            <w:webHidden/>
          </w:rPr>
          <w:fldChar w:fldCharType="end"/>
        </w:r>
      </w:hyperlink>
    </w:p>
    <w:p w14:paraId="3E976D3D" w14:textId="320DA90C" w:rsidR="00406FBE" w:rsidRDefault="00406FBE">
      <w:pPr>
        <w:pStyle w:val="TOC2"/>
        <w:rPr>
          <w:rFonts w:asciiTheme="minorHAnsi" w:eastAsiaTheme="minorEastAsia" w:hAnsiTheme="minorHAnsi" w:cstheme="minorBidi"/>
          <w:kern w:val="2"/>
          <w:sz w:val="24"/>
          <w:szCs w:val="24"/>
          <w:lang w:eastAsia="en-AU"/>
          <w14:ligatures w14:val="standardContextual"/>
        </w:rPr>
      </w:pPr>
      <w:hyperlink w:anchor="_Toc214457264" w:history="1">
        <w:r w:rsidRPr="00184046">
          <w:rPr>
            <w:rStyle w:val="Hyperlink"/>
          </w:rPr>
          <w:t>Data sources and disaggregation</w:t>
        </w:r>
        <w:r>
          <w:rPr>
            <w:webHidden/>
          </w:rPr>
          <w:tab/>
        </w:r>
        <w:r>
          <w:rPr>
            <w:webHidden/>
          </w:rPr>
          <w:fldChar w:fldCharType="begin"/>
        </w:r>
        <w:r>
          <w:rPr>
            <w:webHidden/>
          </w:rPr>
          <w:instrText xml:space="preserve"> PAGEREF _Toc214457264 \h </w:instrText>
        </w:r>
        <w:r>
          <w:rPr>
            <w:webHidden/>
          </w:rPr>
        </w:r>
        <w:r>
          <w:rPr>
            <w:webHidden/>
          </w:rPr>
          <w:fldChar w:fldCharType="separate"/>
        </w:r>
        <w:r w:rsidR="00670632">
          <w:rPr>
            <w:webHidden/>
          </w:rPr>
          <w:t>9</w:t>
        </w:r>
        <w:r>
          <w:rPr>
            <w:webHidden/>
          </w:rPr>
          <w:fldChar w:fldCharType="end"/>
        </w:r>
      </w:hyperlink>
    </w:p>
    <w:p w14:paraId="52469F2A" w14:textId="129E16D4" w:rsidR="00406FBE" w:rsidRDefault="00406FBE">
      <w:pPr>
        <w:pStyle w:val="TOC2"/>
        <w:rPr>
          <w:rFonts w:asciiTheme="minorHAnsi" w:eastAsiaTheme="minorEastAsia" w:hAnsiTheme="minorHAnsi" w:cstheme="minorBidi"/>
          <w:kern w:val="2"/>
          <w:sz w:val="24"/>
          <w:szCs w:val="24"/>
          <w:lang w:eastAsia="en-AU"/>
          <w14:ligatures w14:val="standardContextual"/>
        </w:rPr>
      </w:pPr>
      <w:hyperlink w:anchor="_Toc214457265" w:history="1">
        <w:r w:rsidRPr="00184046">
          <w:rPr>
            <w:rStyle w:val="Hyperlink"/>
          </w:rPr>
          <w:t>Strengthen and support data and research</w:t>
        </w:r>
        <w:r>
          <w:rPr>
            <w:webHidden/>
          </w:rPr>
          <w:tab/>
        </w:r>
        <w:r>
          <w:rPr>
            <w:webHidden/>
          </w:rPr>
          <w:fldChar w:fldCharType="begin"/>
        </w:r>
        <w:r>
          <w:rPr>
            <w:webHidden/>
          </w:rPr>
          <w:instrText xml:space="preserve"> PAGEREF _Toc214457265 \h </w:instrText>
        </w:r>
        <w:r>
          <w:rPr>
            <w:webHidden/>
          </w:rPr>
        </w:r>
        <w:r>
          <w:rPr>
            <w:webHidden/>
          </w:rPr>
          <w:fldChar w:fldCharType="separate"/>
        </w:r>
        <w:r w:rsidR="00670632">
          <w:rPr>
            <w:webHidden/>
          </w:rPr>
          <w:t>10</w:t>
        </w:r>
        <w:r>
          <w:rPr>
            <w:webHidden/>
          </w:rPr>
          <w:fldChar w:fldCharType="end"/>
        </w:r>
      </w:hyperlink>
    </w:p>
    <w:p w14:paraId="7A54FE92" w14:textId="51FBD6E0" w:rsidR="00406FBE" w:rsidRDefault="00406FBE">
      <w:pPr>
        <w:pStyle w:val="TOC1"/>
        <w:rPr>
          <w:rFonts w:asciiTheme="minorHAnsi" w:eastAsiaTheme="minorEastAsia" w:hAnsiTheme="minorHAnsi" w:cstheme="minorBidi"/>
          <w:b w:val="0"/>
          <w:kern w:val="2"/>
          <w:sz w:val="24"/>
          <w:szCs w:val="24"/>
          <w:lang w:eastAsia="en-AU"/>
          <w14:ligatures w14:val="standardContextual"/>
        </w:rPr>
      </w:pPr>
      <w:hyperlink w:anchor="_Toc214457266" w:history="1">
        <w:r w:rsidRPr="00184046">
          <w:rPr>
            <w:rStyle w:val="Hyperlink"/>
          </w:rPr>
          <w:t>Hepatitis B plan 2022–30</w:t>
        </w:r>
        <w:r>
          <w:rPr>
            <w:webHidden/>
          </w:rPr>
          <w:tab/>
        </w:r>
        <w:r>
          <w:rPr>
            <w:webHidden/>
          </w:rPr>
          <w:fldChar w:fldCharType="begin"/>
        </w:r>
        <w:r>
          <w:rPr>
            <w:webHidden/>
          </w:rPr>
          <w:instrText xml:space="preserve"> PAGEREF _Toc214457266 \h </w:instrText>
        </w:r>
        <w:r>
          <w:rPr>
            <w:webHidden/>
          </w:rPr>
        </w:r>
        <w:r>
          <w:rPr>
            <w:webHidden/>
          </w:rPr>
          <w:fldChar w:fldCharType="separate"/>
        </w:r>
        <w:r w:rsidR="00670632">
          <w:rPr>
            <w:webHidden/>
          </w:rPr>
          <w:t>11</w:t>
        </w:r>
        <w:r>
          <w:rPr>
            <w:webHidden/>
          </w:rPr>
          <w:fldChar w:fldCharType="end"/>
        </w:r>
      </w:hyperlink>
    </w:p>
    <w:p w14:paraId="29B731F5" w14:textId="576CD38B" w:rsidR="00406FBE" w:rsidRDefault="00406FBE">
      <w:pPr>
        <w:pStyle w:val="TOC2"/>
        <w:rPr>
          <w:rFonts w:asciiTheme="minorHAnsi" w:eastAsiaTheme="minorEastAsia" w:hAnsiTheme="minorHAnsi" w:cstheme="minorBidi"/>
          <w:kern w:val="2"/>
          <w:sz w:val="24"/>
          <w:szCs w:val="24"/>
          <w:lang w:eastAsia="en-AU"/>
          <w14:ligatures w14:val="standardContextual"/>
        </w:rPr>
      </w:pPr>
      <w:hyperlink w:anchor="_Toc214457267" w:history="1">
        <w:r w:rsidRPr="00184046">
          <w:rPr>
            <w:rStyle w:val="Hyperlink"/>
          </w:rPr>
          <w:t>Goals, targets and priority populations</w:t>
        </w:r>
        <w:r>
          <w:rPr>
            <w:webHidden/>
          </w:rPr>
          <w:tab/>
        </w:r>
        <w:r>
          <w:rPr>
            <w:webHidden/>
          </w:rPr>
          <w:fldChar w:fldCharType="begin"/>
        </w:r>
        <w:r>
          <w:rPr>
            <w:webHidden/>
          </w:rPr>
          <w:instrText xml:space="preserve"> PAGEREF _Toc214457267 \h </w:instrText>
        </w:r>
        <w:r>
          <w:rPr>
            <w:webHidden/>
          </w:rPr>
        </w:r>
        <w:r>
          <w:rPr>
            <w:webHidden/>
          </w:rPr>
          <w:fldChar w:fldCharType="separate"/>
        </w:r>
        <w:r w:rsidR="00670632">
          <w:rPr>
            <w:webHidden/>
          </w:rPr>
          <w:t>11</w:t>
        </w:r>
        <w:r>
          <w:rPr>
            <w:webHidden/>
          </w:rPr>
          <w:fldChar w:fldCharType="end"/>
        </w:r>
      </w:hyperlink>
    </w:p>
    <w:p w14:paraId="740454D9" w14:textId="62313595" w:rsidR="00406FBE" w:rsidRDefault="00406FBE">
      <w:pPr>
        <w:pStyle w:val="TOC3"/>
        <w:rPr>
          <w:rFonts w:asciiTheme="minorHAnsi" w:eastAsiaTheme="minorEastAsia" w:hAnsiTheme="minorHAnsi" w:cstheme="minorBidi"/>
          <w:noProof/>
          <w:kern w:val="2"/>
          <w:sz w:val="24"/>
          <w:szCs w:val="24"/>
          <w:lang w:eastAsia="en-AU"/>
          <w14:ligatures w14:val="standardContextual"/>
        </w:rPr>
      </w:pPr>
      <w:hyperlink w:anchor="_Toc214457268" w:history="1">
        <w:r w:rsidRPr="00184046">
          <w:rPr>
            <w:rStyle w:val="Hyperlink"/>
            <w:noProof/>
          </w:rPr>
          <w:t>Focus Area 1: Prevent</w:t>
        </w:r>
        <w:r>
          <w:rPr>
            <w:noProof/>
            <w:webHidden/>
          </w:rPr>
          <w:tab/>
        </w:r>
        <w:r>
          <w:rPr>
            <w:noProof/>
            <w:webHidden/>
          </w:rPr>
          <w:fldChar w:fldCharType="begin"/>
        </w:r>
        <w:r>
          <w:rPr>
            <w:noProof/>
            <w:webHidden/>
          </w:rPr>
          <w:instrText xml:space="preserve"> PAGEREF _Toc214457268 \h </w:instrText>
        </w:r>
        <w:r>
          <w:rPr>
            <w:noProof/>
            <w:webHidden/>
          </w:rPr>
        </w:r>
        <w:r>
          <w:rPr>
            <w:noProof/>
            <w:webHidden/>
          </w:rPr>
          <w:fldChar w:fldCharType="separate"/>
        </w:r>
        <w:r w:rsidR="00670632">
          <w:rPr>
            <w:noProof/>
            <w:webHidden/>
          </w:rPr>
          <w:t>12</w:t>
        </w:r>
        <w:r>
          <w:rPr>
            <w:noProof/>
            <w:webHidden/>
          </w:rPr>
          <w:fldChar w:fldCharType="end"/>
        </w:r>
      </w:hyperlink>
    </w:p>
    <w:p w14:paraId="653808A8" w14:textId="282E68F9" w:rsidR="00406FBE" w:rsidRDefault="00406FBE">
      <w:pPr>
        <w:pStyle w:val="TOC4"/>
        <w:rPr>
          <w:rFonts w:asciiTheme="minorHAnsi" w:eastAsiaTheme="minorEastAsia" w:hAnsiTheme="minorHAnsi" w:cstheme="minorBidi"/>
          <w:noProof/>
          <w:kern w:val="2"/>
          <w:sz w:val="24"/>
          <w:szCs w:val="24"/>
          <w:lang w:eastAsia="en-AU"/>
          <w14:ligatures w14:val="standardContextual"/>
        </w:rPr>
      </w:pPr>
      <w:hyperlink w:anchor="_Toc214457269" w:history="1">
        <w:r w:rsidRPr="00184046">
          <w:rPr>
            <w:rStyle w:val="Hyperlink"/>
            <w:noProof/>
          </w:rPr>
          <w:t>Group 1: Reduction in newly acquired cases of hepatitis B</w:t>
        </w:r>
        <w:r>
          <w:rPr>
            <w:noProof/>
            <w:webHidden/>
          </w:rPr>
          <w:tab/>
        </w:r>
        <w:r>
          <w:rPr>
            <w:noProof/>
            <w:webHidden/>
          </w:rPr>
          <w:fldChar w:fldCharType="begin"/>
        </w:r>
        <w:r>
          <w:rPr>
            <w:noProof/>
            <w:webHidden/>
          </w:rPr>
          <w:instrText xml:space="preserve"> PAGEREF _Toc214457269 \h </w:instrText>
        </w:r>
        <w:r>
          <w:rPr>
            <w:noProof/>
            <w:webHidden/>
          </w:rPr>
        </w:r>
        <w:r>
          <w:rPr>
            <w:noProof/>
            <w:webHidden/>
          </w:rPr>
          <w:fldChar w:fldCharType="separate"/>
        </w:r>
        <w:r w:rsidR="00670632">
          <w:rPr>
            <w:noProof/>
            <w:webHidden/>
          </w:rPr>
          <w:t>12</w:t>
        </w:r>
        <w:r>
          <w:rPr>
            <w:noProof/>
            <w:webHidden/>
          </w:rPr>
          <w:fldChar w:fldCharType="end"/>
        </w:r>
      </w:hyperlink>
    </w:p>
    <w:p w14:paraId="31B110BD" w14:textId="53F3743B" w:rsidR="00406FBE" w:rsidRDefault="00406FBE">
      <w:pPr>
        <w:pStyle w:val="TOC1"/>
        <w:rPr>
          <w:rFonts w:asciiTheme="minorHAnsi" w:eastAsiaTheme="minorEastAsia" w:hAnsiTheme="minorHAnsi" w:cstheme="minorBidi"/>
          <w:b w:val="0"/>
          <w:kern w:val="2"/>
          <w:sz w:val="24"/>
          <w:szCs w:val="24"/>
          <w:lang w:eastAsia="en-AU"/>
          <w14:ligatures w14:val="standardContextual"/>
        </w:rPr>
      </w:pPr>
      <w:hyperlink w:anchor="_Toc214457270" w:history="1">
        <w:r w:rsidRPr="00184046">
          <w:rPr>
            <w:rStyle w:val="Hyperlink"/>
          </w:rPr>
          <w:t>Hepatitis C plan 2022-30</w:t>
        </w:r>
        <w:r>
          <w:rPr>
            <w:webHidden/>
          </w:rPr>
          <w:tab/>
        </w:r>
        <w:r>
          <w:rPr>
            <w:webHidden/>
          </w:rPr>
          <w:fldChar w:fldCharType="begin"/>
        </w:r>
        <w:r>
          <w:rPr>
            <w:webHidden/>
          </w:rPr>
          <w:instrText xml:space="preserve"> PAGEREF _Toc214457270 \h </w:instrText>
        </w:r>
        <w:r>
          <w:rPr>
            <w:webHidden/>
          </w:rPr>
        </w:r>
        <w:r>
          <w:rPr>
            <w:webHidden/>
          </w:rPr>
          <w:fldChar w:fldCharType="separate"/>
        </w:r>
        <w:r w:rsidR="00670632">
          <w:rPr>
            <w:webHidden/>
          </w:rPr>
          <w:t>14</w:t>
        </w:r>
        <w:r>
          <w:rPr>
            <w:webHidden/>
          </w:rPr>
          <w:fldChar w:fldCharType="end"/>
        </w:r>
      </w:hyperlink>
    </w:p>
    <w:p w14:paraId="70DBF83A" w14:textId="5F47963C" w:rsidR="00406FBE" w:rsidRDefault="00406FBE">
      <w:pPr>
        <w:pStyle w:val="TOC2"/>
        <w:rPr>
          <w:rFonts w:asciiTheme="minorHAnsi" w:eastAsiaTheme="minorEastAsia" w:hAnsiTheme="minorHAnsi" w:cstheme="minorBidi"/>
          <w:kern w:val="2"/>
          <w:sz w:val="24"/>
          <w:szCs w:val="24"/>
          <w:lang w:eastAsia="en-AU"/>
          <w14:ligatures w14:val="standardContextual"/>
        </w:rPr>
      </w:pPr>
      <w:hyperlink w:anchor="_Toc214457271" w:history="1">
        <w:r w:rsidRPr="00184046">
          <w:rPr>
            <w:rStyle w:val="Hyperlink"/>
          </w:rPr>
          <w:t>Goals, targets and priority populations</w:t>
        </w:r>
        <w:r>
          <w:rPr>
            <w:webHidden/>
          </w:rPr>
          <w:tab/>
        </w:r>
        <w:r>
          <w:rPr>
            <w:webHidden/>
          </w:rPr>
          <w:fldChar w:fldCharType="begin"/>
        </w:r>
        <w:r>
          <w:rPr>
            <w:webHidden/>
          </w:rPr>
          <w:instrText xml:space="preserve"> PAGEREF _Toc214457271 \h </w:instrText>
        </w:r>
        <w:r>
          <w:rPr>
            <w:webHidden/>
          </w:rPr>
        </w:r>
        <w:r>
          <w:rPr>
            <w:webHidden/>
          </w:rPr>
          <w:fldChar w:fldCharType="separate"/>
        </w:r>
        <w:r w:rsidR="00670632">
          <w:rPr>
            <w:webHidden/>
          </w:rPr>
          <w:t>14</w:t>
        </w:r>
        <w:r>
          <w:rPr>
            <w:webHidden/>
          </w:rPr>
          <w:fldChar w:fldCharType="end"/>
        </w:r>
      </w:hyperlink>
    </w:p>
    <w:p w14:paraId="41CEB38B" w14:textId="45D6BE85" w:rsidR="00406FBE" w:rsidRDefault="00406FBE">
      <w:pPr>
        <w:pStyle w:val="TOC3"/>
        <w:rPr>
          <w:rFonts w:asciiTheme="minorHAnsi" w:eastAsiaTheme="minorEastAsia" w:hAnsiTheme="minorHAnsi" w:cstheme="minorBidi"/>
          <w:noProof/>
          <w:kern w:val="2"/>
          <w:sz w:val="24"/>
          <w:szCs w:val="24"/>
          <w:lang w:eastAsia="en-AU"/>
          <w14:ligatures w14:val="standardContextual"/>
        </w:rPr>
      </w:pPr>
      <w:hyperlink w:anchor="_Toc214457272" w:history="1">
        <w:r w:rsidRPr="00184046">
          <w:rPr>
            <w:rStyle w:val="Hyperlink"/>
            <w:noProof/>
          </w:rPr>
          <w:t>Focus Area 1: Prevent</w:t>
        </w:r>
        <w:r>
          <w:rPr>
            <w:noProof/>
            <w:webHidden/>
          </w:rPr>
          <w:tab/>
        </w:r>
        <w:r>
          <w:rPr>
            <w:noProof/>
            <w:webHidden/>
          </w:rPr>
          <w:fldChar w:fldCharType="begin"/>
        </w:r>
        <w:r>
          <w:rPr>
            <w:noProof/>
            <w:webHidden/>
          </w:rPr>
          <w:instrText xml:space="preserve"> PAGEREF _Toc214457272 \h </w:instrText>
        </w:r>
        <w:r>
          <w:rPr>
            <w:noProof/>
            <w:webHidden/>
          </w:rPr>
        </w:r>
        <w:r>
          <w:rPr>
            <w:noProof/>
            <w:webHidden/>
          </w:rPr>
          <w:fldChar w:fldCharType="separate"/>
        </w:r>
        <w:r w:rsidR="00670632">
          <w:rPr>
            <w:noProof/>
            <w:webHidden/>
          </w:rPr>
          <w:t>14</w:t>
        </w:r>
        <w:r>
          <w:rPr>
            <w:noProof/>
            <w:webHidden/>
          </w:rPr>
          <w:fldChar w:fldCharType="end"/>
        </w:r>
      </w:hyperlink>
    </w:p>
    <w:p w14:paraId="31CAB9AF" w14:textId="771F1418" w:rsidR="00406FBE" w:rsidRDefault="00406FBE">
      <w:pPr>
        <w:pStyle w:val="TOC3"/>
        <w:rPr>
          <w:rFonts w:asciiTheme="minorHAnsi" w:eastAsiaTheme="minorEastAsia" w:hAnsiTheme="minorHAnsi" w:cstheme="minorBidi"/>
          <w:noProof/>
          <w:kern w:val="2"/>
          <w:sz w:val="24"/>
          <w:szCs w:val="24"/>
          <w:lang w:eastAsia="en-AU"/>
          <w14:ligatures w14:val="standardContextual"/>
        </w:rPr>
      </w:pPr>
      <w:hyperlink w:anchor="_Toc214457273" w:history="1">
        <w:r w:rsidRPr="00184046">
          <w:rPr>
            <w:rStyle w:val="Hyperlink"/>
            <w:noProof/>
          </w:rPr>
          <w:t>Focus Area 2: Test</w:t>
        </w:r>
        <w:r>
          <w:rPr>
            <w:noProof/>
            <w:webHidden/>
          </w:rPr>
          <w:tab/>
        </w:r>
        <w:r>
          <w:rPr>
            <w:noProof/>
            <w:webHidden/>
          </w:rPr>
          <w:fldChar w:fldCharType="begin"/>
        </w:r>
        <w:r>
          <w:rPr>
            <w:noProof/>
            <w:webHidden/>
          </w:rPr>
          <w:instrText xml:space="preserve"> PAGEREF _Toc214457273 \h </w:instrText>
        </w:r>
        <w:r>
          <w:rPr>
            <w:noProof/>
            <w:webHidden/>
          </w:rPr>
        </w:r>
        <w:r>
          <w:rPr>
            <w:noProof/>
            <w:webHidden/>
          </w:rPr>
          <w:fldChar w:fldCharType="separate"/>
        </w:r>
        <w:r w:rsidR="00670632">
          <w:rPr>
            <w:noProof/>
            <w:webHidden/>
          </w:rPr>
          <w:t>16</w:t>
        </w:r>
        <w:r>
          <w:rPr>
            <w:noProof/>
            <w:webHidden/>
          </w:rPr>
          <w:fldChar w:fldCharType="end"/>
        </w:r>
      </w:hyperlink>
    </w:p>
    <w:p w14:paraId="49422E6A" w14:textId="4BA75ED8" w:rsidR="00406FBE" w:rsidRDefault="00406FBE">
      <w:pPr>
        <w:pStyle w:val="TOC1"/>
        <w:rPr>
          <w:rFonts w:asciiTheme="minorHAnsi" w:eastAsiaTheme="minorEastAsia" w:hAnsiTheme="minorHAnsi" w:cstheme="minorBidi"/>
          <w:b w:val="0"/>
          <w:kern w:val="2"/>
          <w:sz w:val="24"/>
          <w:szCs w:val="24"/>
          <w:lang w:eastAsia="en-AU"/>
          <w14:ligatures w14:val="standardContextual"/>
        </w:rPr>
      </w:pPr>
      <w:hyperlink w:anchor="_Toc214457274" w:history="1">
        <w:r w:rsidRPr="00184046">
          <w:rPr>
            <w:rStyle w:val="Hyperlink"/>
          </w:rPr>
          <w:t>HIV plan 2022-30</w:t>
        </w:r>
        <w:r>
          <w:rPr>
            <w:webHidden/>
          </w:rPr>
          <w:tab/>
        </w:r>
        <w:r>
          <w:rPr>
            <w:webHidden/>
          </w:rPr>
          <w:fldChar w:fldCharType="begin"/>
        </w:r>
        <w:r>
          <w:rPr>
            <w:webHidden/>
          </w:rPr>
          <w:instrText xml:space="preserve"> PAGEREF _Toc214457274 \h </w:instrText>
        </w:r>
        <w:r>
          <w:rPr>
            <w:webHidden/>
          </w:rPr>
        </w:r>
        <w:r>
          <w:rPr>
            <w:webHidden/>
          </w:rPr>
          <w:fldChar w:fldCharType="separate"/>
        </w:r>
        <w:r w:rsidR="00670632">
          <w:rPr>
            <w:webHidden/>
          </w:rPr>
          <w:t>17</w:t>
        </w:r>
        <w:r>
          <w:rPr>
            <w:webHidden/>
          </w:rPr>
          <w:fldChar w:fldCharType="end"/>
        </w:r>
      </w:hyperlink>
    </w:p>
    <w:p w14:paraId="0AFB690F" w14:textId="497110B3" w:rsidR="00406FBE" w:rsidRDefault="00406FBE">
      <w:pPr>
        <w:pStyle w:val="TOC2"/>
        <w:rPr>
          <w:rFonts w:asciiTheme="minorHAnsi" w:eastAsiaTheme="minorEastAsia" w:hAnsiTheme="minorHAnsi" w:cstheme="minorBidi"/>
          <w:kern w:val="2"/>
          <w:sz w:val="24"/>
          <w:szCs w:val="24"/>
          <w:lang w:eastAsia="en-AU"/>
          <w14:ligatures w14:val="standardContextual"/>
        </w:rPr>
      </w:pPr>
      <w:hyperlink w:anchor="_Toc214457275" w:history="1">
        <w:r w:rsidRPr="00184046">
          <w:rPr>
            <w:rStyle w:val="Hyperlink"/>
          </w:rPr>
          <w:t>Goals, targets and priority populations</w:t>
        </w:r>
        <w:r>
          <w:rPr>
            <w:webHidden/>
          </w:rPr>
          <w:tab/>
        </w:r>
        <w:r>
          <w:rPr>
            <w:webHidden/>
          </w:rPr>
          <w:fldChar w:fldCharType="begin"/>
        </w:r>
        <w:r>
          <w:rPr>
            <w:webHidden/>
          </w:rPr>
          <w:instrText xml:space="preserve"> PAGEREF _Toc214457275 \h </w:instrText>
        </w:r>
        <w:r>
          <w:rPr>
            <w:webHidden/>
          </w:rPr>
        </w:r>
        <w:r>
          <w:rPr>
            <w:webHidden/>
          </w:rPr>
          <w:fldChar w:fldCharType="separate"/>
        </w:r>
        <w:r w:rsidR="00670632">
          <w:rPr>
            <w:webHidden/>
          </w:rPr>
          <w:t>17</w:t>
        </w:r>
        <w:r>
          <w:rPr>
            <w:webHidden/>
          </w:rPr>
          <w:fldChar w:fldCharType="end"/>
        </w:r>
      </w:hyperlink>
    </w:p>
    <w:p w14:paraId="69FA220A" w14:textId="6E42277E" w:rsidR="00406FBE" w:rsidRDefault="00406FBE">
      <w:pPr>
        <w:pStyle w:val="TOC3"/>
        <w:rPr>
          <w:rFonts w:asciiTheme="minorHAnsi" w:eastAsiaTheme="minorEastAsia" w:hAnsiTheme="minorHAnsi" w:cstheme="minorBidi"/>
          <w:noProof/>
          <w:kern w:val="2"/>
          <w:sz w:val="24"/>
          <w:szCs w:val="24"/>
          <w:lang w:eastAsia="en-AU"/>
          <w14:ligatures w14:val="standardContextual"/>
        </w:rPr>
      </w:pPr>
      <w:hyperlink w:anchor="_Toc214457276" w:history="1">
        <w:r w:rsidRPr="00184046">
          <w:rPr>
            <w:rStyle w:val="Hyperlink"/>
            <w:noProof/>
          </w:rPr>
          <w:t>Focus Area 1: Prevent</w:t>
        </w:r>
        <w:r>
          <w:rPr>
            <w:noProof/>
            <w:webHidden/>
          </w:rPr>
          <w:tab/>
        </w:r>
        <w:r>
          <w:rPr>
            <w:noProof/>
            <w:webHidden/>
          </w:rPr>
          <w:fldChar w:fldCharType="begin"/>
        </w:r>
        <w:r>
          <w:rPr>
            <w:noProof/>
            <w:webHidden/>
          </w:rPr>
          <w:instrText xml:space="preserve"> PAGEREF _Toc214457276 \h </w:instrText>
        </w:r>
        <w:r>
          <w:rPr>
            <w:noProof/>
            <w:webHidden/>
          </w:rPr>
        </w:r>
        <w:r>
          <w:rPr>
            <w:noProof/>
            <w:webHidden/>
          </w:rPr>
          <w:fldChar w:fldCharType="separate"/>
        </w:r>
        <w:r w:rsidR="00670632">
          <w:rPr>
            <w:noProof/>
            <w:webHidden/>
          </w:rPr>
          <w:t>18</w:t>
        </w:r>
        <w:r>
          <w:rPr>
            <w:noProof/>
            <w:webHidden/>
          </w:rPr>
          <w:fldChar w:fldCharType="end"/>
        </w:r>
      </w:hyperlink>
    </w:p>
    <w:p w14:paraId="3BF8BF50" w14:textId="2ECC93E7" w:rsidR="00406FBE" w:rsidRDefault="00406FBE">
      <w:pPr>
        <w:pStyle w:val="TOC3"/>
        <w:rPr>
          <w:rFonts w:asciiTheme="minorHAnsi" w:eastAsiaTheme="minorEastAsia" w:hAnsiTheme="minorHAnsi" w:cstheme="minorBidi"/>
          <w:noProof/>
          <w:kern w:val="2"/>
          <w:sz w:val="24"/>
          <w:szCs w:val="24"/>
          <w:lang w:eastAsia="en-AU"/>
          <w14:ligatures w14:val="standardContextual"/>
        </w:rPr>
      </w:pPr>
      <w:hyperlink w:anchor="_Toc214457277" w:history="1">
        <w:r w:rsidRPr="00184046">
          <w:rPr>
            <w:rStyle w:val="Hyperlink"/>
            <w:noProof/>
          </w:rPr>
          <w:t>Focus Area 2: Test</w:t>
        </w:r>
        <w:r>
          <w:rPr>
            <w:noProof/>
            <w:webHidden/>
          </w:rPr>
          <w:tab/>
        </w:r>
        <w:r>
          <w:rPr>
            <w:noProof/>
            <w:webHidden/>
          </w:rPr>
          <w:fldChar w:fldCharType="begin"/>
        </w:r>
        <w:r>
          <w:rPr>
            <w:noProof/>
            <w:webHidden/>
          </w:rPr>
          <w:instrText xml:space="preserve"> PAGEREF _Toc214457277 \h </w:instrText>
        </w:r>
        <w:r>
          <w:rPr>
            <w:noProof/>
            <w:webHidden/>
          </w:rPr>
        </w:r>
        <w:r>
          <w:rPr>
            <w:noProof/>
            <w:webHidden/>
          </w:rPr>
          <w:fldChar w:fldCharType="separate"/>
        </w:r>
        <w:r w:rsidR="00670632">
          <w:rPr>
            <w:noProof/>
            <w:webHidden/>
          </w:rPr>
          <w:t>20</w:t>
        </w:r>
        <w:r>
          <w:rPr>
            <w:noProof/>
            <w:webHidden/>
          </w:rPr>
          <w:fldChar w:fldCharType="end"/>
        </w:r>
      </w:hyperlink>
    </w:p>
    <w:p w14:paraId="50D02632" w14:textId="78476C07" w:rsidR="00406FBE" w:rsidRDefault="00406FBE">
      <w:pPr>
        <w:pStyle w:val="TOC3"/>
        <w:rPr>
          <w:rFonts w:asciiTheme="minorHAnsi" w:eastAsiaTheme="minorEastAsia" w:hAnsiTheme="minorHAnsi" w:cstheme="minorBidi"/>
          <w:noProof/>
          <w:kern w:val="2"/>
          <w:sz w:val="24"/>
          <w:szCs w:val="24"/>
          <w:lang w:eastAsia="en-AU"/>
          <w14:ligatures w14:val="standardContextual"/>
        </w:rPr>
      </w:pPr>
      <w:hyperlink w:anchor="_Toc214457278" w:history="1">
        <w:r w:rsidRPr="00184046">
          <w:rPr>
            <w:rStyle w:val="Hyperlink"/>
            <w:noProof/>
          </w:rPr>
          <w:t>Focus Area 3: Treat and care</w:t>
        </w:r>
        <w:r>
          <w:rPr>
            <w:noProof/>
            <w:webHidden/>
          </w:rPr>
          <w:tab/>
        </w:r>
        <w:r>
          <w:rPr>
            <w:noProof/>
            <w:webHidden/>
          </w:rPr>
          <w:fldChar w:fldCharType="begin"/>
        </w:r>
        <w:r>
          <w:rPr>
            <w:noProof/>
            <w:webHidden/>
          </w:rPr>
          <w:instrText xml:space="preserve"> PAGEREF _Toc214457278 \h </w:instrText>
        </w:r>
        <w:r>
          <w:rPr>
            <w:noProof/>
            <w:webHidden/>
          </w:rPr>
        </w:r>
        <w:r>
          <w:rPr>
            <w:noProof/>
            <w:webHidden/>
          </w:rPr>
          <w:fldChar w:fldCharType="separate"/>
        </w:r>
        <w:r w:rsidR="00670632">
          <w:rPr>
            <w:noProof/>
            <w:webHidden/>
          </w:rPr>
          <w:t>22</w:t>
        </w:r>
        <w:r>
          <w:rPr>
            <w:noProof/>
            <w:webHidden/>
          </w:rPr>
          <w:fldChar w:fldCharType="end"/>
        </w:r>
      </w:hyperlink>
    </w:p>
    <w:p w14:paraId="5C56269A" w14:textId="449F1057" w:rsidR="00406FBE" w:rsidRDefault="00406FBE">
      <w:pPr>
        <w:pStyle w:val="TOC4"/>
        <w:rPr>
          <w:rFonts w:asciiTheme="minorHAnsi" w:eastAsiaTheme="minorEastAsia" w:hAnsiTheme="minorHAnsi" w:cstheme="minorBidi"/>
          <w:noProof/>
          <w:kern w:val="2"/>
          <w:sz w:val="24"/>
          <w:szCs w:val="24"/>
          <w:lang w:eastAsia="en-AU"/>
          <w14:ligatures w14:val="standardContextual"/>
        </w:rPr>
      </w:pPr>
      <w:hyperlink w:anchor="_Toc214457279" w:history="1">
        <w:r w:rsidRPr="00184046">
          <w:rPr>
            <w:rStyle w:val="Hyperlink"/>
            <w:noProof/>
          </w:rPr>
          <w:t>Group 1: Increase access and uptake of appropriate treatment</w:t>
        </w:r>
        <w:r>
          <w:rPr>
            <w:noProof/>
            <w:webHidden/>
          </w:rPr>
          <w:tab/>
        </w:r>
        <w:r>
          <w:rPr>
            <w:noProof/>
            <w:webHidden/>
          </w:rPr>
          <w:fldChar w:fldCharType="begin"/>
        </w:r>
        <w:r>
          <w:rPr>
            <w:noProof/>
            <w:webHidden/>
          </w:rPr>
          <w:instrText xml:space="preserve"> PAGEREF _Toc214457279 \h </w:instrText>
        </w:r>
        <w:r>
          <w:rPr>
            <w:noProof/>
            <w:webHidden/>
          </w:rPr>
        </w:r>
        <w:r>
          <w:rPr>
            <w:noProof/>
            <w:webHidden/>
          </w:rPr>
          <w:fldChar w:fldCharType="separate"/>
        </w:r>
        <w:r w:rsidR="00670632">
          <w:rPr>
            <w:noProof/>
            <w:webHidden/>
          </w:rPr>
          <w:t>22</w:t>
        </w:r>
        <w:r>
          <w:rPr>
            <w:noProof/>
            <w:webHidden/>
          </w:rPr>
          <w:fldChar w:fldCharType="end"/>
        </w:r>
      </w:hyperlink>
    </w:p>
    <w:p w14:paraId="7013C4FF" w14:textId="0A249703" w:rsidR="00406FBE" w:rsidRDefault="00406FBE">
      <w:pPr>
        <w:pStyle w:val="TOC4"/>
        <w:rPr>
          <w:rFonts w:asciiTheme="minorHAnsi" w:eastAsiaTheme="minorEastAsia" w:hAnsiTheme="minorHAnsi" w:cstheme="minorBidi"/>
          <w:noProof/>
          <w:kern w:val="2"/>
          <w:sz w:val="24"/>
          <w:szCs w:val="24"/>
          <w:lang w:eastAsia="en-AU"/>
          <w14:ligatures w14:val="standardContextual"/>
        </w:rPr>
      </w:pPr>
      <w:hyperlink w:anchor="_Toc214457280" w:history="1">
        <w:r w:rsidRPr="00184046">
          <w:rPr>
            <w:rStyle w:val="Hyperlink"/>
            <w:noProof/>
          </w:rPr>
          <w:t>Group 2: Achieve and maintain high levels of viral suppression</w:t>
        </w:r>
        <w:r>
          <w:rPr>
            <w:noProof/>
            <w:webHidden/>
          </w:rPr>
          <w:tab/>
        </w:r>
        <w:r>
          <w:rPr>
            <w:noProof/>
            <w:webHidden/>
          </w:rPr>
          <w:fldChar w:fldCharType="begin"/>
        </w:r>
        <w:r>
          <w:rPr>
            <w:noProof/>
            <w:webHidden/>
          </w:rPr>
          <w:instrText xml:space="preserve"> PAGEREF _Toc214457280 \h </w:instrText>
        </w:r>
        <w:r>
          <w:rPr>
            <w:noProof/>
            <w:webHidden/>
          </w:rPr>
        </w:r>
        <w:r>
          <w:rPr>
            <w:noProof/>
            <w:webHidden/>
          </w:rPr>
          <w:fldChar w:fldCharType="separate"/>
        </w:r>
        <w:r w:rsidR="00670632">
          <w:rPr>
            <w:noProof/>
            <w:webHidden/>
          </w:rPr>
          <w:t>23</w:t>
        </w:r>
        <w:r>
          <w:rPr>
            <w:noProof/>
            <w:webHidden/>
          </w:rPr>
          <w:fldChar w:fldCharType="end"/>
        </w:r>
      </w:hyperlink>
    </w:p>
    <w:p w14:paraId="41796FC9" w14:textId="08102ED7" w:rsidR="00406FBE" w:rsidRDefault="00406FBE">
      <w:pPr>
        <w:pStyle w:val="TOC1"/>
        <w:rPr>
          <w:rFonts w:asciiTheme="minorHAnsi" w:eastAsiaTheme="minorEastAsia" w:hAnsiTheme="minorHAnsi" w:cstheme="minorBidi"/>
          <w:b w:val="0"/>
          <w:kern w:val="2"/>
          <w:sz w:val="24"/>
          <w:szCs w:val="24"/>
          <w:lang w:eastAsia="en-AU"/>
          <w14:ligatures w14:val="standardContextual"/>
        </w:rPr>
      </w:pPr>
      <w:hyperlink w:anchor="_Toc214457281" w:history="1">
        <w:r w:rsidRPr="00184046">
          <w:rPr>
            <w:rStyle w:val="Hyperlink"/>
          </w:rPr>
          <w:t xml:space="preserve">Sexually </w:t>
        </w:r>
        <w:r w:rsidRPr="00184046">
          <w:rPr>
            <w:rStyle w:val="Hyperlink"/>
            <w:rFonts w:eastAsia="Arial"/>
          </w:rPr>
          <w:t>transmissible infections plan</w:t>
        </w:r>
        <w:r w:rsidRPr="00184046">
          <w:rPr>
            <w:rStyle w:val="Hyperlink"/>
          </w:rPr>
          <w:t xml:space="preserve"> 2022–30</w:t>
        </w:r>
        <w:r>
          <w:rPr>
            <w:webHidden/>
          </w:rPr>
          <w:tab/>
        </w:r>
        <w:r>
          <w:rPr>
            <w:webHidden/>
          </w:rPr>
          <w:fldChar w:fldCharType="begin"/>
        </w:r>
        <w:r>
          <w:rPr>
            <w:webHidden/>
          </w:rPr>
          <w:instrText xml:space="preserve"> PAGEREF _Toc214457281 \h </w:instrText>
        </w:r>
        <w:r>
          <w:rPr>
            <w:webHidden/>
          </w:rPr>
        </w:r>
        <w:r>
          <w:rPr>
            <w:webHidden/>
          </w:rPr>
          <w:fldChar w:fldCharType="separate"/>
        </w:r>
        <w:r w:rsidR="00670632">
          <w:rPr>
            <w:webHidden/>
          </w:rPr>
          <w:t>25</w:t>
        </w:r>
        <w:r>
          <w:rPr>
            <w:webHidden/>
          </w:rPr>
          <w:fldChar w:fldCharType="end"/>
        </w:r>
      </w:hyperlink>
    </w:p>
    <w:p w14:paraId="6AC24350" w14:textId="3DCFC500" w:rsidR="00406FBE" w:rsidRDefault="00406FBE">
      <w:pPr>
        <w:pStyle w:val="TOC2"/>
        <w:rPr>
          <w:rFonts w:asciiTheme="minorHAnsi" w:eastAsiaTheme="minorEastAsia" w:hAnsiTheme="minorHAnsi" w:cstheme="minorBidi"/>
          <w:kern w:val="2"/>
          <w:sz w:val="24"/>
          <w:szCs w:val="24"/>
          <w:lang w:eastAsia="en-AU"/>
          <w14:ligatures w14:val="standardContextual"/>
        </w:rPr>
      </w:pPr>
      <w:hyperlink w:anchor="_Toc214457282" w:history="1">
        <w:r w:rsidRPr="00184046">
          <w:rPr>
            <w:rStyle w:val="Hyperlink"/>
          </w:rPr>
          <w:t>Goals, targets and priority populations</w:t>
        </w:r>
        <w:r>
          <w:rPr>
            <w:webHidden/>
          </w:rPr>
          <w:tab/>
        </w:r>
        <w:r>
          <w:rPr>
            <w:webHidden/>
          </w:rPr>
          <w:fldChar w:fldCharType="begin"/>
        </w:r>
        <w:r>
          <w:rPr>
            <w:webHidden/>
          </w:rPr>
          <w:instrText xml:space="preserve"> PAGEREF _Toc214457282 \h </w:instrText>
        </w:r>
        <w:r>
          <w:rPr>
            <w:webHidden/>
          </w:rPr>
        </w:r>
        <w:r>
          <w:rPr>
            <w:webHidden/>
          </w:rPr>
          <w:fldChar w:fldCharType="separate"/>
        </w:r>
        <w:r w:rsidR="00670632">
          <w:rPr>
            <w:webHidden/>
          </w:rPr>
          <w:t>25</w:t>
        </w:r>
        <w:r>
          <w:rPr>
            <w:webHidden/>
          </w:rPr>
          <w:fldChar w:fldCharType="end"/>
        </w:r>
      </w:hyperlink>
    </w:p>
    <w:p w14:paraId="399D5756" w14:textId="3D9257EF" w:rsidR="00406FBE" w:rsidRDefault="00406FBE">
      <w:pPr>
        <w:pStyle w:val="TOC3"/>
        <w:rPr>
          <w:rFonts w:asciiTheme="minorHAnsi" w:eastAsiaTheme="minorEastAsia" w:hAnsiTheme="minorHAnsi" w:cstheme="minorBidi"/>
          <w:noProof/>
          <w:kern w:val="2"/>
          <w:sz w:val="24"/>
          <w:szCs w:val="24"/>
          <w:lang w:eastAsia="en-AU"/>
          <w14:ligatures w14:val="standardContextual"/>
        </w:rPr>
      </w:pPr>
      <w:hyperlink w:anchor="_Toc214457283" w:history="1">
        <w:r w:rsidRPr="00184046">
          <w:rPr>
            <w:rStyle w:val="Hyperlink"/>
            <w:noProof/>
          </w:rPr>
          <w:t>Focus Area 1: Prevent</w:t>
        </w:r>
        <w:r>
          <w:rPr>
            <w:noProof/>
            <w:webHidden/>
          </w:rPr>
          <w:tab/>
        </w:r>
        <w:r>
          <w:rPr>
            <w:noProof/>
            <w:webHidden/>
          </w:rPr>
          <w:fldChar w:fldCharType="begin"/>
        </w:r>
        <w:r>
          <w:rPr>
            <w:noProof/>
            <w:webHidden/>
          </w:rPr>
          <w:instrText xml:space="preserve"> PAGEREF _Toc214457283 \h </w:instrText>
        </w:r>
        <w:r>
          <w:rPr>
            <w:noProof/>
            <w:webHidden/>
          </w:rPr>
        </w:r>
        <w:r>
          <w:rPr>
            <w:noProof/>
            <w:webHidden/>
          </w:rPr>
          <w:fldChar w:fldCharType="separate"/>
        </w:r>
        <w:r w:rsidR="00670632">
          <w:rPr>
            <w:noProof/>
            <w:webHidden/>
          </w:rPr>
          <w:t>26</w:t>
        </w:r>
        <w:r>
          <w:rPr>
            <w:noProof/>
            <w:webHidden/>
          </w:rPr>
          <w:fldChar w:fldCharType="end"/>
        </w:r>
      </w:hyperlink>
    </w:p>
    <w:p w14:paraId="642C6112" w14:textId="00AFD6BE" w:rsidR="00406FBE" w:rsidRDefault="00406FBE">
      <w:pPr>
        <w:pStyle w:val="TOC3"/>
        <w:rPr>
          <w:rFonts w:asciiTheme="minorHAnsi" w:eastAsiaTheme="minorEastAsia" w:hAnsiTheme="minorHAnsi" w:cstheme="minorBidi"/>
          <w:noProof/>
          <w:kern w:val="2"/>
          <w:sz w:val="24"/>
          <w:szCs w:val="24"/>
          <w:lang w:eastAsia="en-AU"/>
          <w14:ligatures w14:val="standardContextual"/>
        </w:rPr>
      </w:pPr>
      <w:hyperlink w:anchor="_Toc214457284" w:history="1">
        <w:r w:rsidRPr="00184046">
          <w:rPr>
            <w:rStyle w:val="Hyperlink"/>
            <w:noProof/>
          </w:rPr>
          <w:t>Focus Area 2: Test</w:t>
        </w:r>
        <w:r>
          <w:rPr>
            <w:noProof/>
            <w:webHidden/>
          </w:rPr>
          <w:tab/>
        </w:r>
        <w:r>
          <w:rPr>
            <w:noProof/>
            <w:webHidden/>
          </w:rPr>
          <w:fldChar w:fldCharType="begin"/>
        </w:r>
        <w:r>
          <w:rPr>
            <w:noProof/>
            <w:webHidden/>
          </w:rPr>
          <w:instrText xml:space="preserve"> PAGEREF _Toc214457284 \h </w:instrText>
        </w:r>
        <w:r>
          <w:rPr>
            <w:noProof/>
            <w:webHidden/>
          </w:rPr>
        </w:r>
        <w:r>
          <w:rPr>
            <w:noProof/>
            <w:webHidden/>
          </w:rPr>
          <w:fldChar w:fldCharType="separate"/>
        </w:r>
        <w:r w:rsidR="00670632">
          <w:rPr>
            <w:noProof/>
            <w:webHidden/>
          </w:rPr>
          <w:t>29</w:t>
        </w:r>
        <w:r>
          <w:rPr>
            <w:noProof/>
            <w:webHidden/>
          </w:rPr>
          <w:fldChar w:fldCharType="end"/>
        </w:r>
      </w:hyperlink>
    </w:p>
    <w:p w14:paraId="1594DFC9" w14:textId="1C2B30D9" w:rsidR="00406FBE" w:rsidRDefault="00406FBE">
      <w:pPr>
        <w:pStyle w:val="TOC3"/>
        <w:rPr>
          <w:rFonts w:asciiTheme="minorHAnsi" w:eastAsiaTheme="minorEastAsia" w:hAnsiTheme="minorHAnsi" w:cstheme="minorBidi"/>
          <w:noProof/>
          <w:kern w:val="2"/>
          <w:sz w:val="24"/>
          <w:szCs w:val="24"/>
          <w:lang w:eastAsia="en-AU"/>
          <w14:ligatures w14:val="standardContextual"/>
        </w:rPr>
      </w:pPr>
      <w:hyperlink w:anchor="_Toc214457285" w:history="1">
        <w:r w:rsidRPr="00184046">
          <w:rPr>
            <w:rStyle w:val="Hyperlink"/>
            <w:noProof/>
          </w:rPr>
          <w:t>Focus Area 3: Treat and care</w:t>
        </w:r>
        <w:r>
          <w:rPr>
            <w:noProof/>
            <w:webHidden/>
          </w:rPr>
          <w:tab/>
        </w:r>
        <w:r>
          <w:rPr>
            <w:noProof/>
            <w:webHidden/>
          </w:rPr>
          <w:fldChar w:fldCharType="begin"/>
        </w:r>
        <w:r>
          <w:rPr>
            <w:noProof/>
            <w:webHidden/>
          </w:rPr>
          <w:instrText xml:space="preserve"> PAGEREF _Toc214457285 \h </w:instrText>
        </w:r>
        <w:r>
          <w:rPr>
            <w:noProof/>
            <w:webHidden/>
          </w:rPr>
        </w:r>
        <w:r>
          <w:rPr>
            <w:noProof/>
            <w:webHidden/>
          </w:rPr>
          <w:fldChar w:fldCharType="separate"/>
        </w:r>
        <w:r w:rsidR="00670632">
          <w:rPr>
            <w:noProof/>
            <w:webHidden/>
          </w:rPr>
          <w:t>31</w:t>
        </w:r>
        <w:r>
          <w:rPr>
            <w:noProof/>
            <w:webHidden/>
          </w:rPr>
          <w:fldChar w:fldCharType="end"/>
        </w:r>
      </w:hyperlink>
    </w:p>
    <w:p w14:paraId="08B8C41F" w14:textId="19D3D13D" w:rsidR="00FB1F6E" w:rsidRPr="005F4143" w:rsidRDefault="00713422" w:rsidP="00D079AA">
      <w:pPr>
        <w:pStyle w:val="Body"/>
      </w:pPr>
      <w:r w:rsidRPr="005F4143">
        <w:rPr>
          <w:rFonts w:eastAsia="Times New Roman"/>
          <w:b/>
        </w:rPr>
        <w:fldChar w:fldCharType="end"/>
      </w:r>
    </w:p>
    <w:p w14:paraId="3A8D68F0" w14:textId="4A177BC6" w:rsidR="0095007B" w:rsidRPr="005F4143" w:rsidRDefault="00FB1F6E" w:rsidP="00BF1298">
      <w:pPr>
        <w:pStyle w:val="Heading1"/>
      </w:pPr>
      <w:r w:rsidRPr="005F4143">
        <w:br w:type="page"/>
      </w:r>
      <w:bookmarkStart w:id="1" w:name="_Toc214457259"/>
      <w:r w:rsidR="00BF1298" w:rsidRPr="005F4143">
        <w:lastRenderedPageBreak/>
        <w:t>Glossary of terms</w:t>
      </w:r>
      <w:bookmarkEnd w:id="1"/>
    </w:p>
    <w:p w14:paraId="2E2CAEC6" w14:textId="4290E1A6" w:rsidR="005C6E2A" w:rsidRPr="005F4143" w:rsidRDefault="005C6E2A" w:rsidP="002A411C">
      <w:pPr>
        <w:spacing w:line="276" w:lineRule="auto"/>
        <w:rPr>
          <w:rFonts w:cs="Arial"/>
          <w:color w:val="000000"/>
        </w:rPr>
      </w:pPr>
      <w:r w:rsidRPr="005F4143">
        <w:rPr>
          <w:rFonts w:cs="Arial"/>
        </w:rPr>
        <w:t>ACCESS</w:t>
      </w:r>
      <w:r w:rsidRPr="005F4143">
        <w:rPr>
          <w:rFonts w:cs="Arial"/>
        </w:rPr>
        <w:tab/>
      </w:r>
      <w:r w:rsidRPr="005F4143">
        <w:rPr>
          <w:rFonts w:cs="Arial"/>
          <w:color w:val="000000"/>
        </w:rPr>
        <w:t>Australian Collaboration for Coordinated Enhanced Sentinel Surveillance</w:t>
      </w:r>
    </w:p>
    <w:p w14:paraId="0339B747" w14:textId="21840B41" w:rsidR="005C6E2A" w:rsidRPr="005F4143" w:rsidRDefault="005C6E2A" w:rsidP="002A411C">
      <w:pPr>
        <w:spacing w:line="276" w:lineRule="auto"/>
        <w:rPr>
          <w:rFonts w:cs="Arial"/>
        </w:rPr>
      </w:pPr>
      <w:r w:rsidRPr="005F4143">
        <w:rPr>
          <w:rFonts w:cs="Arial"/>
        </w:rPr>
        <w:t>ABS</w:t>
      </w:r>
      <w:r w:rsidRPr="005F4143">
        <w:rPr>
          <w:rFonts w:cs="Arial"/>
        </w:rPr>
        <w:tab/>
      </w:r>
      <w:r w:rsidRPr="005F4143">
        <w:rPr>
          <w:rFonts w:cs="Arial"/>
        </w:rPr>
        <w:tab/>
        <w:t>Australian Bureau of Statistics</w:t>
      </w:r>
    </w:p>
    <w:p w14:paraId="5838CDFF" w14:textId="072BAA89" w:rsidR="005C6E2A" w:rsidRPr="005F4143" w:rsidRDefault="005C6E2A" w:rsidP="002A411C">
      <w:pPr>
        <w:spacing w:line="276" w:lineRule="auto"/>
        <w:rPr>
          <w:rFonts w:cs="Arial"/>
        </w:rPr>
      </w:pPr>
      <w:r w:rsidRPr="005F4143">
        <w:rPr>
          <w:rFonts w:cs="Arial"/>
        </w:rPr>
        <w:t>AIR</w:t>
      </w:r>
      <w:r w:rsidRPr="005F4143">
        <w:rPr>
          <w:rFonts w:cs="Arial"/>
        </w:rPr>
        <w:tab/>
      </w:r>
      <w:r w:rsidRPr="005F4143">
        <w:rPr>
          <w:rFonts w:cs="Arial"/>
        </w:rPr>
        <w:tab/>
        <w:t>Australian Immunisation Register</w:t>
      </w:r>
    </w:p>
    <w:p w14:paraId="16439A1D" w14:textId="229C1015" w:rsidR="005C6E2A" w:rsidRPr="005F4143" w:rsidRDefault="005C6E2A" w:rsidP="002A411C">
      <w:pPr>
        <w:spacing w:line="276" w:lineRule="auto"/>
        <w:rPr>
          <w:rFonts w:cs="Arial"/>
        </w:rPr>
      </w:pPr>
      <w:r w:rsidRPr="005F4143">
        <w:rPr>
          <w:rFonts w:cs="Arial"/>
        </w:rPr>
        <w:t>ART</w:t>
      </w:r>
      <w:r w:rsidRPr="005F4143">
        <w:rPr>
          <w:rFonts w:cs="Arial"/>
        </w:rPr>
        <w:tab/>
      </w:r>
      <w:r w:rsidRPr="005F4143">
        <w:rPr>
          <w:rFonts w:cs="Arial"/>
        </w:rPr>
        <w:tab/>
        <w:t>Antiretroviral therapy</w:t>
      </w:r>
    </w:p>
    <w:p w14:paraId="3A7C1949" w14:textId="77777777" w:rsidR="005C6E2A" w:rsidRPr="005F4143" w:rsidRDefault="005C6E2A" w:rsidP="002A411C">
      <w:pPr>
        <w:spacing w:line="276" w:lineRule="auto"/>
        <w:rPr>
          <w:rFonts w:cs="Arial"/>
        </w:rPr>
      </w:pPr>
      <w:r w:rsidRPr="005F4143">
        <w:rPr>
          <w:rFonts w:cs="Arial"/>
        </w:rPr>
        <w:t>BBV</w:t>
      </w:r>
      <w:r w:rsidRPr="005F4143">
        <w:rPr>
          <w:rFonts w:cs="Arial"/>
        </w:rPr>
        <w:tab/>
      </w:r>
      <w:r w:rsidRPr="005F4143">
        <w:rPr>
          <w:rFonts w:cs="Arial"/>
        </w:rPr>
        <w:tab/>
        <w:t>Bloodborne virus</w:t>
      </w:r>
    </w:p>
    <w:p w14:paraId="00DEAD9F" w14:textId="07C6E9AF" w:rsidR="00187D0B" w:rsidRDefault="005C6E2A" w:rsidP="002A411C">
      <w:pPr>
        <w:spacing w:line="276" w:lineRule="auto"/>
        <w:rPr>
          <w:rFonts w:cs="Arial"/>
        </w:rPr>
      </w:pPr>
      <w:r w:rsidRPr="005F4143">
        <w:rPr>
          <w:rFonts w:cs="Arial"/>
        </w:rPr>
        <w:t>CSRH</w:t>
      </w:r>
      <w:r w:rsidRPr="005F4143">
        <w:rPr>
          <w:rFonts w:cs="Arial"/>
        </w:rPr>
        <w:tab/>
      </w:r>
      <w:r w:rsidR="002A411C">
        <w:rPr>
          <w:rFonts w:cs="Arial"/>
        </w:rPr>
        <w:tab/>
      </w:r>
      <w:r w:rsidRPr="005F4143">
        <w:rPr>
          <w:rFonts w:cs="Arial"/>
        </w:rPr>
        <w:t>Centre for Social Research in Health</w:t>
      </w:r>
    </w:p>
    <w:p w14:paraId="7D0E919B" w14:textId="279100F6" w:rsidR="00AA499F" w:rsidRPr="005F4143" w:rsidRDefault="00AA499F" w:rsidP="002A411C">
      <w:pPr>
        <w:spacing w:line="276" w:lineRule="auto"/>
        <w:rPr>
          <w:rFonts w:cs="Arial"/>
        </w:rPr>
      </w:pPr>
      <w:r w:rsidRPr="005F4143">
        <w:rPr>
          <w:rFonts w:cs="Arial"/>
        </w:rPr>
        <w:t>DAA</w:t>
      </w:r>
      <w:r w:rsidRPr="005F4143">
        <w:rPr>
          <w:rFonts w:cs="Arial"/>
        </w:rPr>
        <w:tab/>
      </w:r>
      <w:r w:rsidRPr="005F4143">
        <w:rPr>
          <w:rFonts w:cs="Arial"/>
        </w:rPr>
        <w:tab/>
        <w:t xml:space="preserve">Direct acting antivirals </w:t>
      </w:r>
      <w:r w:rsidR="00AF7267" w:rsidRPr="005F4143">
        <w:rPr>
          <w:rFonts w:cs="Arial"/>
        </w:rPr>
        <w:t>(</w:t>
      </w:r>
      <w:r w:rsidRPr="005F4143">
        <w:rPr>
          <w:rFonts w:cs="Arial"/>
        </w:rPr>
        <w:t>for hepatitis C</w:t>
      </w:r>
      <w:r w:rsidR="00AF7267" w:rsidRPr="005F4143">
        <w:rPr>
          <w:rFonts w:cs="Arial"/>
        </w:rPr>
        <w:t>)</w:t>
      </w:r>
    </w:p>
    <w:p w14:paraId="2B12C46F" w14:textId="785805A5" w:rsidR="005C6E2A" w:rsidRPr="005F4143" w:rsidRDefault="00AF7267" w:rsidP="002A411C">
      <w:pPr>
        <w:spacing w:line="276" w:lineRule="auto"/>
        <w:rPr>
          <w:rFonts w:cs="Arial"/>
        </w:rPr>
      </w:pPr>
      <w:r w:rsidRPr="005F4143">
        <w:rPr>
          <w:rFonts w:cs="Arial"/>
        </w:rPr>
        <w:t>DH</w:t>
      </w:r>
      <w:r w:rsidRPr="005F4143">
        <w:rPr>
          <w:rFonts w:cs="Arial"/>
        </w:rPr>
        <w:tab/>
      </w:r>
      <w:r w:rsidRPr="005F4143">
        <w:rPr>
          <w:rFonts w:cs="Arial"/>
        </w:rPr>
        <w:tab/>
      </w:r>
      <w:r w:rsidR="005C6E2A" w:rsidRPr="005F4143">
        <w:rPr>
          <w:rFonts w:cs="Arial"/>
        </w:rPr>
        <w:t xml:space="preserve">Department of Health </w:t>
      </w:r>
      <w:r w:rsidRPr="005F4143">
        <w:rPr>
          <w:rFonts w:cs="Arial"/>
        </w:rPr>
        <w:t>(Victoria)</w:t>
      </w:r>
    </w:p>
    <w:p w14:paraId="0A069378" w14:textId="5FDFBA66" w:rsidR="005C6E2A" w:rsidRPr="005F4143" w:rsidRDefault="005C6E2A" w:rsidP="002A411C">
      <w:pPr>
        <w:spacing w:line="276" w:lineRule="auto"/>
        <w:rPr>
          <w:rFonts w:cs="Arial"/>
        </w:rPr>
      </w:pPr>
      <w:r w:rsidRPr="005F4143">
        <w:rPr>
          <w:rFonts w:cs="Arial"/>
        </w:rPr>
        <w:t>ERP</w:t>
      </w:r>
      <w:r w:rsidRPr="005F4143">
        <w:rPr>
          <w:rFonts w:cs="Arial"/>
        </w:rPr>
        <w:tab/>
      </w:r>
      <w:r w:rsidRPr="005F4143">
        <w:rPr>
          <w:rFonts w:cs="Arial"/>
        </w:rPr>
        <w:tab/>
        <w:t>Estimated Resident Population</w:t>
      </w:r>
    </w:p>
    <w:p w14:paraId="39541E76" w14:textId="77777777" w:rsidR="005C6E2A" w:rsidRPr="005F4143" w:rsidRDefault="005C6E2A" w:rsidP="002A411C">
      <w:pPr>
        <w:spacing w:line="276" w:lineRule="auto"/>
        <w:rPr>
          <w:rFonts w:cs="Arial"/>
        </w:rPr>
      </w:pPr>
      <w:r w:rsidRPr="005F4143">
        <w:rPr>
          <w:rFonts w:cs="Arial"/>
        </w:rPr>
        <w:t>GBM</w:t>
      </w:r>
      <w:r w:rsidRPr="005F4143">
        <w:rPr>
          <w:rFonts w:cs="Arial"/>
        </w:rPr>
        <w:tab/>
      </w:r>
      <w:r w:rsidRPr="005F4143">
        <w:rPr>
          <w:rFonts w:cs="Arial"/>
        </w:rPr>
        <w:tab/>
        <w:t>Gay, bisexual and other men who have sex with men</w:t>
      </w:r>
    </w:p>
    <w:p w14:paraId="4C3B197D" w14:textId="48497AE4" w:rsidR="00BA01B5" w:rsidRPr="005F4143" w:rsidRDefault="00BA01B5" w:rsidP="002A411C">
      <w:pPr>
        <w:spacing w:line="276" w:lineRule="auto"/>
      </w:pPr>
      <w:proofErr w:type="spellStart"/>
      <w:r w:rsidRPr="005F4143">
        <w:t>HBIg</w:t>
      </w:r>
      <w:proofErr w:type="spellEnd"/>
      <w:r w:rsidRPr="005F4143">
        <w:tab/>
      </w:r>
      <w:r w:rsidRPr="005F4143">
        <w:tab/>
        <w:t>Hepatitis B immunoglobulin</w:t>
      </w:r>
    </w:p>
    <w:p w14:paraId="6B2173B9" w14:textId="01D46533" w:rsidR="005C6E2A" w:rsidRPr="005F4143" w:rsidRDefault="005C6E2A" w:rsidP="002A411C">
      <w:pPr>
        <w:spacing w:line="276" w:lineRule="auto"/>
        <w:rPr>
          <w:rFonts w:cs="Arial"/>
        </w:rPr>
      </w:pPr>
      <w:r w:rsidRPr="005F4143">
        <w:rPr>
          <w:rFonts w:cs="Arial"/>
        </w:rPr>
        <w:t>HEP-LOGIC</w:t>
      </w:r>
      <w:r w:rsidRPr="005F4143">
        <w:rPr>
          <w:rFonts w:cs="Arial"/>
        </w:rPr>
        <w:tab/>
        <w:t>Hepatitis and Liver Cancer Outcomes in General Practice Study</w:t>
      </w:r>
    </w:p>
    <w:p w14:paraId="7D617EC2" w14:textId="2DA36BA2" w:rsidR="005C6E2A" w:rsidRPr="005F4143" w:rsidRDefault="005C6E2A" w:rsidP="002A411C">
      <w:pPr>
        <w:spacing w:line="276" w:lineRule="auto"/>
        <w:rPr>
          <w:rFonts w:cs="Arial"/>
        </w:rPr>
      </w:pPr>
      <w:r w:rsidRPr="005F4143">
        <w:rPr>
          <w:rFonts w:cs="Arial"/>
        </w:rPr>
        <w:t>HCC</w:t>
      </w:r>
      <w:r w:rsidRPr="005F4143">
        <w:rPr>
          <w:rFonts w:cs="Arial"/>
        </w:rPr>
        <w:tab/>
      </w:r>
      <w:r w:rsidRPr="005F4143">
        <w:rPr>
          <w:rFonts w:cs="Arial"/>
        </w:rPr>
        <w:tab/>
        <w:t>Hepatocellular carcinoma</w:t>
      </w:r>
    </w:p>
    <w:p w14:paraId="138D642F" w14:textId="127A1C05" w:rsidR="00C5230C" w:rsidRPr="005F4143" w:rsidRDefault="00C5230C" w:rsidP="002A411C">
      <w:pPr>
        <w:spacing w:line="276" w:lineRule="auto"/>
        <w:rPr>
          <w:rFonts w:cs="Arial"/>
        </w:rPr>
      </w:pPr>
      <w:r w:rsidRPr="005F4143">
        <w:rPr>
          <w:rFonts w:cs="Arial"/>
        </w:rPr>
        <w:t>HIV</w:t>
      </w:r>
      <w:r w:rsidRPr="005F4143">
        <w:rPr>
          <w:rFonts w:cs="Arial"/>
        </w:rPr>
        <w:tab/>
      </w:r>
      <w:r w:rsidRPr="005F4143">
        <w:rPr>
          <w:rFonts w:cs="Arial"/>
        </w:rPr>
        <w:tab/>
        <w:t>Human Immunodeficiency Virus</w:t>
      </w:r>
    </w:p>
    <w:p w14:paraId="2048D0BD" w14:textId="77777777" w:rsidR="005C6E2A" w:rsidRPr="005F4143" w:rsidRDefault="005C6E2A" w:rsidP="002A411C">
      <w:pPr>
        <w:spacing w:line="276" w:lineRule="auto"/>
        <w:rPr>
          <w:rFonts w:cs="Arial"/>
        </w:rPr>
      </w:pPr>
      <w:r w:rsidRPr="005F4143">
        <w:rPr>
          <w:rFonts w:cs="Arial"/>
        </w:rPr>
        <w:t>MBS</w:t>
      </w:r>
      <w:r w:rsidRPr="005F4143">
        <w:rPr>
          <w:rFonts w:cs="Arial"/>
        </w:rPr>
        <w:tab/>
      </w:r>
      <w:r w:rsidRPr="005F4143">
        <w:rPr>
          <w:rFonts w:cs="Arial"/>
        </w:rPr>
        <w:tab/>
        <w:t>Medicare Benefits Schedule</w:t>
      </w:r>
    </w:p>
    <w:p w14:paraId="247CAAAB" w14:textId="4873FCEC" w:rsidR="005C6E2A" w:rsidRPr="005F4143" w:rsidRDefault="005C6E2A" w:rsidP="002A411C">
      <w:pPr>
        <w:spacing w:line="276" w:lineRule="auto"/>
        <w:rPr>
          <w:rFonts w:cs="Arial"/>
        </w:rPr>
      </w:pPr>
      <w:r w:rsidRPr="005F4143">
        <w:rPr>
          <w:rFonts w:cs="Arial"/>
        </w:rPr>
        <w:t>MGCPS</w:t>
      </w:r>
      <w:r w:rsidRPr="005F4143">
        <w:rPr>
          <w:rFonts w:cs="Arial"/>
        </w:rPr>
        <w:tab/>
        <w:t>Melbourne Gay Community Period Survey</w:t>
      </w:r>
    </w:p>
    <w:p w14:paraId="231C0660" w14:textId="77777777" w:rsidR="00384F8B" w:rsidRPr="005F4143" w:rsidRDefault="00384F8B" w:rsidP="002A411C">
      <w:pPr>
        <w:spacing w:line="276" w:lineRule="auto"/>
        <w:rPr>
          <w:rFonts w:cs="Arial"/>
        </w:rPr>
      </w:pPr>
      <w:r w:rsidRPr="005F4143">
        <w:rPr>
          <w:rFonts w:cs="Arial"/>
        </w:rPr>
        <w:t>MSM</w:t>
      </w:r>
      <w:r w:rsidRPr="005F4143">
        <w:rPr>
          <w:rFonts w:cs="Arial"/>
        </w:rPr>
        <w:tab/>
      </w:r>
      <w:r w:rsidRPr="005F4143">
        <w:rPr>
          <w:rFonts w:cs="Arial"/>
        </w:rPr>
        <w:tab/>
        <w:t>Men who have sex with men</w:t>
      </w:r>
    </w:p>
    <w:p w14:paraId="525152C5" w14:textId="77777777" w:rsidR="00384F8B" w:rsidRPr="005F4143" w:rsidRDefault="00384F8B" w:rsidP="002A411C">
      <w:pPr>
        <w:spacing w:line="276" w:lineRule="auto"/>
        <w:rPr>
          <w:rFonts w:cs="Arial"/>
        </w:rPr>
      </w:pPr>
      <w:r w:rsidRPr="005F4143">
        <w:rPr>
          <w:rFonts w:cs="Arial"/>
        </w:rPr>
        <w:t>MSW</w:t>
      </w:r>
      <w:r w:rsidRPr="005F4143">
        <w:rPr>
          <w:rFonts w:cs="Arial"/>
        </w:rPr>
        <w:tab/>
      </w:r>
      <w:r w:rsidRPr="005F4143">
        <w:rPr>
          <w:rFonts w:cs="Arial"/>
        </w:rPr>
        <w:tab/>
        <w:t>Men who have sex with women</w:t>
      </w:r>
    </w:p>
    <w:p w14:paraId="46593F7F" w14:textId="37AB1E4D" w:rsidR="00525D4F" w:rsidRPr="005F4143" w:rsidRDefault="00525D4F" w:rsidP="002A411C">
      <w:pPr>
        <w:spacing w:line="276" w:lineRule="auto"/>
        <w:rPr>
          <w:rFonts w:cs="Arial"/>
        </w:rPr>
      </w:pPr>
      <w:r w:rsidRPr="005F4143">
        <w:rPr>
          <w:rFonts w:cs="Arial"/>
        </w:rPr>
        <w:t>NIP</w:t>
      </w:r>
      <w:r w:rsidRPr="005F4143">
        <w:rPr>
          <w:rFonts w:cs="Arial"/>
        </w:rPr>
        <w:tab/>
      </w:r>
      <w:r w:rsidRPr="005F4143">
        <w:rPr>
          <w:rFonts w:cs="Arial"/>
        </w:rPr>
        <w:tab/>
        <w:t>National Immunisation Program</w:t>
      </w:r>
    </w:p>
    <w:p w14:paraId="3AB638E1" w14:textId="3D003F3A" w:rsidR="002E523D" w:rsidRPr="005F4143" w:rsidRDefault="002E523D" w:rsidP="002A411C">
      <w:pPr>
        <w:spacing w:line="276" w:lineRule="auto"/>
        <w:rPr>
          <w:rFonts w:cs="Arial"/>
        </w:rPr>
      </w:pPr>
      <w:r w:rsidRPr="005F4143">
        <w:rPr>
          <w:rFonts w:cs="Arial"/>
        </w:rPr>
        <w:t>NPEP</w:t>
      </w:r>
      <w:r w:rsidRPr="005F4143">
        <w:rPr>
          <w:rFonts w:cs="Arial"/>
        </w:rPr>
        <w:tab/>
      </w:r>
      <w:r w:rsidRPr="005F4143">
        <w:rPr>
          <w:rFonts w:cs="Arial"/>
        </w:rPr>
        <w:tab/>
        <w:t>Non occupational HIV post-exposure prophylaxis</w:t>
      </w:r>
    </w:p>
    <w:p w14:paraId="5DAC2AF3" w14:textId="33620472" w:rsidR="005C6E2A" w:rsidRPr="005F4143" w:rsidRDefault="005C6E2A" w:rsidP="002A411C">
      <w:pPr>
        <w:spacing w:line="276" w:lineRule="auto"/>
        <w:rPr>
          <w:rFonts w:cs="Arial"/>
        </w:rPr>
      </w:pPr>
      <w:r w:rsidRPr="005F4143">
        <w:rPr>
          <w:rFonts w:cs="Arial"/>
        </w:rPr>
        <w:t>NSP</w:t>
      </w:r>
      <w:r w:rsidRPr="005F4143">
        <w:rPr>
          <w:rFonts w:cs="Arial"/>
        </w:rPr>
        <w:tab/>
      </w:r>
      <w:r w:rsidRPr="005F4143">
        <w:rPr>
          <w:rFonts w:cs="Arial"/>
        </w:rPr>
        <w:tab/>
        <w:t>Needle and syringe program</w:t>
      </w:r>
    </w:p>
    <w:p w14:paraId="30F89B66" w14:textId="77777777" w:rsidR="005C6E2A" w:rsidRPr="005F4143" w:rsidRDefault="005C6E2A" w:rsidP="002A411C">
      <w:pPr>
        <w:spacing w:line="276" w:lineRule="auto"/>
        <w:rPr>
          <w:rFonts w:cs="Arial"/>
        </w:rPr>
      </w:pPr>
      <w:r w:rsidRPr="005F4143">
        <w:rPr>
          <w:rFonts w:cs="Arial"/>
        </w:rPr>
        <w:t>PBS</w:t>
      </w:r>
      <w:r w:rsidRPr="005F4143">
        <w:rPr>
          <w:rFonts w:cs="Arial"/>
        </w:rPr>
        <w:tab/>
      </w:r>
      <w:r w:rsidRPr="005F4143">
        <w:rPr>
          <w:rFonts w:cs="Arial"/>
        </w:rPr>
        <w:tab/>
        <w:t>Pharmaceutical Benefits Scheme</w:t>
      </w:r>
    </w:p>
    <w:p w14:paraId="4C6E59D7" w14:textId="1167DC1E" w:rsidR="005C6E2A" w:rsidRPr="005F4143" w:rsidRDefault="005C6E2A" w:rsidP="002A411C">
      <w:pPr>
        <w:spacing w:line="276" w:lineRule="auto"/>
        <w:rPr>
          <w:rFonts w:cs="Arial"/>
        </w:rPr>
      </w:pPr>
      <w:r w:rsidRPr="005F4143">
        <w:rPr>
          <w:rFonts w:cs="Arial"/>
        </w:rPr>
        <w:t>PHESS</w:t>
      </w:r>
      <w:r w:rsidRPr="005F4143">
        <w:rPr>
          <w:rFonts w:cs="Arial"/>
        </w:rPr>
        <w:tab/>
      </w:r>
      <w:r w:rsidR="002A411C">
        <w:rPr>
          <w:rFonts w:cs="Arial"/>
        </w:rPr>
        <w:tab/>
      </w:r>
      <w:r w:rsidRPr="005F4143">
        <w:rPr>
          <w:rFonts w:cs="Arial"/>
        </w:rPr>
        <w:t>Public Health Event Surveillance System</w:t>
      </w:r>
    </w:p>
    <w:p w14:paraId="40797961" w14:textId="7D89247F" w:rsidR="005C6E2A" w:rsidRPr="005F4143" w:rsidRDefault="005C6E2A" w:rsidP="002A411C">
      <w:pPr>
        <w:spacing w:line="276" w:lineRule="auto"/>
        <w:rPr>
          <w:rFonts w:cs="Arial"/>
        </w:rPr>
      </w:pPr>
      <w:r w:rsidRPr="005F4143">
        <w:rPr>
          <w:rFonts w:cs="Arial"/>
        </w:rPr>
        <w:t>PLHIV</w:t>
      </w:r>
      <w:r w:rsidRPr="005F4143">
        <w:rPr>
          <w:rFonts w:cs="Arial"/>
        </w:rPr>
        <w:tab/>
      </w:r>
      <w:r w:rsidR="002A411C">
        <w:rPr>
          <w:rFonts w:cs="Arial"/>
        </w:rPr>
        <w:tab/>
      </w:r>
      <w:r w:rsidRPr="005F4143">
        <w:rPr>
          <w:rFonts w:cs="Arial"/>
        </w:rPr>
        <w:t>People living with HIV</w:t>
      </w:r>
    </w:p>
    <w:p w14:paraId="0F3243C6" w14:textId="77777777" w:rsidR="005C6E2A" w:rsidRPr="005F4143" w:rsidRDefault="005C6E2A" w:rsidP="002A411C">
      <w:pPr>
        <w:spacing w:line="276" w:lineRule="auto"/>
        <w:rPr>
          <w:rFonts w:cs="Arial"/>
        </w:rPr>
      </w:pPr>
      <w:r w:rsidRPr="005F4143">
        <w:rPr>
          <w:rFonts w:cs="Arial"/>
        </w:rPr>
        <w:t>PrEP</w:t>
      </w:r>
      <w:r w:rsidRPr="005F4143">
        <w:rPr>
          <w:rFonts w:cs="Arial"/>
        </w:rPr>
        <w:tab/>
      </w:r>
      <w:r w:rsidRPr="005F4143">
        <w:rPr>
          <w:rFonts w:cs="Arial"/>
        </w:rPr>
        <w:tab/>
        <w:t>Pre-exposure prophylaxis</w:t>
      </w:r>
    </w:p>
    <w:p w14:paraId="165ECBFD" w14:textId="77777777" w:rsidR="005C6E2A" w:rsidRPr="005F4143" w:rsidRDefault="005C6E2A" w:rsidP="002A411C">
      <w:pPr>
        <w:spacing w:line="276" w:lineRule="auto"/>
        <w:rPr>
          <w:rFonts w:cs="Arial"/>
        </w:rPr>
      </w:pPr>
      <w:r w:rsidRPr="005F4143">
        <w:rPr>
          <w:rFonts w:cs="Arial"/>
        </w:rPr>
        <w:t>PWID</w:t>
      </w:r>
      <w:r w:rsidRPr="005F4143">
        <w:rPr>
          <w:rFonts w:cs="Arial"/>
        </w:rPr>
        <w:tab/>
      </w:r>
      <w:r w:rsidRPr="005F4143">
        <w:rPr>
          <w:rFonts w:cs="Arial"/>
        </w:rPr>
        <w:tab/>
        <w:t>People who inject drugs</w:t>
      </w:r>
    </w:p>
    <w:p w14:paraId="74B0B5A3" w14:textId="7A04B132" w:rsidR="000611AB" w:rsidRPr="005F4143" w:rsidRDefault="000611AB" w:rsidP="002A411C">
      <w:pPr>
        <w:spacing w:line="276" w:lineRule="auto"/>
        <w:rPr>
          <w:rFonts w:cs="Arial"/>
        </w:rPr>
      </w:pPr>
      <w:r w:rsidRPr="005F4143">
        <w:rPr>
          <w:rFonts w:cs="Arial"/>
        </w:rPr>
        <w:t>RNA</w:t>
      </w:r>
      <w:r w:rsidRPr="005F4143">
        <w:rPr>
          <w:rFonts w:cs="Arial"/>
        </w:rPr>
        <w:tab/>
      </w:r>
      <w:r w:rsidRPr="005F4143">
        <w:rPr>
          <w:rFonts w:cs="Arial"/>
        </w:rPr>
        <w:tab/>
        <w:t>Ribonucleic acid</w:t>
      </w:r>
    </w:p>
    <w:p w14:paraId="4DC46035" w14:textId="77777777" w:rsidR="005C6E2A" w:rsidRPr="005F4143" w:rsidRDefault="005C6E2A" w:rsidP="002A411C">
      <w:pPr>
        <w:spacing w:line="276" w:lineRule="auto"/>
        <w:rPr>
          <w:rFonts w:cs="Arial"/>
        </w:rPr>
      </w:pPr>
      <w:r w:rsidRPr="005F4143">
        <w:rPr>
          <w:rFonts w:cs="Arial"/>
        </w:rPr>
        <w:t>STI</w:t>
      </w:r>
      <w:r w:rsidRPr="005F4143">
        <w:rPr>
          <w:rFonts w:cs="Arial"/>
        </w:rPr>
        <w:tab/>
      </w:r>
      <w:r w:rsidRPr="005F4143">
        <w:rPr>
          <w:rFonts w:cs="Arial"/>
        </w:rPr>
        <w:tab/>
        <w:t>Sexually transmissible infection</w:t>
      </w:r>
    </w:p>
    <w:p w14:paraId="1C5010B1" w14:textId="77777777" w:rsidR="00187D0B" w:rsidRDefault="005C6E2A" w:rsidP="002A411C">
      <w:pPr>
        <w:spacing w:line="276" w:lineRule="auto"/>
        <w:rPr>
          <w:rFonts w:cs="Arial"/>
        </w:rPr>
      </w:pPr>
      <w:r w:rsidRPr="005F4143">
        <w:rPr>
          <w:rFonts w:cs="Arial"/>
        </w:rPr>
        <w:t>VHHITAL</w:t>
      </w:r>
      <w:r w:rsidRPr="005F4143">
        <w:rPr>
          <w:rFonts w:cs="Arial"/>
        </w:rPr>
        <w:tab/>
        <w:t>Victorian HIV and Hepatitis Integrated Training and Learning</w:t>
      </w:r>
    </w:p>
    <w:p w14:paraId="31F976B5" w14:textId="33DD3EF4" w:rsidR="00C5230C" w:rsidRPr="005F4143" w:rsidRDefault="00C5230C" w:rsidP="002A411C">
      <w:pPr>
        <w:spacing w:line="276" w:lineRule="auto"/>
        <w:rPr>
          <w:rFonts w:cs="Arial"/>
        </w:rPr>
      </w:pPr>
      <w:r w:rsidRPr="005F4143">
        <w:rPr>
          <w:rFonts w:cs="Arial"/>
        </w:rPr>
        <w:t>VIDRL</w:t>
      </w:r>
      <w:r w:rsidRPr="005F4143">
        <w:rPr>
          <w:rFonts w:cs="Arial"/>
        </w:rPr>
        <w:tab/>
      </w:r>
      <w:r w:rsidR="002A411C">
        <w:rPr>
          <w:rFonts w:cs="Arial"/>
        </w:rPr>
        <w:tab/>
      </w:r>
      <w:r w:rsidRPr="005F4143">
        <w:rPr>
          <w:rFonts w:cs="Arial"/>
        </w:rPr>
        <w:t>Victorian Infectious Diseases Reference Laboratory</w:t>
      </w:r>
    </w:p>
    <w:p w14:paraId="316385E8" w14:textId="77777777" w:rsidR="0095007B" w:rsidRPr="005F4143" w:rsidRDefault="0095007B">
      <w:pPr>
        <w:spacing w:after="0" w:line="240" w:lineRule="auto"/>
        <w:rPr>
          <w:rFonts w:eastAsia="MS Gothic" w:cs="Arial"/>
          <w:bCs/>
          <w:color w:val="AF272F"/>
          <w:kern w:val="32"/>
          <w:sz w:val="44"/>
          <w:szCs w:val="44"/>
        </w:rPr>
      </w:pPr>
      <w:r w:rsidRPr="005F4143">
        <w:br w:type="page"/>
      </w:r>
    </w:p>
    <w:p w14:paraId="1483B658" w14:textId="1BA569F1" w:rsidR="0095007B" w:rsidRPr="005F4143" w:rsidRDefault="0095007B" w:rsidP="00BF1298">
      <w:pPr>
        <w:pStyle w:val="Heading1"/>
      </w:pPr>
      <w:bookmarkStart w:id="2" w:name="_Toc214457260"/>
      <w:r w:rsidRPr="005F4143">
        <w:lastRenderedPageBreak/>
        <w:t>Glossary of data sources</w:t>
      </w:r>
      <w:bookmarkEnd w:id="2"/>
    </w:p>
    <w:tbl>
      <w:tblPr>
        <w:tblStyle w:val="TableGrid"/>
        <w:tblW w:w="9634" w:type="dxa"/>
        <w:tblLook w:val="06A0" w:firstRow="1" w:lastRow="0" w:firstColumn="1" w:lastColumn="0" w:noHBand="1" w:noVBand="1"/>
      </w:tblPr>
      <w:tblGrid>
        <w:gridCol w:w="2245"/>
        <w:gridCol w:w="1980"/>
        <w:gridCol w:w="5409"/>
      </w:tblGrid>
      <w:tr w:rsidR="00B05501" w:rsidRPr="005F4143" w14:paraId="404BAE15" w14:textId="77777777" w:rsidTr="00D75979">
        <w:trPr>
          <w:tblHeader/>
        </w:trPr>
        <w:tc>
          <w:tcPr>
            <w:tcW w:w="2245" w:type="dxa"/>
          </w:tcPr>
          <w:p w14:paraId="454FF982" w14:textId="099DE7A5" w:rsidR="00AF1663" w:rsidRPr="005F4143" w:rsidRDefault="00AF1663">
            <w:pPr>
              <w:pStyle w:val="Tablecolhead"/>
            </w:pPr>
            <w:r w:rsidRPr="005F4143">
              <w:t>Data source</w:t>
            </w:r>
          </w:p>
        </w:tc>
        <w:tc>
          <w:tcPr>
            <w:tcW w:w="1980" w:type="dxa"/>
            <w:tcBorders>
              <w:bottom w:val="single" w:sz="4" w:space="0" w:color="auto"/>
            </w:tcBorders>
          </w:tcPr>
          <w:p w14:paraId="2823CBB7" w14:textId="385A75C9" w:rsidR="00AF1663" w:rsidRPr="005F4143" w:rsidRDefault="00AF1663">
            <w:pPr>
              <w:pStyle w:val="Tablecolhead"/>
            </w:pPr>
            <w:r w:rsidRPr="005F4143">
              <w:t>Custodian</w:t>
            </w:r>
          </w:p>
        </w:tc>
        <w:tc>
          <w:tcPr>
            <w:tcW w:w="5409" w:type="dxa"/>
          </w:tcPr>
          <w:p w14:paraId="354F5A65" w14:textId="0ADD1531" w:rsidR="00AF1663" w:rsidRPr="005F4143" w:rsidRDefault="00AF1663">
            <w:pPr>
              <w:pStyle w:val="Tablecolhead"/>
            </w:pPr>
            <w:r w:rsidRPr="005F4143">
              <w:t>Description</w:t>
            </w:r>
          </w:p>
        </w:tc>
      </w:tr>
      <w:tr w:rsidR="00B05501" w:rsidRPr="005F4143" w14:paraId="77BDE661" w14:textId="77777777" w:rsidTr="00D75979">
        <w:tc>
          <w:tcPr>
            <w:tcW w:w="2245" w:type="dxa"/>
          </w:tcPr>
          <w:p w14:paraId="326229DB" w14:textId="1E77B3DB" w:rsidR="00AF1663" w:rsidRPr="005F4143" w:rsidRDefault="005306A9">
            <w:pPr>
              <w:pStyle w:val="Tabletext"/>
            </w:pPr>
            <w:r w:rsidRPr="005F4143">
              <w:t>ACCESS</w:t>
            </w:r>
          </w:p>
        </w:tc>
        <w:tc>
          <w:tcPr>
            <w:tcW w:w="1980" w:type="dxa"/>
          </w:tcPr>
          <w:p w14:paraId="7AEC824F" w14:textId="0B6F55A6" w:rsidR="00AF1663" w:rsidRPr="005F4143" w:rsidRDefault="005306A9">
            <w:pPr>
              <w:pStyle w:val="Tabletext"/>
            </w:pPr>
            <w:r w:rsidRPr="005F4143">
              <w:t>Burnet Institute</w:t>
            </w:r>
          </w:p>
        </w:tc>
        <w:tc>
          <w:tcPr>
            <w:tcW w:w="5409" w:type="dxa"/>
          </w:tcPr>
          <w:p w14:paraId="6DA89736" w14:textId="00938626" w:rsidR="00AF1663" w:rsidRPr="005F4143" w:rsidRDefault="005306A9" w:rsidP="005306A9">
            <w:pPr>
              <w:pStyle w:val="Tablebullet1"/>
              <w:numPr>
                <w:ilvl w:val="0"/>
                <w:numId w:val="0"/>
              </w:numPr>
            </w:pPr>
            <w:r w:rsidRPr="005F4143">
              <w:t>The ACCESS project is a national health surveillance network of sexually transmissible infections (STI) and blood borne viruses (BBV)</w:t>
            </w:r>
            <w:r w:rsidR="0057412D" w:rsidRPr="005F4143">
              <w:t>. ACCESS extracts de-identified data from more than 100 sexual health clinics, general practices, hospitals, community health services and pathology laboratories across Australia.</w:t>
            </w:r>
            <w:r w:rsidR="00DA5571" w:rsidRPr="005F4143">
              <w:t xml:space="preserve"> Information on the number, type and </w:t>
            </w:r>
            <w:r w:rsidR="00774693" w:rsidRPr="005F4143">
              <w:t>distribution of sites across Victoria can be found at www.accessproject.org.au.</w:t>
            </w:r>
          </w:p>
        </w:tc>
      </w:tr>
      <w:tr w:rsidR="00B05501" w:rsidRPr="005F4143" w14:paraId="53F5D875" w14:textId="77777777" w:rsidTr="00D75979">
        <w:tc>
          <w:tcPr>
            <w:tcW w:w="2245" w:type="dxa"/>
          </w:tcPr>
          <w:p w14:paraId="053D4613" w14:textId="120E182B" w:rsidR="0057412D" w:rsidRPr="005F4143" w:rsidRDefault="003D5CE0">
            <w:pPr>
              <w:pStyle w:val="Tabletext"/>
            </w:pPr>
            <w:r w:rsidRPr="005F4143">
              <w:t>HEP-LOGIC</w:t>
            </w:r>
          </w:p>
        </w:tc>
        <w:tc>
          <w:tcPr>
            <w:tcW w:w="1980" w:type="dxa"/>
          </w:tcPr>
          <w:p w14:paraId="1AB5FE34" w14:textId="346B8F5F" w:rsidR="0057412D" w:rsidRPr="005F4143" w:rsidRDefault="00057554">
            <w:pPr>
              <w:pStyle w:val="Tabletext"/>
            </w:pPr>
            <w:r w:rsidRPr="005F4143">
              <w:t>Doherty Institute</w:t>
            </w:r>
          </w:p>
        </w:tc>
        <w:tc>
          <w:tcPr>
            <w:tcW w:w="5409" w:type="dxa"/>
          </w:tcPr>
          <w:p w14:paraId="52E5C650" w14:textId="1E6FCA85" w:rsidR="0057412D" w:rsidRPr="005F4143" w:rsidRDefault="00057554" w:rsidP="005306A9">
            <w:pPr>
              <w:pStyle w:val="Tablebullet1"/>
              <w:numPr>
                <w:ilvl w:val="0"/>
                <w:numId w:val="0"/>
              </w:numPr>
            </w:pPr>
            <w:r w:rsidRPr="005F4143">
              <w:t xml:space="preserve">This project assesses </w:t>
            </w:r>
            <w:r w:rsidR="00C5230C" w:rsidRPr="005F4143">
              <w:t xml:space="preserve">viral hepatitis </w:t>
            </w:r>
            <w:r w:rsidRPr="005F4143">
              <w:t xml:space="preserve">testing coverage using electronic medical records in a network of over 400 primary care clinics in Victoria, in the Eastern Melbourne, </w:t>
            </w:r>
            <w:proofErr w:type="gramStart"/>
            <w:r w:rsidRPr="005F4143">
              <w:t>South Eastern</w:t>
            </w:r>
            <w:proofErr w:type="gramEnd"/>
            <w:r w:rsidRPr="005F4143">
              <w:t xml:space="preserve"> Melbourne, and Gippsland Primary Health Networks.</w:t>
            </w:r>
          </w:p>
        </w:tc>
      </w:tr>
      <w:tr w:rsidR="00B05501" w:rsidRPr="005F4143" w14:paraId="0E57EA4A" w14:textId="77777777" w:rsidTr="00D75979">
        <w:tc>
          <w:tcPr>
            <w:tcW w:w="2245" w:type="dxa"/>
          </w:tcPr>
          <w:p w14:paraId="088E9399" w14:textId="188EF797" w:rsidR="00057554" w:rsidRPr="005F4143" w:rsidRDefault="00057554" w:rsidP="00057554">
            <w:pPr>
              <w:pStyle w:val="Tabletext"/>
            </w:pPr>
            <w:r w:rsidRPr="005F4143">
              <w:t>Liver Cancer Linkage Project</w:t>
            </w:r>
          </w:p>
        </w:tc>
        <w:tc>
          <w:tcPr>
            <w:tcW w:w="1980" w:type="dxa"/>
          </w:tcPr>
          <w:p w14:paraId="60C11971" w14:textId="77777777" w:rsidR="00057554" w:rsidRPr="005F4143" w:rsidRDefault="00057554" w:rsidP="00057554">
            <w:pPr>
              <w:pStyle w:val="Tabletext"/>
            </w:pPr>
            <w:r w:rsidRPr="005F4143">
              <w:t>Doherty Institute</w:t>
            </w:r>
          </w:p>
        </w:tc>
        <w:tc>
          <w:tcPr>
            <w:tcW w:w="5409" w:type="dxa"/>
          </w:tcPr>
          <w:p w14:paraId="6AF9DB1D" w14:textId="58F9F85A" w:rsidR="00057554" w:rsidRPr="005F4143" w:rsidRDefault="00057554" w:rsidP="00057554">
            <w:pPr>
              <w:pStyle w:val="Tablebullet1"/>
              <w:numPr>
                <w:ilvl w:val="0"/>
                <w:numId w:val="0"/>
              </w:numPr>
            </w:pPr>
            <w:r w:rsidRPr="005F4143">
              <w:t>This project generates estimates of hepatitis B adverse outcomes through linkage of notifications with cancer and hospitalisations datasets.</w:t>
            </w:r>
          </w:p>
        </w:tc>
      </w:tr>
      <w:tr w:rsidR="00A34592" w:rsidRPr="005F4143" w14:paraId="72AAD969" w14:textId="77777777" w:rsidTr="00D75979">
        <w:tc>
          <w:tcPr>
            <w:tcW w:w="2245" w:type="dxa"/>
          </w:tcPr>
          <w:p w14:paraId="7D6BDE70" w14:textId="2288558C" w:rsidR="00A34592" w:rsidRPr="005F4143" w:rsidRDefault="00A34592" w:rsidP="00C5230C">
            <w:pPr>
              <w:pStyle w:val="Tabletext"/>
            </w:pPr>
            <w:r w:rsidRPr="005F4143">
              <w:t>Medicare Benefits Scheme</w:t>
            </w:r>
          </w:p>
        </w:tc>
        <w:tc>
          <w:tcPr>
            <w:tcW w:w="1980" w:type="dxa"/>
          </w:tcPr>
          <w:p w14:paraId="2E417B8E" w14:textId="2489461B" w:rsidR="00A34592" w:rsidRPr="005F4143" w:rsidRDefault="00A34592" w:rsidP="00C5230C">
            <w:pPr>
              <w:pStyle w:val="Tabletext"/>
            </w:pPr>
            <w:r w:rsidRPr="005F4143">
              <w:t>Australian Government, Department of Health</w:t>
            </w:r>
          </w:p>
        </w:tc>
        <w:tc>
          <w:tcPr>
            <w:tcW w:w="5409" w:type="dxa"/>
          </w:tcPr>
          <w:p w14:paraId="212DBCA5" w14:textId="30C6A18F" w:rsidR="00A34592" w:rsidRPr="005F4143" w:rsidRDefault="00A34592" w:rsidP="00C5230C">
            <w:pPr>
              <w:pStyle w:val="Tablebullet1"/>
              <w:numPr>
                <w:ilvl w:val="0"/>
                <w:numId w:val="0"/>
              </w:numPr>
            </w:pPr>
            <w:r w:rsidRPr="005F4143">
              <w:t>Data regarding Medicare billed tests can be extracted according to relevant Medicare billing item numbers.</w:t>
            </w:r>
          </w:p>
        </w:tc>
      </w:tr>
      <w:tr w:rsidR="00104DAD" w:rsidRPr="005F4143" w14:paraId="3F5AD5F0" w14:textId="77777777" w:rsidTr="00D75979">
        <w:tc>
          <w:tcPr>
            <w:tcW w:w="2245" w:type="dxa"/>
          </w:tcPr>
          <w:p w14:paraId="29A55145" w14:textId="0DEB4B15" w:rsidR="00104DAD" w:rsidRPr="005F4143" w:rsidRDefault="00104DAD" w:rsidP="0096720B">
            <w:pPr>
              <w:pStyle w:val="Tabletext"/>
            </w:pPr>
            <w:r w:rsidRPr="005F4143">
              <w:t>Melbourne Gay Community Period</w:t>
            </w:r>
            <w:r w:rsidR="1BA7A64C" w:rsidRPr="005F4143">
              <w:t>ic</w:t>
            </w:r>
            <w:r w:rsidRPr="005F4143">
              <w:t xml:space="preserve"> Survey</w:t>
            </w:r>
          </w:p>
        </w:tc>
        <w:tc>
          <w:tcPr>
            <w:tcW w:w="1980" w:type="dxa"/>
          </w:tcPr>
          <w:p w14:paraId="462B828E" w14:textId="082EEF61" w:rsidR="00104DAD" w:rsidRPr="005F4143" w:rsidRDefault="00C01897" w:rsidP="0096720B">
            <w:pPr>
              <w:pStyle w:val="Tabletext"/>
            </w:pPr>
            <w:r w:rsidRPr="005F4143">
              <w:t>CSRH, UNSW</w:t>
            </w:r>
          </w:p>
        </w:tc>
        <w:tc>
          <w:tcPr>
            <w:tcW w:w="5409" w:type="dxa"/>
          </w:tcPr>
          <w:p w14:paraId="0E3C6E29" w14:textId="3DDC73E9" w:rsidR="00104DAD" w:rsidRPr="005F4143" w:rsidRDefault="009C6CB1" w:rsidP="0096720B">
            <w:pPr>
              <w:pStyle w:val="Tablebullet1"/>
              <w:numPr>
                <w:ilvl w:val="0"/>
                <w:numId w:val="0"/>
              </w:numPr>
            </w:pPr>
            <w:r w:rsidRPr="005F4143">
              <w:t>The Melbourne Gay Community Periodic Surveys (MGCPS) are repeated, cross-sectional surveys of gay men conducted in metropolitan Melbourne and online. They are a key part of Australia’s behavioural surveillance system for HIV, monitoring sexual practices, drug use and patterns of testing for HIV and other STI.</w:t>
            </w:r>
          </w:p>
        </w:tc>
      </w:tr>
      <w:tr w:rsidR="00B05501" w:rsidRPr="005F4143" w14:paraId="3E533A73" w14:textId="77777777" w:rsidTr="00D75979">
        <w:tc>
          <w:tcPr>
            <w:tcW w:w="2245" w:type="dxa"/>
          </w:tcPr>
          <w:p w14:paraId="271E75C0" w14:textId="3D0D1E42" w:rsidR="0096720B" w:rsidRPr="005F4143" w:rsidRDefault="0096720B" w:rsidP="0096720B">
            <w:pPr>
              <w:pStyle w:val="Tabletext"/>
            </w:pPr>
            <w:r w:rsidRPr="005F4143">
              <w:t>National Surveillance for Hepatitis B Indicators Project</w:t>
            </w:r>
          </w:p>
        </w:tc>
        <w:tc>
          <w:tcPr>
            <w:tcW w:w="1980" w:type="dxa"/>
          </w:tcPr>
          <w:p w14:paraId="5698052A" w14:textId="2F8C13AB" w:rsidR="0096720B" w:rsidRPr="005F4143" w:rsidRDefault="0096720B" w:rsidP="0096720B">
            <w:pPr>
              <w:pStyle w:val="Tabletext"/>
            </w:pPr>
            <w:r w:rsidRPr="005F4143">
              <w:t>Doherty Institute</w:t>
            </w:r>
          </w:p>
        </w:tc>
        <w:tc>
          <w:tcPr>
            <w:tcW w:w="5409" w:type="dxa"/>
          </w:tcPr>
          <w:p w14:paraId="210B01DD" w14:textId="517E21CA" w:rsidR="0096720B" w:rsidRPr="005F4143" w:rsidRDefault="0096720B" w:rsidP="0096720B">
            <w:pPr>
              <w:pStyle w:val="Tablebullet1"/>
              <w:numPr>
                <w:ilvl w:val="0"/>
                <w:numId w:val="0"/>
              </w:numPr>
            </w:pPr>
            <w:r w:rsidRPr="005F4143">
              <w:t>This project generates estimates of chronic hepatitis B prevalence, incidence and attributable mortality using a mathematical model incorporating natural history, immunisation, migration, births/deaths, and demographic and prevalence variation.</w:t>
            </w:r>
          </w:p>
        </w:tc>
      </w:tr>
      <w:tr w:rsidR="00B05501" w:rsidRPr="005F4143" w14:paraId="7C3E9067" w14:textId="77777777" w:rsidTr="00D75979">
        <w:tc>
          <w:tcPr>
            <w:tcW w:w="2245" w:type="dxa"/>
          </w:tcPr>
          <w:p w14:paraId="05F12E77" w14:textId="74270279" w:rsidR="0096720B" w:rsidRPr="005F4143" w:rsidRDefault="0096720B" w:rsidP="0096720B">
            <w:pPr>
              <w:pStyle w:val="Tabletext"/>
            </w:pPr>
            <w:r w:rsidRPr="005F4143">
              <w:t>National Viral Hepatitis Mapping Project</w:t>
            </w:r>
          </w:p>
        </w:tc>
        <w:tc>
          <w:tcPr>
            <w:tcW w:w="1980" w:type="dxa"/>
          </w:tcPr>
          <w:p w14:paraId="109038F1" w14:textId="628337EB" w:rsidR="0096720B" w:rsidRPr="005F4143" w:rsidRDefault="0096720B" w:rsidP="0096720B">
            <w:pPr>
              <w:pStyle w:val="Tabletext"/>
            </w:pPr>
            <w:r w:rsidRPr="005F4143">
              <w:t>Doherty Institute</w:t>
            </w:r>
          </w:p>
        </w:tc>
        <w:tc>
          <w:tcPr>
            <w:tcW w:w="5409" w:type="dxa"/>
          </w:tcPr>
          <w:p w14:paraId="07E52163" w14:textId="4D32ED71" w:rsidR="0096720B" w:rsidRPr="005F4143" w:rsidRDefault="008A0416" w:rsidP="0096720B">
            <w:pPr>
              <w:pStyle w:val="Tablebullet1"/>
              <w:numPr>
                <w:ilvl w:val="0"/>
                <w:numId w:val="0"/>
              </w:numPr>
            </w:pPr>
            <w:r w:rsidRPr="005F4143">
              <w:t>This project generates estimates of the uptake of hepatitis B and hepatitis C treatment and monitoring using Medicare data.</w:t>
            </w:r>
          </w:p>
        </w:tc>
      </w:tr>
      <w:tr w:rsidR="00B05501" w:rsidRPr="005F4143" w14:paraId="009C606D" w14:textId="77777777" w:rsidTr="00D75979">
        <w:tc>
          <w:tcPr>
            <w:tcW w:w="2245" w:type="dxa"/>
          </w:tcPr>
          <w:p w14:paraId="141E4FD3" w14:textId="3579C7A2" w:rsidR="004513D5" w:rsidRPr="005F4143" w:rsidRDefault="004513D5" w:rsidP="0096720B">
            <w:pPr>
              <w:pStyle w:val="Tabletext"/>
            </w:pPr>
            <w:r w:rsidRPr="005F4143">
              <w:t>PHESS</w:t>
            </w:r>
          </w:p>
        </w:tc>
        <w:tc>
          <w:tcPr>
            <w:tcW w:w="1980" w:type="dxa"/>
          </w:tcPr>
          <w:p w14:paraId="69E91B4E" w14:textId="580BD58D" w:rsidR="004513D5" w:rsidRPr="005F4143" w:rsidRDefault="004513D5" w:rsidP="0096720B">
            <w:pPr>
              <w:pStyle w:val="Tabletext"/>
            </w:pPr>
            <w:r w:rsidRPr="005F4143">
              <w:t>DH</w:t>
            </w:r>
          </w:p>
        </w:tc>
        <w:tc>
          <w:tcPr>
            <w:tcW w:w="5409" w:type="dxa"/>
          </w:tcPr>
          <w:p w14:paraId="2EC96E62" w14:textId="1F44F737" w:rsidR="004513D5" w:rsidRPr="005F4143" w:rsidRDefault="00B05501" w:rsidP="0096720B">
            <w:pPr>
              <w:pStyle w:val="Tablebullet1"/>
              <w:numPr>
                <w:ilvl w:val="0"/>
                <w:numId w:val="0"/>
              </w:numPr>
            </w:pPr>
            <w:r w:rsidRPr="005F4143">
              <w:t>The Public Health Event Surveillance System collects data from all notifiable conditions, including BBV and STI.</w:t>
            </w:r>
          </w:p>
        </w:tc>
      </w:tr>
      <w:tr w:rsidR="00D75979" w:rsidRPr="005F4143" w14:paraId="6F61E52C" w14:textId="77777777" w:rsidTr="00D75979">
        <w:tc>
          <w:tcPr>
            <w:tcW w:w="2245" w:type="dxa"/>
          </w:tcPr>
          <w:p w14:paraId="68733073" w14:textId="173FDC5B" w:rsidR="00D75979" w:rsidRPr="005F4143" w:rsidRDefault="00D75979" w:rsidP="00D75979">
            <w:pPr>
              <w:pStyle w:val="Tabletext"/>
            </w:pPr>
            <w:r w:rsidRPr="005F4143">
              <w:t>Stigma Indicators Monitoring Project</w:t>
            </w:r>
          </w:p>
        </w:tc>
        <w:tc>
          <w:tcPr>
            <w:tcW w:w="1980" w:type="dxa"/>
          </w:tcPr>
          <w:p w14:paraId="26169953" w14:textId="5A4A8894" w:rsidR="00D75979" w:rsidRPr="005F4143" w:rsidRDefault="00D75979" w:rsidP="00D75979">
            <w:pPr>
              <w:pStyle w:val="Tabletext"/>
            </w:pPr>
            <w:r w:rsidRPr="005F4143">
              <w:t>CSRH</w:t>
            </w:r>
          </w:p>
        </w:tc>
        <w:tc>
          <w:tcPr>
            <w:tcW w:w="5409" w:type="dxa"/>
          </w:tcPr>
          <w:p w14:paraId="4C04CE0F" w14:textId="1A7800DA" w:rsidR="00D75979" w:rsidRPr="005F4143" w:rsidRDefault="00967983" w:rsidP="00967983">
            <w:r w:rsidRPr="005F4143">
              <w:t xml:space="preserve">This study aims to </w:t>
            </w:r>
            <w:r w:rsidR="00406D94" w:rsidRPr="005F4143">
              <w:t>monitor</w:t>
            </w:r>
            <w:r w:rsidRPr="005F4143">
              <w:t xml:space="preserve"> </w:t>
            </w:r>
            <w:r w:rsidR="00406D94" w:rsidRPr="005F4143">
              <w:t>ind</w:t>
            </w:r>
            <w:r w:rsidRPr="005F4143">
              <w:t>icator</w:t>
            </w:r>
            <w:r w:rsidR="00406D94" w:rsidRPr="005F4143">
              <w:t>s</w:t>
            </w:r>
            <w:r w:rsidRPr="005F4143">
              <w:t xml:space="preserve"> of stigma among priority groups identified by the five national strategies addressing </w:t>
            </w:r>
            <w:r w:rsidR="00406D94" w:rsidRPr="005F4143">
              <w:t>BBV and STI</w:t>
            </w:r>
            <w:r w:rsidRPr="005F4143">
              <w:t xml:space="preserve">, including men who have sex with men, people who inject drugs, people living with HIV, people living with viral hepatitis (B and C) and people who engage in sex work. The indicator </w:t>
            </w:r>
            <w:r w:rsidR="00406D94" w:rsidRPr="005F4143">
              <w:t>is</w:t>
            </w:r>
            <w:r w:rsidRPr="005F4143">
              <w:t xml:space="preserve"> included in existing routine surveys of people who inject drugs and men who have sex with men, and in new </w:t>
            </w:r>
            <w:r w:rsidRPr="005F4143">
              <w:lastRenderedPageBreak/>
              <w:t xml:space="preserve">surveys of people living with HIV and hepatitis C. A survey of health care providers </w:t>
            </w:r>
            <w:r w:rsidR="00406D94" w:rsidRPr="005F4143">
              <w:t>provides a measure to</w:t>
            </w:r>
            <w:r w:rsidRPr="005F4143">
              <w:t xml:space="preserve"> monitor the expression of stigma.</w:t>
            </w:r>
          </w:p>
        </w:tc>
      </w:tr>
      <w:tr w:rsidR="00D75979" w:rsidRPr="005F4143" w14:paraId="38897C73" w14:textId="77777777" w:rsidTr="00D75979">
        <w:tc>
          <w:tcPr>
            <w:tcW w:w="2245" w:type="dxa"/>
          </w:tcPr>
          <w:p w14:paraId="65CC06E7" w14:textId="2BAB5A17" w:rsidR="00D75979" w:rsidRPr="005F4143" w:rsidRDefault="00D75979" w:rsidP="00D75979">
            <w:pPr>
              <w:pStyle w:val="Tabletext"/>
            </w:pPr>
            <w:r w:rsidRPr="005F4143">
              <w:t>SuperMIX</w:t>
            </w:r>
          </w:p>
        </w:tc>
        <w:tc>
          <w:tcPr>
            <w:tcW w:w="1980" w:type="dxa"/>
          </w:tcPr>
          <w:p w14:paraId="5F31B08C" w14:textId="20923BD3" w:rsidR="00D75979" w:rsidRPr="005F4143" w:rsidRDefault="00D75979" w:rsidP="00D75979">
            <w:pPr>
              <w:pStyle w:val="Tabletext"/>
            </w:pPr>
            <w:r w:rsidRPr="005F4143">
              <w:t>Burnet Institute</w:t>
            </w:r>
          </w:p>
        </w:tc>
        <w:tc>
          <w:tcPr>
            <w:tcW w:w="5409" w:type="dxa"/>
          </w:tcPr>
          <w:p w14:paraId="104EC287" w14:textId="3A3B8E45" w:rsidR="00D75979" w:rsidRPr="005F4143" w:rsidRDefault="00D75979" w:rsidP="00D75979">
            <w:pPr>
              <w:pStyle w:val="Tablebullet1"/>
              <w:numPr>
                <w:ilvl w:val="0"/>
                <w:numId w:val="0"/>
              </w:numPr>
            </w:pPr>
            <w:r w:rsidRPr="005F4143">
              <w:t xml:space="preserve">SuperMIX is a cohort of people who inject drugs (PWID) that has been running in various forms at the Burnet Institute since 2008. </w:t>
            </w:r>
            <w:r w:rsidRPr="005F4143">
              <w:rPr>
                <w:rFonts w:ascii="Helvetica" w:hAnsi="Helvetica"/>
                <w:color w:val="3C3C3C"/>
                <w:shd w:val="clear" w:color="auto" w:fill="FFFFFF"/>
              </w:rPr>
              <w:t>It provides important information about how injecting drug use evolves over time, focused on periods during which cohort members cease injecting drug use and if they subsequently relapse and the drivers of this cessation and relapse.</w:t>
            </w:r>
          </w:p>
        </w:tc>
      </w:tr>
    </w:tbl>
    <w:p w14:paraId="3348822C" w14:textId="2D363B0A" w:rsidR="001A1265" w:rsidRPr="005F4143" w:rsidRDefault="001A1265" w:rsidP="00BF1298">
      <w:pPr>
        <w:pStyle w:val="Heading1"/>
      </w:pPr>
      <w:r w:rsidRPr="005F4143">
        <w:br w:type="page"/>
      </w:r>
    </w:p>
    <w:p w14:paraId="1DDE73BD" w14:textId="037F6D19" w:rsidR="00071E59" w:rsidRPr="005F4143" w:rsidRDefault="00071E59" w:rsidP="00071E59">
      <w:pPr>
        <w:pStyle w:val="Heading1"/>
      </w:pPr>
      <w:bookmarkStart w:id="3" w:name="_Toc214457261"/>
      <w:r w:rsidRPr="005F4143">
        <w:lastRenderedPageBreak/>
        <w:t>Indicator List</w:t>
      </w:r>
      <w:bookmarkEnd w:id="3"/>
    </w:p>
    <w:p w14:paraId="717A7535" w14:textId="398C9900" w:rsidR="00E54C99" w:rsidRDefault="0052674D">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r w:rsidRPr="005F4143">
        <w:fldChar w:fldCharType="begin"/>
      </w:r>
      <w:r w:rsidRPr="005F4143">
        <w:instrText xml:space="preserve"> TOC \h \z \c "Table" </w:instrText>
      </w:r>
      <w:r w:rsidRPr="005F4143">
        <w:fldChar w:fldCharType="separate"/>
      </w:r>
      <w:hyperlink w:anchor="_Toc214457300" w:history="1">
        <w:r w:rsidR="00E54C99" w:rsidRPr="00831657">
          <w:rPr>
            <w:rStyle w:val="Hyperlink"/>
            <w:rFonts w:eastAsia="MS Gothic"/>
            <w:noProof/>
          </w:rPr>
          <w:t>1. Annual rate of newly acquired hepatitis B</w:t>
        </w:r>
        <w:r w:rsidR="00E54C99">
          <w:rPr>
            <w:noProof/>
            <w:webHidden/>
          </w:rPr>
          <w:tab/>
        </w:r>
        <w:r w:rsidR="00E54C99">
          <w:rPr>
            <w:noProof/>
            <w:webHidden/>
          </w:rPr>
          <w:fldChar w:fldCharType="begin"/>
        </w:r>
        <w:r w:rsidR="00E54C99">
          <w:rPr>
            <w:noProof/>
            <w:webHidden/>
          </w:rPr>
          <w:instrText xml:space="preserve"> PAGEREF _Toc214457300 \h </w:instrText>
        </w:r>
        <w:r w:rsidR="00E54C99">
          <w:rPr>
            <w:noProof/>
            <w:webHidden/>
          </w:rPr>
        </w:r>
        <w:r w:rsidR="00E54C99">
          <w:rPr>
            <w:noProof/>
            <w:webHidden/>
          </w:rPr>
          <w:fldChar w:fldCharType="separate"/>
        </w:r>
        <w:r w:rsidR="00670632">
          <w:rPr>
            <w:noProof/>
            <w:webHidden/>
          </w:rPr>
          <w:t>12</w:t>
        </w:r>
        <w:r w:rsidR="00E54C99">
          <w:rPr>
            <w:noProof/>
            <w:webHidden/>
          </w:rPr>
          <w:fldChar w:fldCharType="end"/>
        </w:r>
      </w:hyperlink>
    </w:p>
    <w:p w14:paraId="01EF7336" w14:textId="7972AAC4"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01" w:history="1">
        <w:r w:rsidRPr="00831657">
          <w:rPr>
            <w:rStyle w:val="Hyperlink"/>
            <w:rFonts w:eastAsia="MS Gothic"/>
            <w:noProof/>
          </w:rPr>
          <w:t>19. Annual rate of newly acquired hepatitis C</w:t>
        </w:r>
        <w:r>
          <w:rPr>
            <w:noProof/>
            <w:webHidden/>
          </w:rPr>
          <w:tab/>
        </w:r>
        <w:r>
          <w:rPr>
            <w:noProof/>
            <w:webHidden/>
          </w:rPr>
          <w:fldChar w:fldCharType="begin"/>
        </w:r>
        <w:r>
          <w:rPr>
            <w:noProof/>
            <w:webHidden/>
          </w:rPr>
          <w:instrText xml:space="preserve"> PAGEREF _Toc214457301 \h </w:instrText>
        </w:r>
        <w:r>
          <w:rPr>
            <w:noProof/>
            <w:webHidden/>
          </w:rPr>
        </w:r>
        <w:r>
          <w:rPr>
            <w:noProof/>
            <w:webHidden/>
          </w:rPr>
          <w:fldChar w:fldCharType="separate"/>
        </w:r>
        <w:r w:rsidR="00670632">
          <w:rPr>
            <w:noProof/>
            <w:webHidden/>
          </w:rPr>
          <w:t>15</w:t>
        </w:r>
        <w:r>
          <w:rPr>
            <w:noProof/>
            <w:webHidden/>
          </w:rPr>
          <w:fldChar w:fldCharType="end"/>
        </w:r>
      </w:hyperlink>
    </w:p>
    <w:p w14:paraId="5A2382F5" w14:textId="1CD3BC91"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02" w:history="1">
        <w:r w:rsidRPr="00831657">
          <w:rPr>
            <w:rStyle w:val="Hyperlink"/>
            <w:rFonts w:eastAsia="MS Gothic"/>
            <w:noProof/>
          </w:rPr>
          <w:t>20. Annual rate of all new hepatitis C cases</w:t>
        </w:r>
        <w:r>
          <w:rPr>
            <w:noProof/>
            <w:webHidden/>
          </w:rPr>
          <w:tab/>
        </w:r>
        <w:r>
          <w:rPr>
            <w:noProof/>
            <w:webHidden/>
          </w:rPr>
          <w:fldChar w:fldCharType="begin"/>
        </w:r>
        <w:r>
          <w:rPr>
            <w:noProof/>
            <w:webHidden/>
          </w:rPr>
          <w:instrText xml:space="preserve"> PAGEREF _Toc214457302 \h </w:instrText>
        </w:r>
        <w:r>
          <w:rPr>
            <w:noProof/>
            <w:webHidden/>
          </w:rPr>
        </w:r>
        <w:r>
          <w:rPr>
            <w:noProof/>
            <w:webHidden/>
          </w:rPr>
          <w:fldChar w:fldCharType="separate"/>
        </w:r>
        <w:r w:rsidR="00670632">
          <w:rPr>
            <w:noProof/>
            <w:webHidden/>
          </w:rPr>
          <w:t>15</w:t>
        </w:r>
        <w:r>
          <w:rPr>
            <w:noProof/>
            <w:webHidden/>
          </w:rPr>
          <w:fldChar w:fldCharType="end"/>
        </w:r>
      </w:hyperlink>
    </w:p>
    <w:p w14:paraId="1F63CE85" w14:textId="4D743F00"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03" w:history="1">
        <w:r w:rsidRPr="00831657">
          <w:rPr>
            <w:rStyle w:val="Hyperlink"/>
            <w:rFonts w:eastAsia="MS Gothic"/>
            <w:noProof/>
          </w:rPr>
          <w:t>28. Proportion of people in high caseload settings who have been tested for hepatitis C</w:t>
        </w:r>
        <w:r>
          <w:rPr>
            <w:noProof/>
            <w:webHidden/>
          </w:rPr>
          <w:tab/>
        </w:r>
        <w:r>
          <w:rPr>
            <w:noProof/>
            <w:webHidden/>
          </w:rPr>
          <w:fldChar w:fldCharType="begin"/>
        </w:r>
        <w:r>
          <w:rPr>
            <w:noProof/>
            <w:webHidden/>
          </w:rPr>
          <w:instrText xml:space="preserve"> PAGEREF _Toc214457303 \h </w:instrText>
        </w:r>
        <w:r>
          <w:rPr>
            <w:noProof/>
            <w:webHidden/>
          </w:rPr>
        </w:r>
        <w:r>
          <w:rPr>
            <w:noProof/>
            <w:webHidden/>
          </w:rPr>
          <w:fldChar w:fldCharType="separate"/>
        </w:r>
        <w:r w:rsidR="00670632">
          <w:rPr>
            <w:noProof/>
            <w:webHidden/>
          </w:rPr>
          <w:t>16</w:t>
        </w:r>
        <w:r>
          <w:rPr>
            <w:noProof/>
            <w:webHidden/>
          </w:rPr>
          <w:fldChar w:fldCharType="end"/>
        </w:r>
      </w:hyperlink>
    </w:p>
    <w:p w14:paraId="52F682CE" w14:textId="7B074A94"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04" w:history="1">
        <w:r w:rsidRPr="00831657">
          <w:rPr>
            <w:rStyle w:val="Hyperlink"/>
            <w:rFonts w:eastAsia="MS Gothic"/>
            <w:noProof/>
          </w:rPr>
          <w:t>45. Annual rate of newly acquired HIV</w:t>
        </w:r>
        <w:r>
          <w:rPr>
            <w:noProof/>
            <w:webHidden/>
          </w:rPr>
          <w:tab/>
        </w:r>
        <w:r>
          <w:rPr>
            <w:noProof/>
            <w:webHidden/>
          </w:rPr>
          <w:fldChar w:fldCharType="begin"/>
        </w:r>
        <w:r>
          <w:rPr>
            <w:noProof/>
            <w:webHidden/>
          </w:rPr>
          <w:instrText xml:space="preserve"> PAGEREF _Toc214457304 \h </w:instrText>
        </w:r>
        <w:r>
          <w:rPr>
            <w:noProof/>
            <w:webHidden/>
          </w:rPr>
        </w:r>
        <w:r>
          <w:rPr>
            <w:noProof/>
            <w:webHidden/>
          </w:rPr>
          <w:fldChar w:fldCharType="separate"/>
        </w:r>
        <w:r w:rsidR="00670632">
          <w:rPr>
            <w:noProof/>
            <w:webHidden/>
          </w:rPr>
          <w:t>19</w:t>
        </w:r>
        <w:r>
          <w:rPr>
            <w:noProof/>
            <w:webHidden/>
          </w:rPr>
          <w:fldChar w:fldCharType="end"/>
        </w:r>
      </w:hyperlink>
    </w:p>
    <w:p w14:paraId="56050568" w14:textId="5F9AF37F"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05" w:history="1">
        <w:r w:rsidRPr="00831657">
          <w:rPr>
            <w:rStyle w:val="Hyperlink"/>
            <w:rFonts w:eastAsia="MS Gothic"/>
            <w:noProof/>
          </w:rPr>
          <w:t>46. Annual rate of all new HIV notifications (including unspecified cases)</w:t>
        </w:r>
        <w:r>
          <w:rPr>
            <w:noProof/>
            <w:webHidden/>
          </w:rPr>
          <w:tab/>
        </w:r>
        <w:r>
          <w:rPr>
            <w:noProof/>
            <w:webHidden/>
          </w:rPr>
          <w:fldChar w:fldCharType="begin"/>
        </w:r>
        <w:r>
          <w:rPr>
            <w:noProof/>
            <w:webHidden/>
          </w:rPr>
          <w:instrText xml:space="preserve"> PAGEREF _Toc214457305 \h </w:instrText>
        </w:r>
        <w:r>
          <w:rPr>
            <w:noProof/>
            <w:webHidden/>
          </w:rPr>
        </w:r>
        <w:r>
          <w:rPr>
            <w:noProof/>
            <w:webHidden/>
          </w:rPr>
          <w:fldChar w:fldCharType="separate"/>
        </w:r>
        <w:r w:rsidR="00670632">
          <w:rPr>
            <w:noProof/>
            <w:webHidden/>
          </w:rPr>
          <w:t>19</w:t>
        </w:r>
        <w:r>
          <w:rPr>
            <w:noProof/>
            <w:webHidden/>
          </w:rPr>
          <w:fldChar w:fldCharType="end"/>
        </w:r>
      </w:hyperlink>
    </w:p>
    <w:p w14:paraId="19AD4831" w14:textId="74736E08"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06" w:history="1">
        <w:r w:rsidRPr="00831657">
          <w:rPr>
            <w:rStyle w:val="Hyperlink"/>
            <w:rFonts w:eastAsia="MS Gothic"/>
            <w:noProof/>
          </w:rPr>
          <w:t>52. Number of people using PrEP</w:t>
        </w:r>
        <w:r>
          <w:rPr>
            <w:noProof/>
            <w:webHidden/>
          </w:rPr>
          <w:tab/>
        </w:r>
        <w:r>
          <w:rPr>
            <w:noProof/>
            <w:webHidden/>
          </w:rPr>
          <w:fldChar w:fldCharType="begin"/>
        </w:r>
        <w:r>
          <w:rPr>
            <w:noProof/>
            <w:webHidden/>
          </w:rPr>
          <w:instrText xml:space="preserve"> PAGEREF _Toc214457306 \h </w:instrText>
        </w:r>
        <w:r>
          <w:rPr>
            <w:noProof/>
            <w:webHidden/>
          </w:rPr>
        </w:r>
        <w:r>
          <w:rPr>
            <w:noProof/>
            <w:webHidden/>
          </w:rPr>
          <w:fldChar w:fldCharType="separate"/>
        </w:r>
        <w:r w:rsidR="00670632">
          <w:rPr>
            <w:noProof/>
            <w:webHidden/>
          </w:rPr>
          <w:t>19</w:t>
        </w:r>
        <w:r>
          <w:rPr>
            <w:noProof/>
            <w:webHidden/>
          </w:rPr>
          <w:fldChar w:fldCharType="end"/>
        </w:r>
      </w:hyperlink>
    </w:p>
    <w:p w14:paraId="27B73860" w14:textId="43554C56"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07" w:history="1">
        <w:r w:rsidRPr="00831657">
          <w:rPr>
            <w:rStyle w:val="Hyperlink"/>
            <w:rFonts w:eastAsia="MS Gothic"/>
            <w:noProof/>
          </w:rPr>
          <w:t>53. Proportion of people using PrEP</w:t>
        </w:r>
        <w:r>
          <w:rPr>
            <w:noProof/>
            <w:webHidden/>
          </w:rPr>
          <w:tab/>
        </w:r>
        <w:r>
          <w:rPr>
            <w:noProof/>
            <w:webHidden/>
          </w:rPr>
          <w:fldChar w:fldCharType="begin"/>
        </w:r>
        <w:r>
          <w:rPr>
            <w:noProof/>
            <w:webHidden/>
          </w:rPr>
          <w:instrText xml:space="preserve"> PAGEREF _Toc214457307 \h </w:instrText>
        </w:r>
        <w:r>
          <w:rPr>
            <w:noProof/>
            <w:webHidden/>
          </w:rPr>
        </w:r>
        <w:r>
          <w:rPr>
            <w:noProof/>
            <w:webHidden/>
          </w:rPr>
          <w:fldChar w:fldCharType="separate"/>
        </w:r>
        <w:r w:rsidR="00670632">
          <w:rPr>
            <w:noProof/>
            <w:webHidden/>
          </w:rPr>
          <w:t>19</w:t>
        </w:r>
        <w:r>
          <w:rPr>
            <w:noProof/>
            <w:webHidden/>
          </w:rPr>
          <w:fldChar w:fldCharType="end"/>
        </w:r>
      </w:hyperlink>
    </w:p>
    <w:p w14:paraId="3AFA73AC" w14:textId="4FE873AC"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08" w:history="1">
        <w:r w:rsidRPr="00831657">
          <w:rPr>
            <w:rStyle w:val="Hyperlink"/>
            <w:rFonts w:eastAsia="MS Gothic"/>
            <w:noProof/>
          </w:rPr>
          <w:t>58. Proportion of HIV tests performed that are positive</w:t>
        </w:r>
        <w:r>
          <w:rPr>
            <w:noProof/>
            <w:webHidden/>
          </w:rPr>
          <w:tab/>
        </w:r>
        <w:r>
          <w:rPr>
            <w:noProof/>
            <w:webHidden/>
          </w:rPr>
          <w:fldChar w:fldCharType="begin"/>
        </w:r>
        <w:r>
          <w:rPr>
            <w:noProof/>
            <w:webHidden/>
          </w:rPr>
          <w:instrText xml:space="preserve"> PAGEREF _Toc214457308 \h </w:instrText>
        </w:r>
        <w:r>
          <w:rPr>
            <w:noProof/>
            <w:webHidden/>
          </w:rPr>
        </w:r>
        <w:r>
          <w:rPr>
            <w:noProof/>
            <w:webHidden/>
          </w:rPr>
          <w:fldChar w:fldCharType="separate"/>
        </w:r>
        <w:r w:rsidR="00670632">
          <w:rPr>
            <w:noProof/>
            <w:webHidden/>
          </w:rPr>
          <w:t>21</w:t>
        </w:r>
        <w:r>
          <w:rPr>
            <w:noProof/>
            <w:webHidden/>
          </w:rPr>
          <w:fldChar w:fldCharType="end"/>
        </w:r>
      </w:hyperlink>
    </w:p>
    <w:p w14:paraId="35345B30" w14:textId="5BEE8574"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09" w:history="1">
        <w:r w:rsidRPr="00831657">
          <w:rPr>
            <w:rStyle w:val="Hyperlink"/>
            <w:rFonts w:eastAsia="MS Gothic"/>
            <w:noProof/>
          </w:rPr>
          <w:t>59. Proportion of people who have been tested</w:t>
        </w:r>
        <w:r>
          <w:rPr>
            <w:noProof/>
            <w:webHidden/>
          </w:rPr>
          <w:tab/>
        </w:r>
        <w:r>
          <w:rPr>
            <w:noProof/>
            <w:webHidden/>
          </w:rPr>
          <w:fldChar w:fldCharType="begin"/>
        </w:r>
        <w:r>
          <w:rPr>
            <w:noProof/>
            <w:webHidden/>
          </w:rPr>
          <w:instrText xml:space="preserve"> PAGEREF _Toc214457309 \h </w:instrText>
        </w:r>
        <w:r>
          <w:rPr>
            <w:noProof/>
            <w:webHidden/>
          </w:rPr>
        </w:r>
        <w:r>
          <w:rPr>
            <w:noProof/>
            <w:webHidden/>
          </w:rPr>
          <w:fldChar w:fldCharType="separate"/>
        </w:r>
        <w:r w:rsidR="00670632">
          <w:rPr>
            <w:noProof/>
            <w:webHidden/>
          </w:rPr>
          <w:t>21</w:t>
        </w:r>
        <w:r>
          <w:rPr>
            <w:noProof/>
            <w:webHidden/>
          </w:rPr>
          <w:fldChar w:fldCharType="end"/>
        </w:r>
      </w:hyperlink>
    </w:p>
    <w:p w14:paraId="349B01C7" w14:textId="72A0F3C7"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10" w:history="1">
        <w:r w:rsidRPr="00831657">
          <w:rPr>
            <w:rStyle w:val="Hyperlink"/>
            <w:rFonts w:eastAsia="MS Gothic"/>
            <w:noProof/>
          </w:rPr>
          <w:t xml:space="preserve">62. </w:t>
        </w:r>
        <w:r w:rsidRPr="00831657">
          <w:rPr>
            <w:rStyle w:val="Hyperlink"/>
            <w:rFonts w:eastAsia="MS Gothic"/>
            <w:bCs/>
            <w:noProof/>
          </w:rPr>
          <w:t>Proportion of people diagnosed with HIV who are prescribed ART</w:t>
        </w:r>
        <w:r>
          <w:rPr>
            <w:noProof/>
            <w:webHidden/>
          </w:rPr>
          <w:tab/>
        </w:r>
        <w:r>
          <w:rPr>
            <w:noProof/>
            <w:webHidden/>
          </w:rPr>
          <w:fldChar w:fldCharType="begin"/>
        </w:r>
        <w:r>
          <w:rPr>
            <w:noProof/>
            <w:webHidden/>
          </w:rPr>
          <w:instrText xml:space="preserve"> PAGEREF _Toc214457310 \h </w:instrText>
        </w:r>
        <w:r>
          <w:rPr>
            <w:noProof/>
            <w:webHidden/>
          </w:rPr>
        </w:r>
        <w:r>
          <w:rPr>
            <w:noProof/>
            <w:webHidden/>
          </w:rPr>
          <w:fldChar w:fldCharType="separate"/>
        </w:r>
        <w:r w:rsidR="00670632">
          <w:rPr>
            <w:noProof/>
            <w:webHidden/>
          </w:rPr>
          <w:t>23</w:t>
        </w:r>
        <w:r>
          <w:rPr>
            <w:noProof/>
            <w:webHidden/>
          </w:rPr>
          <w:fldChar w:fldCharType="end"/>
        </w:r>
      </w:hyperlink>
    </w:p>
    <w:p w14:paraId="399FF1C1" w14:textId="722D7682"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11" w:history="1">
        <w:r w:rsidRPr="00831657">
          <w:rPr>
            <w:rStyle w:val="Hyperlink"/>
            <w:rFonts w:eastAsia="MS Gothic"/>
            <w:noProof/>
          </w:rPr>
          <w:t xml:space="preserve">63. </w:t>
        </w:r>
        <w:r w:rsidRPr="00831657">
          <w:rPr>
            <w:rStyle w:val="Hyperlink"/>
            <w:rFonts w:eastAsia="MS Gothic"/>
            <w:noProof/>
            <w:spacing w:val="-1"/>
          </w:rPr>
          <w:t>Proportion of people diagnosed with HIV who are prescribed ART within 6 months of diagnosis</w:t>
        </w:r>
        <w:r>
          <w:rPr>
            <w:noProof/>
            <w:webHidden/>
          </w:rPr>
          <w:tab/>
        </w:r>
        <w:r>
          <w:rPr>
            <w:noProof/>
            <w:webHidden/>
          </w:rPr>
          <w:fldChar w:fldCharType="begin"/>
        </w:r>
        <w:r>
          <w:rPr>
            <w:noProof/>
            <w:webHidden/>
          </w:rPr>
          <w:instrText xml:space="preserve"> PAGEREF _Toc214457311 \h </w:instrText>
        </w:r>
        <w:r>
          <w:rPr>
            <w:noProof/>
            <w:webHidden/>
          </w:rPr>
        </w:r>
        <w:r>
          <w:rPr>
            <w:noProof/>
            <w:webHidden/>
          </w:rPr>
          <w:fldChar w:fldCharType="separate"/>
        </w:r>
        <w:r w:rsidR="00670632">
          <w:rPr>
            <w:noProof/>
            <w:webHidden/>
          </w:rPr>
          <w:t>23</w:t>
        </w:r>
        <w:r>
          <w:rPr>
            <w:noProof/>
            <w:webHidden/>
          </w:rPr>
          <w:fldChar w:fldCharType="end"/>
        </w:r>
      </w:hyperlink>
    </w:p>
    <w:p w14:paraId="480A575F" w14:textId="07CAC4FC"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12" w:history="1">
        <w:r w:rsidRPr="00831657">
          <w:rPr>
            <w:rStyle w:val="Hyperlink"/>
            <w:rFonts w:eastAsia="MS Gothic"/>
            <w:noProof/>
          </w:rPr>
          <w:t xml:space="preserve">67. </w:t>
        </w:r>
        <w:r w:rsidRPr="00831657">
          <w:rPr>
            <w:rStyle w:val="Hyperlink"/>
            <w:rFonts w:eastAsia="MS Gothic"/>
            <w:bCs/>
            <w:noProof/>
          </w:rPr>
          <w:t>Proportion of PLHIV with viral load of &lt;200copies/mL</w:t>
        </w:r>
        <w:r>
          <w:rPr>
            <w:noProof/>
            <w:webHidden/>
          </w:rPr>
          <w:tab/>
        </w:r>
        <w:r>
          <w:rPr>
            <w:noProof/>
            <w:webHidden/>
          </w:rPr>
          <w:fldChar w:fldCharType="begin"/>
        </w:r>
        <w:r>
          <w:rPr>
            <w:noProof/>
            <w:webHidden/>
          </w:rPr>
          <w:instrText xml:space="preserve"> PAGEREF _Toc214457312 \h </w:instrText>
        </w:r>
        <w:r>
          <w:rPr>
            <w:noProof/>
            <w:webHidden/>
          </w:rPr>
        </w:r>
        <w:r>
          <w:rPr>
            <w:noProof/>
            <w:webHidden/>
          </w:rPr>
          <w:fldChar w:fldCharType="separate"/>
        </w:r>
        <w:r w:rsidR="00670632">
          <w:rPr>
            <w:noProof/>
            <w:webHidden/>
          </w:rPr>
          <w:t>24</w:t>
        </w:r>
        <w:r>
          <w:rPr>
            <w:noProof/>
            <w:webHidden/>
          </w:rPr>
          <w:fldChar w:fldCharType="end"/>
        </w:r>
      </w:hyperlink>
    </w:p>
    <w:p w14:paraId="4FC6C4AE" w14:textId="07FA6B16"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13" w:history="1">
        <w:r w:rsidRPr="00831657">
          <w:rPr>
            <w:rStyle w:val="Hyperlink"/>
            <w:rFonts w:eastAsia="MS Gothic"/>
            <w:noProof/>
          </w:rPr>
          <w:t xml:space="preserve">68. </w:t>
        </w:r>
        <w:r w:rsidRPr="00831657">
          <w:rPr>
            <w:rStyle w:val="Hyperlink"/>
            <w:rFonts w:eastAsia="MS Gothic"/>
            <w:bCs/>
            <w:noProof/>
          </w:rPr>
          <w:t>Proportion of PLHIV with viral load of &lt;50copies/mL</w:t>
        </w:r>
        <w:r>
          <w:rPr>
            <w:noProof/>
            <w:webHidden/>
          </w:rPr>
          <w:tab/>
        </w:r>
        <w:r>
          <w:rPr>
            <w:noProof/>
            <w:webHidden/>
          </w:rPr>
          <w:fldChar w:fldCharType="begin"/>
        </w:r>
        <w:r>
          <w:rPr>
            <w:noProof/>
            <w:webHidden/>
          </w:rPr>
          <w:instrText xml:space="preserve"> PAGEREF _Toc214457313 \h </w:instrText>
        </w:r>
        <w:r>
          <w:rPr>
            <w:noProof/>
            <w:webHidden/>
          </w:rPr>
        </w:r>
        <w:r>
          <w:rPr>
            <w:noProof/>
            <w:webHidden/>
          </w:rPr>
          <w:fldChar w:fldCharType="separate"/>
        </w:r>
        <w:r w:rsidR="00670632">
          <w:rPr>
            <w:noProof/>
            <w:webHidden/>
          </w:rPr>
          <w:t>24</w:t>
        </w:r>
        <w:r>
          <w:rPr>
            <w:noProof/>
            <w:webHidden/>
          </w:rPr>
          <w:fldChar w:fldCharType="end"/>
        </w:r>
      </w:hyperlink>
    </w:p>
    <w:p w14:paraId="17743A01" w14:textId="4A9EC52B"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14" w:history="1">
        <w:r w:rsidRPr="00831657">
          <w:rPr>
            <w:rStyle w:val="Hyperlink"/>
            <w:rFonts w:eastAsia="MS Gothic"/>
            <w:noProof/>
          </w:rPr>
          <w:t>75. Number of cases of congenital syphilis</w:t>
        </w:r>
        <w:r>
          <w:rPr>
            <w:noProof/>
            <w:webHidden/>
          </w:rPr>
          <w:tab/>
        </w:r>
        <w:r>
          <w:rPr>
            <w:noProof/>
            <w:webHidden/>
          </w:rPr>
          <w:fldChar w:fldCharType="begin"/>
        </w:r>
        <w:r>
          <w:rPr>
            <w:noProof/>
            <w:webHidden/>
          </w:rPr>
          <w:instrText xml:space="preserve"> PAGEREF _Toc214457314 \h </w:instrText>
        </w:r>
        <w:r>
          <w:rPr>
            <w:noProof/>
            <w:webHidden/>
          </w:rPr>
        </w:r>
        <w:r>
          <w:rPr>
            <w:noProof/>
            <w:webHidden/>
          </w:rPr>
          <w:fldChar w:fldCharType="separate"/>
        </w:r>
        <w:r w:rsidR="00670632">
          <w:rPr>
            <w:noProof/>
            <w:webHidden/>
          </w:rPr>
          <w:t>27</w:t>
        </w:r>
        <w:r>
          <w:rPr>
            <w:noProof/>
            <w:webHidden/>
          </w:rPr>
          <w:fldChar w:fldCharType="end"/>
        </w:r>
      </w:hyperlink>
    </w:p>
    <w:p w14:paraId="60E1F654" w14:textId="18F77A0C"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15" w:history="1">
        <w:r w:rsidRPr="00831657">
          <w:rPr>
            <w:rStyle w:val="Hyperlink"/>
            <w:rFonts w:eastAsia="MS Gothic"/>
            <w:noProof/>
          </w:rPr>
          <w:t>77. Number and notification rates of chlamydia, gonorrhoea and infectious syphilis</w:t>
        </w:r>
        <w:r>
          <w:rPr>
            <w:noProof/>
            <w:webHidden/>
          </w:rPr>
          <w:tab/>
        </w:r>
        <w:r>
          <w:rPr>
            <w:noProof/>
            <w:webHidden/>
          </w:rPr>
          <w:fldChar w:fldCharType="begin"/>
        </w:r>
        <w:r>
          <w:rPr>
            <w:noProof/>
            <w:webHidden/>
          </w:rPr>
          <w:instrText xml:space="preserve"> PAGEREF _Toc214457315 \h </w:instrText>
        </w:r>
        <w:r>
          <w:rPr>
            <w:noProof/>
            <w:webHidden/>
          </w:rPr>
        </w:r>
        <w:r>
          <w:rPr>
            <w:noProof/>
            <w:webHidden/>
          </w:rPr>
          <w:fldChar w:fldCharType="separate"/>
        </w:r>
        <w:r w:rsidR="00670632">
          <w:rPr>
            <w:noProof/>
            <w:webHidden/>
          </w:rPr>
          <w:t>27</w:t>
        </w:r>
        <w:r>
          <w:rPr>
            <w:noProof/>
            <w:webHidden/>
          </w:rPr>
          <w:fldChar w:fldCharType="end"/>
        </w:r>
      </w:hyperlink>
    </w:p>
    <w:p w14:paraId="57B3D6AC" w14:textId="6F4686E6" w:rsid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16" w:history="1">
        <w:r w:rsidRPr="00831657">
          <w:rPr>
            <w:rStyle w:val="Hyperlink"/>
            <w:rFonts w:eastAsia="MS Gothic"/>
            <w:noProof/>
          </w:rPr>
          <w:t>78. Number and notification rates of chlamydia, gonorrhoea and infectious syphilis by sex and 10-year age groups</w:t>
        </w:r>
        <w:r>
          <w:rPr>
            <w:noProof/>
            <w:webHidden/>
          </w:rPr>
          <w:tab/>
        </w:r>
        <w:r>
          <w:rPr>
            <w:noProof/>
            <w:webHidden/>
          </w:rPr>
          <w:fldChar w:fldCharType="begin"/>
        </w:r>
        <w:r>
          <w:rPr>
            <w:noProof/>
            <w:webHidden/>
          </w:rPr>
          <w:instrText xml:space="preserve"> PAGEREF _Toc214457316 \h </w:instrText>
        </w:r>
        <w:r>
          <w:rPr>
            <w:noProof/>
            <w:webHidden/>
          </w:rPr>
        </w:r>
        <w:r>
          <w:rPr>
            <w:noProof/>
            <w:webHidden/>
          </w:rPr>
          <w:fldChar w:fldCharType="separate"/>
        </w:r>
        <w:r w:rsidR="00670632">
          <w:rPr>
            <w:noProof/>
            <w:webHidden/>
          </w:rPr>
          <w:t>27</w:t>
        </w:r>
        <w:r>
          <w:rPr>
            <w:noProof/>
            <w:webHidden/>
          </w:rPr>
          <w:fldChar w:fldCharType="end"/>
        </w:r>
      </w:hyperlink>
    </w:p>
    <w:p w14:paraId="293F5C61" w14:textId="6D881604" w:rsidR="00E54C99" w:rsidRP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17" w:history="1">
        <w:r w:rsidRPr="00DE2FD2">
          <w:rPr>
            <w:rStyle w:val="Hyperlink"/>
            <w:rFonts w:eastAsia="MS Gothic"/>
            <w:noProof/>
          </w:rPr>
          <w:t>79. Number and notification rates of gonorrhoea and infectious syphilis among culturally diverse people</w:t>
        </w:r>
        <w:r w:rsidRPr="00E54C99">
          <w:rPr>
            <w:noProof/>
            <w:webHidden/>
          </w:rPr>
          <w:tab/>
        </w:r>
        <w:r w:rsidRPr="00E54C99">
          <w:rPr>
            <w:noProof/>
            <w:webHidden/>
          </w:rPr>
          <w:fldChar w:fldCharType="begin"/>
        </w:r>
        <w:r w:rsidRPr="00E54C99">
          <w:rPr>
            <w:noProof/>
            <w:webHidden/>
          </w:rPr>
          <w:instrText xml:space="preserve"> PAGEREF _Toc214457317 \h </w:instrText>
        </w:r>
        <w:r w:rsidRPr="00E54C99">
          <w:rPr>
            <w:noProof/>
            <w:webHidden/>
          </w:rPr>
        </w:r>
        <w:r w:rsidRPr="00E54C99">
          <w:rPr>
            <w:noProof/>
            <w:webHidden/>
          </w:rPr>
          <w:fldChar w:fldCharType="separate"/>
        </w:r>
        <w:r w:rsidR="00670632">
          <w:rPr>
            <w:noProof/>
            <w:webHidden/>
          </w:rPr>
          <w:t>27</w:t>
        </w:r>
        <w:r w:rsidRPr="00E54C99">
          <w:rPr>
            <w:noProof/>
            <w:webHidden/>
          </w:rPr>
          <w:fldChar w:fldCharType="end"/>
        </w:r>
      </w:hyperlink>
    </w:p>
    <w:p w14:paraId="7EC7AB2F" w14:textId="5331F8D1" w:rsidR="00E54C99" w:rsidRP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18" w:history="1">
        <w:r w:rsidRPr="00DE2FD2">
          <w:rPr>
            <w:rStyle w:val="Hyperlink"/>
            <w:rFonts w:eastAsia="MS Gothic"/>
            <w:noProof/>
          </w:rPr>
          <w:t xml:space="preserve">80. Number and notification rates of gonorrhoea and infectious syphilis among Aboriginal </w:t>
        </w:r>
        <w:r w:rsidRPr="00DE2FD2">
          <w:rPr>
            <w:rStyle w:val="Hyperlink"/>
            <w:rFonts w:eastAsia="Arial" w:cs="Arial"/>
            <w:noProof/>
          </w:rPr>
          <w:t>people</w:t>
        </w:r>
        <w:r w:rsidRPr="00E54C99">
          <w:rPr>
            <w:noProof/>
            <w:webHidden/>
          </w:rPr>
          <w:tab/>
        </w:r>
        <w:r w:rsidRPr="00E54C99">
          <w:rPr>
            <w:noProof/>
            <w:webHidden/>
          </w:rPr>
          <w:fldChar w:fldCharType="begin"/>
        </w:r>
        <w:r w:rsidRPr="00E54C99">
          <w:rPr>
            <w:noProof/>
            <w:webHidden/>
          </w:rPr>
          <w:instrText xml:space="preserve"> PAGEREF _Toc214457318 \h </w:instrText>
        </w:r>
        <w:r w:rsidRPr="00E54C99">
          <w:rPr>
            <w:noProof/>
            <w:webHidden/>
          </w:rPr>
        </w:r>
        <w:r w:rsidRPr="00E54C99">
          <w:rPr>
            <w:noProof/>
            <w:webHidden/>
          </w:rPr>
          <w:fldChar w:fldCharType="separate"/>
        </w:r>
        <w:r w:rsidR="00670632">
          <w:rPr>
            <w:noProof/>
            <w:webHidden/>
          </w:rPr>
          <w:t>28</w:t>
        </w:r>
        <w:r w:rsidRPr="00E54C99">
          <w:rPr>
            <w:noProof/>
            <w:webHidden/>
          </w:rPr>
          <w:fldChar w:fldCharType="end"/>
        </w:r>
      </w:hyperlink>
    </w:p>
    <w:p w14:paraId="4CFF21E2" w14:textId="46A3AB1C" w:rsidR="00E54C99" w:rsidRP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19" w:history="1">
        <w:r w:rsidRPr="00DE2FD2">
          <w:rPr>
            <w:rStyle w:val="Hyperlink"/>
            <w:rFonts w:eastAsia="MS Gothic"/>
            <w:noProof/>
          </w:rPr>
          <w:t>85. Proportion of individuals receiving any STI testing in a calendar year</w:t>
        </w:r>
        <w:r w:rsidRPr="00E54C99">
          <w:rPr>
            <w:noProof/>
            <w:webHidden/>
          </w:rPr>
          <w:tab/>
        </w:r>
        <w:r w:rsidRPr="00E54C99">
          <w:rPr>
            <w:noProof/>
            <w:webHidden/>
          </w:rPr>
          <w:fldChar w:fldCharType="begin"/>
        </w:r>
        <w:r w:rsidRPr="00E54C99">
          <w:rPr>
            <w:noProof/>
            <w:webHidden/>
          </w:rPr>
          <w:instrText xml:space="preserve"> PAGEREF _Toc214457319 \h </w:instrText>
        </w:r>
        <w:r w:rsidRPr="00E54C99">
          <w:rPr>
            <w:noProof/>
            <w:webHidden/>
          </w:rPr>
        </w:r>
        <w:r w:rsidRPr="00E54C99">
          <w:rPr>
            <w:noProof/>
            <w:webHidden/>
          </w:rPr>
          <w:fldChar w:fldCharType="separate"/>
        </w:r>
        <w:r w:rsidR="00670632">
          <w:rPr>
            <w:noProof/>
            <w:webHidden/>
          </w:rPr>
          <w:t>29</w:t>
        </w:r>
        <w:r w:rsidRPr="00E54C99">
          <w:rPr>
            <w:noProof/>
            <w:webHidden/>
          </w:rPr>
          <w:fldChar w:fldCharType="end"/>
        </w:r>
      </w:hyperlink>
    </w:p>
    <w:p w14:paraId="72C3C605" w14:textId="56E6D95C" w:rsidR="00E54C99" w:rsidRP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20" w:history="1">
        <w:r w:rsidRPr="00DE2FD2">
          <w:rPr>
            <w:rStyle w:val="Hyperlink"/>
            <w:rFonts w:eastAsia="MS Gothic"/>
            <w:noProof/>
          </w:rPr>
          <w:t>86. Proportion of GBM who received complete STI testing in a calendar year</w:t>
        </w:r>
        <w:r w:rsidRPr="00E54C99">
          <w:rPr>
            <w:noProof/>
            <w:webHidden/>
          </w:rPr>
          <w:tab/>
        </w:r>
        <w:r w:rsidRPr="00E54C99">
          <w:rPr>
            <w:noProof/>
            <w:webHidden/>
          </w:rPr>
          <w:fldChar w:fldCharType="begin"/>
        </w:r>
        <w:r w:rsidRPr="00E54C99">
          <w:rPr>
            <w:noProof/>
            <w:webHidden/>
          </w:rPr>
          <w:instrText xml:space="preserve"> PAGEREF _Toc214457320 \h </w:instrText>
        </w:r>
        <w:r w:rsidRPr="00E54C99">
          <w:rPr>
            <w:noProof/>
            <w:webHidden/>
          </w:rPr>
        </w:r>
        <w:r w:rsidRPr="00E54C99">
          <w:rPr>
            <w:noProof/>
            <w:webHidden/>
          </w:rPr>
          <w:fldChar w:fldCharType="separate"/>
        </w:r>
        <w:r w:rsidR="00670632">
          <w:rPr>
            <w:noProof/>
            <w:webHidden/>
          </w:rPr>
          <w:t>30</w:t>
        </w:r>
        <w:r w:rsidRPr="00E54C99">
          <w:rPr>
            <w:noProof/>
            <w:webHidden/>
          </w:rPr>
          <w:fldChar w:fldCharType="end"/>
        </w:r>
      </w:hyperlink>
    </w:p>
    <w:p w14:paraId="5B90B5BC" w14:textId="780118CB" w:rsidR="00E54C99" w:rsidRP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21" w:history="1">
        <w:r w:rsidRPr="00DE2FD2">
          <w:rPr>
            <w:rStyle w:val="Hyperlink"/>
            <w:rFonts w:eastAsia="MS Gothic"/>
            <w:noProof/>
          </w:rPr>
          <w:t>89. Proportion of individuals retested for an STI within 4 months after diagnosis with an STI</w:t>
        </w:r>
        <w:r w:rsidRPr="00E54C99">
          <w:rPr>
            <w:noProof/>
            <w:webHidden/>
          </w:rPr>
          <w:tab/>
        </w:r>
        <w:r w:rsidRPr="00E54C99">
          <w:rPr>
            <w:noProof/>
            <w:webHidden/>
          </w:rPr>
          <w:fldChar w:fldCharType="begin"/>
        </w:r>
        <w:r w:rsidRPr="00E54C99">
          <w:rPr>
            <w:noProof/>
            <w:webHidden/>
          </w:rPr>
          <w:instrText xml:space="preserve"> PAGEREF _Toc214457321 \h </w:instrText>
        </w:r>
        <w:r w:rsidRPr="00E54C99">
          <w:rPr>
            <w:noProof/>
            <w:webHidden/>
          </w:rPr>
        </w:r>
        <w:r w:rsidRPr="00E54C99">
          <w:rPr>
            <w:noProof/>
            <w:webHidden/>
          </w:rPr>
          <w:fldChar w:fldCharType="separate"/>
        </w:r>
        <w:r w:rsidR="00670632">
          <w:rPr>
            <w:noProof/>
            <w:webHidden/>
          </w:rPr>
          <w:t>31</w:t>
        </w:r>
        <w:r w:rsidRPr="00E54C99">
          <w:rPr>
            <w:noProof/>
            <w:webHidden/>
          </w:rPr>
          <w:fldChar w:fldCharType="end"/>
        </w:r>
      </w:hyperlink>
    </w:p>
    <w:p w14:paraId="5998DA51" w14:textId="5B39355A" w:rsidR="00E54C99" w:rsidRPr="00E54C99" w:rsidRDefault="00E54C99">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14457322" w:history="1">
        <w:r w:rsidRPr="00DE2FD2">
          <w:rPr>
            <w:rStyle w:val="Hyperlink"/>
            <w:rFonts w:eastAsia="MS Gothic"/>
            <w:noProof/>
          </w:rPr>
          <w:t>93. Number of notified gonorrhoea cases with high levels of resistance to ceftriaxone or azithromycin</w:t>
        </w:r>
        <w:r w:rsidRPr="00E54C99">
          <w:rPr>
            <w:noProof/>
            <w:webHidden/>
          </w:rPr>
          <w:tab/>
        </w:r>
        <w:r w:rsidRPr="00E54C99">
          <w:rPr>
            <w:noProof/>
            <w:webHidden/>
          </w:rPr>
          <w:fldChar w:fldCharType="begin"/>
        </w:r>
        <w:r w:rsidRPr="00E54C99">
          <w:rPr>
            <w:noProof/>
            <w:webHidden/>
          </w:rPr>
          <w:instrText xml:space="preserve"> PAGEREF _Toc214457322 \h </w:instrText>
        </w:r>
        <w:r w:rsidRPr="00E54C99">
          <w:rPr>
            <w:noProof/>
            <w:webHidden/>
          </w:rPr>
        </w:r>
        <w:r w:rsidRPr="00E54C99">
          <w:rPr>
            <w:noProof/>
            <w:webHidden/>
          </w:rPr>
          <w:fldChar w:fldCharType="separate"/>
        </w:r>
        <w:r w:rsidR="00670632">
          <w:rPr>
            <w:noProof/>
            <w:webHidden/>
          </w:rPr>
          <w:t>32</w:t>
        </w:r>
        <w:r w:rsidRPr="00E54C99">
          <w:rPr>
            <w:noProof/>
            <w:webHidden/>
          </w:rPr>
          <w:fldChar w:fldCharType="end"/>
        </w:r>
      </w:hyperlink>
    </w:p>
    <w:p w14:paraId="624B863F" w14:textId="7E200386" w:rsidR="0052674D" w:rsidRPr="005F4143" w:rsidRDefault="0052674D">
      <w:pPr>
        <w:spacing w:after="0" w:line="240" w:lineRule="auto"/>
        <w:rPr>
          <w:rFonts w:eastAsia="Times"/>
        </w:rPr>
      </w:pPr>
      <w:r w:rsidRPr="005F4143">
        <w:fldChar w:fldCharType="end"/>
      </w:r>
      <w:r w:rsidRPr="005F4143">
        <w:br w:type="page"/>
      </w:r>
    </w:p>
    <w:p w14:paraId="28955122" w14:textId="77777777" w:rsidR="00187D0B" w:rsidRDefault="00AA499F" w:rsidP="00AA499F">
      <w:pPr>
        <w:spacing w:after="0" w:line="240" w:lineRule="auto"/>
      </w:pPr>
      <w:bookmarkStart w:id="4" w:name="_Toc214457262"/>
      <w:r w:rsidRPr="005F4143">
        <w:rPr>
          <w:rStyle w:val="Heading1Char"/>
        </w:rPr>
        <w:lastRenderedPageBreak/>
        <w:t>Background</w:t>
      </w:r>
      <w:bookmarkEnd w:id="4"/>
    </w:p>
    <w:p w14:paraId="41462B81" w14:textId="39CA7FCB" w:rsidR="00E74515" w:rsidRPr="005F4143" w:rsidRDefault="00DB430A" w:rsidP="00E74515">
      <w:pPr>
        <w:pStyle w:val="NormalWeb"/>
        <w:rPr>
          <w:rFonts w:ascii="Arial" w:eastAsia="Times" w:hAnsi="Arial" w:cs="Times New Roman"/>
          <w:sz w:val="21"/>
          <w:szCs w:val="20"/>
          <w:lang w:eastAsia="en-US"/>
        </w:rPr>
      </w:pPr>
      <w:r w:rsidRPr="005F4143">
        <w:rPr>
          <w:rFonts w:ascii="Arial" w:eastAsia="Times" w:hAnsi="Arial" w:cs="Times New Roman"/>
          <w:sz w:val="21"/>
          <w:szCs w:val="20"/>
          <w:lang w:eastAsia="en-US"/>
        </w:rPr>
        <w:t xml:space="preserve">The </w:t>
      </w:r>
      <w:r w:rsidR="00E74515" w:rsidRPr="005F4143">
        <w:rPr>
          <w:rFonts w:ascii="Arial" w:eastAsia="Times" w:hAnsi="Arial" w:cs="Times New Roman"/>
          <w:i/>
          <w:iCs/>
          <w:sz w:val="21"/>
          <w:szCs w:val="20"/>
          <w:lang w:eastAsia="en-US"/>
        </w:rPr>
        <w:t>Victorian sexual and reproductive health and viral hepatitis strategy 2022-30</w:t>
      </w:r>
      <w:r w:rsidR="00E74515" w:rsidRPr="005F4143">
        <w:rPr>
          <w:rFonts w:ascii="Arial" w:eastAsia="Times" w:hAnsi="Arial" w:cs="Times New Roman"/>
          <w:sz w:val="21"/>
          <w:szCs w:val="20"/>
          <w:lang w:eastAsia="en-US"/>
        </w:rPr>
        <w:t xml:space="preserve"> (the Strategy) was released in October 2022. Made up of seven plans, the strategy is tailored to specific epidemics, conditions and cohorts.</w:t>
      </w:r>
    </w:p>
    <w:p w14:paraId="1C71577E" w14:textId="07B27866" w:rsidR="003870D6" w:rsidRPr="005F4143" w:rsidRDefault="003870D6" w:rsidP="00CD0FF1">
      <w:pPr>
        <w:pStyle w:val="Body"/>
      </w:pPr>
      <w:r w:rsidRPr="005F4143">
        <w:t xml:space="preserve">In Victoria, surveillance of blood borne viruses (BBV) and sexually transmissible infections (STI) are conducted by </w:t>
      </w:r>
      <w:r w:rsidR="00690429" w:rsidRPr="005F4143">
        <w:t xml:space="preserve">the </w:t>
      </w:r>
      <w:r w:rsidRPr="005F4143">
        <w:t xml:space="preserve">Department of Health </w:t>
      </w:r>
      <w:r w:rsidR="00A34EC6" w:rsidRPr="005F4143">
        <w:t>(</w:t>
      </w:r>
      <w:r w:rsidR="00690429" w:rsidRPr="005F4143">
        <w:t>the department</w:t>
      </w:r>
      <w:r w:rsidR="00A34EC6" w:rsidRPr="005F4143">
        <w:t>)</w:t>
      </w:r>
      <w:r w:rsidRPr="005F4143">
        <w:t xml:space="preserve"> in collaboration with surveillance partners.</w:t>
      </w:r>
    </w:p>
    <w:p w14:paraId="433647ED" w14:textId="006DFD53" w:rsidR="003870D6" w:rsidRPr="005F4143" w:rsidRDefault="003870D6" w:rsidP="00CD0FF1">
      <w:pPr>
        <w:pStyle w:val="Body"/>
      </w:pPr>
      <w:r w:rsidRPr="005F4143">
        <w:t xml:space="preserve">BBV </w:t>
      </w:r>
      <w:r w:rsidR="0068372C" w:rsidRPr="005F4143">
        <w:t>and</w:t>
      </w:r>
      <w:r w:rsidRPr="005F4143">
        <w:t xml:space="preserve"> STI data are provided to different stakeholders including the Sexual Health and Viral Hepatitis </w:t>
      </w:r>
      <w:r w:rsidR="00385D3F" w:rsidRPr="005F4143">
        <w:t>team</w:t>
      </w:r>
      <w:r w:rsidRPr="005F4143">
        <w:t xml:space="preserve"> of </w:t>
      </w:r>
      <w:r w:rsidR="00826496" w:rsidRPr="005F4143">
        <w:t>department</w:t>
      </w:r>
      <w:r w:rsidRPr="005F4143">
        <w:t xml:space="preserve">, which is responsible for the development of policy, program delivery and prevention activities. BBV </w:t>
      </w:r>
      <w:r w:rsidR="00781099" w:rsidRPr="005F4143">
        <w:t>and</w:t>
      </w:r>
      <w:r w:rsidRPr="005F4143">
        <w:t xml:space="preserve"> STI data are also provided to the Commonwealth Department of Health </w:t>
      </w:r>
      <w:r w:rsidR="00F62F8E" w:rsidRPr="005F4143">
        <w:t xml:space="preserve">and Ageing </w:t>
      </w:r>
      <w:r w:rsidRPr="005F4143">
        <w:t>for reporting against the indicators in the national</w:t>
      </w:r>
      <w:r w:rsidR="00F62F8E" w:rsidRPr="005F4143">
        <w:t xml:space="preserve"> </w:t>
      </w:r>
      <w:r w:rsidRPr="005F4143">
        <w:t>BBV</w:t>
      </w:r>
      <w:r w:rsidR="00F62F8E" w:rsidRPr="005F4143">
        <w:t xml:space="preserve"> and</w:t>
      </w:r>
      <w:r w:rsidRPr="005F4143">
        <w:t xml:space="preserve"> STI strategies.</w:t>
      </w:r>
    </w:p>
    <w:p w14:paraId="21660F29" w14:textId="408D862A" w:rsidR="00E85F56" w:rsidRPr="005F4143" w:rsidRDefault="003870D6" w:rsidP="00CD0FF1">
      <w:pPr>
        <w:pStyle w:val="Body"/>
      </w:pPr>
      <w:r w:rsidRPr="005F4143">
        <w:t>The surveillance and monitoring indicators for hepatitis B, hepatitis C</w:t>
      </w:r>
      <w:r w:rsidR="008D2FAE" w:rsidRPr="005F4143">
        <w:t>,</w:t>
      </w:r>
      <w:r w:rsidRPr="005F4143">
        <w:t xml:space="preserve"> HIV </w:t>
      </w:r>
      <w:r w:rsidR="008D2FAE" w:rsidRPr="005F4143">
        <w:t xml:space="preserve">and STI </w:t>
      </w:r>
      <w:r w:rsidRPr="005F4143">
        <w:t xml:space="preserve">have been </w:t>
      </w:r>
      <w:r w:rsidR="009A6A89" w:rsidRPr="005F4143">
        <w:t xml:space="preserve">refreshed and expanded </w:t>
      </w:r>
      <w:r w:rsidRPr="005F4143">
        <w:t xml:space="preserve">by </w:t>
      </w:r>
      <w:r w:rsidR="00690429" w:rsidRPr="005F4143">
        <w:t>the department</w:t>
      </w:r>
      <w:r w:rsidRPr="005F4143">
        <w:t xml:space="preserve"> in </w:t>
      </w:r>
      <w:r w:rsidR="00981214" w:rsidRPr="005F4143">
        <w:t>consultation with the Strategy Data Working Group</w:t>
      </w:r>
      <w:r w:rsidRPr="005F4143">
        <w:t xml:space="preserve"> to monitor </w:t>
      </w:r>
      <w:r w:rsidR="009A3E67" w:rsidRPr="005F4143">
        <w:t xml:space="preserve">progress against </w:t>
      </w:r>
      <w:r w:rsidRPr="005F4143">
        <w:t xml:space="preserve">the </w:t>
      </w:r>
      <w:r w:rsidR="009A3E67" w:rsidRPr="005F4143">
        <w:t>targets</w:t>
      </w:r>
      <w:r w:rsidRPr="005F4143">
        <w:t xml:space="preserve"> of the Victorian hepatitis B, hepatitis C, HIV </w:t>
      </w:r>
      <w:r w:rsidR="009A3E67" w:rsidRPr="005F4143">
        <w:t>and STI plans</w:t>
      </w:r>
      <w:r w:rsidRPr="005F4143">
        <w:t>.</w:t>
      </w:r>
      <w:r w:rsidR="009416F8" w:rsidRPr="005F4143">
        <w:t xml:space="preserve"> </w:t>
      </w:r>
      <w:r w:rsidR="008A039E" w:rsidRPr="005F4143">
        <w:t>The Data Working Group will prioritise</w:t>
      </w:r>
      <w:r w:rsidR="00E85F56" w:rsidRPr="005F4143">
        <w:t xml:space="preserve"> indicators for reporting over the first years of Strategy implementation.</w:t>
      </w:r>
    </w:p>
    <w:p w14:paraId="327BB8AA" w14:textId="77777777" w:rsidR="00187D0B" w:rsidRDefault="009416F8" w:rsidP="00CD0FF1">
      <w:pPr>
        <w:pStyle w:val="Body"/>
      </w:pPr>
      <w:r w:rsidRPr="005F4143">
        <w:t>T</w:t>
      </w:r>
      <w:r w:rsidR="0057544A" w:rsidRPr="005F4143">
        <w:t xml:space="preserve">he </w:t>
      </w:r>
      <w:r w:rsidR="009A6A89" w:rsidRPr="005F4143">
        <w:t>i</w:t>
      </w:r>
      <w:r w:rsidR="0057544A" w:rsidRPr="005F4143">
        <w:t xml:space="preserve">ndicators </w:t>
      </w:r>
      <w:r w:rsidR="00200ADC" w:rsidRPr="005F4143">
        <w:t>have been</w:t>
      </w:r>
      <w:r w:rsidR="0057544A" w:rsidRPr="005F4143">
        <w:t xml:space="preserve"> </w:t>
      </w:r>
      <w:r w:rsidR="00363BDB" w:rsidRPr="005F4143">
        <w:t>selected</w:t>
      </w:r>
      <w:r w:rsidR="0057544A" w:rsidRPr="005F4143">
        <w:t xml:space="preserve"> specifically </w:t>
      </w:r>
      <w:r w:rsidR="00363BDB" w:rsidRPr="005F4143">
        <w:t>to</w:t>
      </w:r>
      <w:r w:rsidR="0057544A" w:rsidRPr="005F4143">
        <w:t xml:space="preserve"> </w:t>
      </w:r>
      <w:r w:rsidR="00363BDB" w:rsidRPr="005F4143">
        <w:t>measure</w:t>
      </w:r>
      <w:r w:rsidR="0057544A" w:rsidRPr="005F4143">
        <w:t xml:space="preserve"> progress towards targets of the Strateg</w:t>
      </w:r>
      <w:r w:rsidR="00DB598E" w:rsidRPr="005F4143">
        <w:t>y</w:t>
      </w:r>
      <w:r w:rsidR="00F838A7" w:rsidRPr="005F4143">
        <w:t>,</w:t>
      </w:r>
      <w:r w:rsidRPr="005F4143">
        <w:t xml:space="preserve"> which are quantitative in nature.</w:t>
      </w:r>
      <w:r w:rsidR="00DB598E" w:rsidRPr="005F4143">
        <w:t xml:space="preserve"> </w:t>
      </w:r>
      <w:r w:rsidR="006761B0" w:rsidRPr="005F4143">
        <w:t>We</w:t>
      </w:r>
      <w:r w:rsidR="00DB598E" w:rsidRPr="005F4143">
        <w:t xml:space="preserve"> recogni</w:t>
      </w:r>
      <w:r w:rsidR="00EA3328" w:rsidRPr="005F4143">
        <w:t>s</w:t>
      </w:r>
      <w:r w:rsidR="00DB598E" w:rsidRPr="005F4143">
        <w:t xml:space="preserve">e </w:t>
      </w:r>
      <w:r w:rsidR="00363BDB" w:rsidRPr="005F4143">
        <w:t xml:space="preserve">that </w:t>
      </w:r>
      <w:r w:rsidR="000B42E7" w:rsidRPr="005F4143">
        <w:t xml:space="preserve">valuable qualitative data will </w:t>
      </w:r>
      <w:r w:rsidR="009161E1" w:rsidRPr="005F4143">
        <w:t xml:space="preserve">also </w:t>
      </w:r>
      <w:r w:rsidR="000B42E7" w:rsidRPr="005F4143">
        <w:t xml:space="preserve">exist </w:t>
      </w:r>
      <w:r w:rsidR="009161E1" w:rsidRPr="005F4143">
        <w:t xml:space="preserve">that can aid our understanding of strategy implementation and </w:t>
      </w:r>
      <w:r w:rsidR="00E17D27" w:rsidRPr="005F4143">
        <w:t xml:space="preserve">add to our ability </w:t>
      </w:r>
      <w:r w:rsidR="000B42E7" w:rsidRPr="005F4143">
        <w:t>to monitor and evaluat</w:t>
      </w:r>
      <w:r w:rsidR="009A6A89" w:rsidRPr="005F4143">
        <w:t>e</w:t>
      </w:r>
      <w:r w:rsidR="000B42E7" w:rsidRPr="005F4143">
        <w:t xml:space="preserve"> the Strategy.</w:t>
      </w:r>
    </w:p>
    <w:p w14:paraId="40D1240A" w14:textId="77777777" w:rsidR="00187D0B" w:rsidRDefault="003870D6" w:rsidP="00CD0FF1">
      <w:pPr>
        <w:pStyle w:val="Body"/>
      </w:pPr>
      <w:r w:rsidRPr="005F4143">
        <w:t xml:space="preserve">Data to be used in this document will be obtained from </w:t>
      </w:r>
      <w:r w:rsidR="00EC6787" w:rsidRPr="005F4143">
        <w:t>a range of stakeholders</w:t>
      </w:r>
      <w:r w:rsidR="00EB33F3" w:rsidRPr="005F4143">
        <w:t>.</w:t>
      </w:r>
      <w:r w:rsidR="00EC6787" w:rsidRPr="005F4143">
        <w:t xml:space="preserve"> </w:t>
      </w:r>
      <w:r w:rsidRPr="005F4143">
        <w:t>Many datasets, such as cancer and other registries, have significant lag times before providing finalised data. Some indicators, therefore, will not be reportable for more recent years.</w:t>
      </w:r>
    </w:p>
    <w:p w14:paraId="70797756" w14:textId="544D9EC7" w:rsidR="003870D6" w:rsidRPr="005F4143" w:rsidRDefault="003870D6" w:rsidP="003870D6">
      <w:pPr>
        <w:pStyle w:val="Heading2"/>
      </w:pPr>
      <w:bookmarkStart w:id="5" w:name="_Toc16086986"/>
      <w:bookmarkStart w:id="6" w:name="_Toc214457263"/>
      <w:r w:rsidRPr="005F4143">
        <w:t xml:space="preserve">Hepatitis B, </w:t>
      </w:r>
      <w:r w:rsidR="00826496" w:rsidRPr="005F4143">
        <w:t>h</w:t>
      </w:r>
      <w:r w:rsidRPr="005F4143">
        <w:t>epatitis C, HIV and STI plans</w:t>
      </w:r>
      <w:bookmarkEnd w:id="5"/>
      <w:bookmarkEnd w:id="6"/>
    </w:p>
    <w:p w14:paraId="7EE42077" w14:textId="2BB44FE8" w:rsidR="003870D6" w:rsidRPr="005F4143" w:rsidRDefault="003870D6" w:rsidP="00CD0FF1">
      <w:pPr>
        <w:pStyle w:val="Body"/>
      </w:pPr>
      <w:r w:rsidRPr="005F4143">
        <w:t xml:space="preserve">The </w:t>
      </w:r>
      <w:r w:rsidRPr="005F4143">
        <w:rPr>
          <w:i/>
          <w:iCs/>
        </w:rPr>
        <w:t xml:space="preserve">Victorian </w:t>
      </w:r>
      <w:r w:rsidR="00676152" w:rsidRPr="005F4143">
        <w:rPr>
          <w:i/>
          <w:iCs/>
        </w:rPr>
        <w:t>h</w:t>
      </w:r>
      <w:r w:rsidRPr="005F4143">
        <w:rPr>
          <w:i/>
          <w:iCs/>
        </w:rPr>
        <w:t xml:space="preserve">epatitis B </w:t>
      </w:r>
      <w:r w:rsidR="000D3D5B" w:rsidRPr="005F4143">
        <w:rPr>
          <w:i/>
          <w:iCs/>
        </w:rPr>
        <w:t>Plan</w:t>
      </w:r>
      <w:r w:rsidRPr="005F4143">
        <w:rPr>
          <w:i/>
          <w:iCs/>
        </w:rPr>
        <w:t xml:space="preserve"> </w:t>
      </w:r>
      <w:r w:rsidR="000D3D5B" w:rsidRPr="005F4143">
        <w:rPr>
          <w:i/>
          <w:iCs/>
        </w:rPr>
        <w:t>2022-</w:t>
      </w:r>
      <w:r w:rsidR="008B2F1D" w:rsidRPr="005F4143">
        <w:rPr>
          <w:i/>
          <w:iCs/>
        </w:rPr>
        <w:t>30</w:t>
      </w:r>
      <w:r w:rsidRPr="005F4143">
        <w:t xml:space="preserve">, the </w:t>
      </w:r>
      <w:r w:rsidRPr="005F4143">
        <w:rPr>
          <w:i/>
          <w:iCs/>
        </w:rPr>
        <w:t xml:space="preserve">Victorian </w:t>
      </w:r>
      <w:r w:rsidR="00676152" w:rsidRPr="005F4143">
        <w:rPr>
          <w:i/>
          <w:iCs/>
        </w:rPr>
        <w:t>h</w:t>
      </w:r>
      <w:r w:rsidRPr="005F4143">
        <w:rPr>
          <w:i/>
          <w:iCs/>
        </w:rPr>
        <w:t xml:space="preserve">epatitis C </w:t>
      </w:r>
      <w:r w:rsidR="00F52F51" w:rsidRPr="005F4143">
        <w:rPr>
          <w:i/>
          <w:iCs/>
        </w:rPr>
        <w:t>p</w:t>
      </w:r>
      <w:r w:rsidR="000D3D5B" w:rsidRPr="005F4143">
        <w:rPr>
          <w:i/>
          <w:iCs/>
        </w:rPr>
        <w:t>lan 2022-</w:t>
      </w:r>
      <w:r w:rsidR="008B2F1D" w:rsidRPr="005F4143">
        <w:rPr>
          <w:i/>
          <w:iCs/>
        </w:rPr>
        <w:t>30</w:t>
      </w:r>
      <w:r w:rsidRPr="005F4143">
        <w:t xml:space="preserve">, and the </w:t>
      </w:r>
      <w:r w:rsidRPr="005F4143">
        <w:rPr>
          <w:i/>
          <w:iCs/>
        </w:rPr>
        <w:t xml:space="preserve">Victorian HIV </w:t>
      </w:r>
      <w:r w:rsidR="00F52F51" w:rsidRPr="005F4143">
        <w:rPr>
          <w:i/>
          <w:iCs/>
        </w:rPr>
        <w:t>p</w:t>
      </w:r>
      <w:r w:rsidR="000D3D5B" w:rsidRPr="005F4143">
        <w:rPr>
          <w:i/>
          <w:iCs/>
        </w:rPr>
        <w:t>lan 2022-</w:t>
      </w:r>
      <w:r w:rsidR="008B2F1D" w:rsidRPr="005F4143">
        <w:rPr>
          <w:i/>
          <w:iCs/>
        </w:rPr>
        <w:t>30</w:t>
      </w:r>
      <w:r w:rsidR="000D3D5B" w:rsidRPr="005F4143">
        <w:t xml:space="preserve">, and the </w:t>
      </w:r>
      <w:r w:rsidR="004431FB" w:rsidRPr="005F4143">
        <w:rPr>
          <w:i/>
          <w:iCs/>
        </w:rPr>
        <w:t>Victorian sexually transmission infections p</w:t>
      </w:r>
      <w:r w:rsidR="000D3D5B" w:rsidRPr="005F4143">
        <w:rPr>
          <w:i/>
          <w:iCs/>
        </w:rPr>
        <w:t>lan 2022-</w:t>
      </w:r>
      <w:r w:rsidR="008B2F1D" w:rsidRPr="005F4143">
        <w:rPr>
          <w:i/>
          <w:iCs/>
        </w:rPr>
        <w:t>30</w:t>
      </w:r>
      <w:r w:rsidR="004431FB" w:rsidRPr="005F4143">
        <w:t xml:space="preserve"> are components of the </w:t>
      </w:r>
      <w:r w:rsidR="009A6A89" w:rsidRPr="005F4143">
        <w:t>Strategy. The Strategy</w:t>
      </w:r>
      <w:r w:rsidR="00C054E3" w:rsidRPr="005F4143">
        <w:t xml:space="preserve"> </w:t>
      </w:r>
      <w:r w:rsidRPr="005F4143">
        <w:t>aim</w:t>
      </w:r>
      <w:r w:rsidR="00C054E3" w:rsidRPr="005F4143">
        <w:t>s</w:t>
      </w:r>
      <w:r w:rsidRPr="005F4143">
        <w:t xml:space="preserve"> to </w:t>
      </w:r>
      <w:r w:rsidR="005951D5" w:rsidRPr="005F4143">
        <w:t xml:space="preserve">achieve optimal sexual and reproductive health outcomes and reduce the impact of BBV and STI on all Victorians. </w:t>
      </w:r>
      <w:r w:rsidR="00651992" w:rsidRPr="005F4143">
        <w:t>Such an approach includes an elimination agenda for specific diseases</w:t>
      </w:r>
      <w:r w:rsidR="00D76C6F" w:rsidRPr="005F4143">
        <w:t xml:space="preserve">, together with </w:t>
      </w:r>
      <w:r w:rsidR="00EA3B0E" w:rsidRPr="005F4143">
        <w:t xml:space="preserve">work to </w:t>
      </w:r>
      <w:r w:rsidR="00402A80" w:rsidRPr="005F4143">
        <w:t>reduce</w:t>
      </w:r>
      <w:r w:rsidR="00EA3B0E" w:rsidRPr="005F4143">
        <w:t xml:space="preserve"> stigma, racism and discrimination, strengthen workforce</w:t>
      </w:r>
      <w:r w:rsidR="00AF5F0D" w:rsidRPr="005F4143">
        <w:t xml:space="preserve"> capacity, foster partnerships and collaboration and strengthen and support data and research.</w:t>
      </w:r>
    </w:p>
    <w:p w14:paraId="6A1734B5" w14:textId="67D19C51" w:rsidR="00A91585" w:rsidRPr="005F4143" w:rsidRDefault="00A91585" w:rsidP="00CD0FF1">
      <w:pPr>
        <w:pStyle w:val="Body"/>
      </w:pPr>
      <w:r w:rsidRPr="005F4143">
        <w:t xml:space="preserve">The Strategy also contains </w:t>
      </w:r>
      <w:r w:rsidR="00C5230C" w:rsidRPr="005F4143">
        <w:t xml:space="preserve">three </w:t>
      </w:r>
      <w:r w:rsidRPr="005F4143">
        <w:t xml:space="preserve">new plans: </w:t>
      </w:r>
      <w:r w:rsidR="00A51A9C" w:rsidRPr="005F4143">
        <w:t xml:space="preserve">the </w:t>
      </w:r>
      <w:r w:rsidR="00A51A9C" w:rsidRPr="005F4143">
        <w:rPr>
          <w:i/>
          <w:iCs/>
        </w:rPr>
        <w:t>Victorian Aboriginal sexual and reproductive health plan 2022-</w:t>
      </w:r>
      <w:r w:rsidR="008B2F1D" w:rsidRPr="005F4143">
        <w:rPr>
          <w:i/>
          <w:iCs/>
        </w:rPr>
        <w:t>30</w:t>
      </w:r>
      <w:r w:rsidR="00C5230C" w:rsidRPr="005F4143">
        <w:t xml:space="preserve">, </w:t>
      </w:r>
      <w:r w:rsidR="00A51A9C" w:rsidRPr="005F4143">
        <w:t xml:space="preserve">the </w:t>
      </w:r>
      <w:r w:rsidR="00A51A9C" w:rsidRPr="005F4143">
        <w:rPr>
          <w:i/>
          <w:iCs/>
        </w:rPr>
        <w:t>Victorian women’s sexual and reproductive health plan 2022-</w:t>
      </w:r>
      <w:r w:rsidR="008B2F1D" w:rsidRPr="005F4143">
        <w:rPr>
          <w:i/>
          <w:iCs/>
        </w:rPr>
        <w:t>30</w:t>
      </w:r>
      <w:r w:rsidR="00C5230C" w:rsidRPr="005F4143">
        <w:t xml:space="preserve"> and the </w:t>
      </w:r>
      <w:r w:rsidR="00C5230C" w:rsidRPr="005F4143">
        <w:rPr>
          <w:i/>
          <w:iCs/>
        </w:rPr>
        <w:t xml:space="preserve">System </w:t>
      </w:r>
      <w:r w:rsidR="009A6A89" w:rsidRPr="005F4143">
        <w:rPr>
          <w:i/>
          <w:iCs/>
        </w:rPr>
        <w:t>e</w:t>
      </w:r>
      <w:r w:rsidR="00C5230C" w:rsidRPr="005F4143">
        <w:rPr>
          <w:i/>
          <w:iCs/>
        </w:rPr>
        <w:t xml:space="preserve">nabler </w:t>
      </w:r>
      <w:r w:rsidR="009A6A89" w:rsidRPr="005F4143">
        <w:rPr>
          <w:i/>
          <w:iCs/>
        </w:rPr>
        <w:t>p</w:t>
      </w:r>
      <w:r w:rsidR="00C5230C" w:rsidRPr="005F4143">
        <w:rPr>
          <w:i/>
          <w:iCs/>
        </w:rPr>
        <w:t>lan 2022-30</w:t>
      </w:r>
      <w:r w:rsidR="00A51A9C" w:rsidRPr="005F4143">
        <w:t xml:space="preserve">. </w:t>
      </w:r>
      <w:r w:rsidR="00AF7267" w:rsidRPr="005F4143">
        <w:t>Indicators for these plans will be developed in 2023</w:t>
      </w:r>
      <w:r w:rsidR="00A72935" w:rsidRPr="005F4143">
        <w:t xml:space="preserve"> in partnership with key sector stakeholders</w:t>
      </w:r>
      <w:r w:rsidR="00C5230C" w:rsidRPr="005F4143">
        <w:t xml:space="preserve"> in consultation with the Strategy Data Working Group</w:t>
      </w:r>
      <w:r w:rsidR="00AF7267" w:rsidRPr="005F4143">
        <w:t>.</w:t>
      </w:r>
    </w:p>
    <w:p w14:paraId="5EB8DBA5" w14:textId="77777777" w:rsidR="00187D0B" w:rsidRDefault="003870D6" w:rsidP="00CD0FF1">
      <w:pPr>
        <w:pStyle w:val="Body"/>
      </w:pPr>
      <w:r w:rsidRPr="005F4143">
        <w:t xml:space="preserve">The </w:t>
      </w:r>
      <w:r w:rsidR="0024678C" w:rsidRPr="005F4143">
        <w:t>d</w:t>
      </w:r>
      <w:r w:rsidRPr="005F4143">
        <w:t xml:space="preserve">epartment is responsible for the implementation of the Strategy and its component plans, undertaken in consultation with expert representation for </w:t>
      </w:r>
      <w:r w:rsidR="008E3A8E" w:rsidRPr="005F4143">
        <w:t xml:space="preserve">the </w:t>
      </w:r>
      <w:r w:rsidRPr="005F4143">
        <w:t>hepatitis B, hepatitis C, HIV</w:t>
      </w:r>
      <w:r w:rsidR="00E00AEF" w:rsidRPr="005F4143">
        <w:t>,</w:t>
      </w:r>
      <w:r w:rsidR="009A6A89" w:rsidRPr="005F4143">
        <w:t xml:space="preserve"> </w:t>
      </w:r>
      <w:r w:rsidRPr="005F4143">
        <w:t>STI</w:t>
      </w:r>
      <w:r w:rsidR="00E00AEF" w:rsidRPr="005F4143">
        <w:t xml:space="preserve">, </w:t>
      </w:r>
      <w:r w:rsidR="009A6A89" w:rsidRPr="005F4143">
        <w:t>and</w:t>
      </w:r>
      <w:r w:rsidR="00E00AEF" w:rsidRPr="005F4143">
        <w:t xml:space="preserve"> sexual</w:t>
      </w:r>
      <w:r w:rsidRPr="005F4143">
        <w:t xml:space="preserve"> and </w:t>
      </w:r>
      <w:r w:rsidR="00E00AEF" w:rsidRPr="005F4143">
        <w:t>reproductive health</w:t>
      </w:r>
      <w:r w:rsidRPr="005F4143">
        <w:t xml:space="preserve"> </w:t>
      </w:r>
      <w:r w:rsidR="008C0AF1" w:rsidRPr="005F4143">
        <w:t>sectors</w:t>
      </w:r>
      <w:r w:rsidRPr="005F4143">
        <w:t xml:space="preserve"> at the Departmental Advisory Committee on </w:t>
      </w:r>
      <w:r w:rsidR="006C6E92" w:rsidRPr="005F4143">
        <w:t>sexual</w:t>
      </w:r>
      <w:r w:rsidRPr="005F4143">
        <w:t xml:space="preserve"> and </w:t>
      </w:r>
      <w:r w:rsidR="006C6E92" w:rsidRPr="005F4143">
        <w:t>reproductive health and viral hepatitis</w:t>
      </w:r>
      <w:r w:rsidRPr="005F4143">
        <w:t xml:space="preserve"> (DAC </w:t>
      </w:r>
      <w:r w:rsidR="006C6E92" w:rsidRPr="005F4143">
        <w:t>SRHVH</w:t>
      </w:r>
      <w:r w:rsidRPr="005F4143">
        <w:t>).</w:t>
      </w:r>
    </w:p>
    <w:p w14:paraId="2DFD0CF4" w14:textId="0EB206BB" w:rsidR="003870D6" w:rsidRPr="005F4143" w:rsidRDefault="003870D6" w:rsidP="003870D6">
      <w:pPr>
        <w:pStyle w:val="Heading2"/>
      </w:pPr>
      <w:bookmarkStart w:id="7" w:name="_Toc16086987"/>
      <w:bookmarkStart w:id="8" w:name="_Toc214457264"/>
      <w:r w:rsidRPr="005F4143">
        <w:t>Data sources and disaggregation</w:t>
      </w:r>
      <w:bookmarkEnd w:id="7"/>
      <w:bookmarkEnd w:id="8"/>
    </w:p>
    <w:p w14:paraId="4360657D" w14:textId="77777777" w:rsidR="00187D0B" w:rsidRDefault="003870D6" w:rsidP="00AF7267">
      <w:pPr>
        <w:pStyle w:val="Body"/>
      </w:pPr>
      <w:r w:rsidRPr="005F4143">
        <w:t xml:space="preserve">These indicators use data from a variety of sources. Each dataset covers a different population and can be disaggregated differently. </w:t>
      </w:r>
      <w:r w:rsidR="00C054E3" w:rsidRPr="005F4143">
        <w:t xml:space="preserve">Where available, datasets will be disaggregated by the priority </w:t>
      </w:r>
      <w:r w:rsidR="00C054E3" w:rsidRPr="005F4143">
        <w:lastRenderedPageBreak/>
        <w:t xml:space="preserve">populations of the relevant Plan. </w:t>
      </w:r>
      <w:r w:rsidRPr="005F4143">
        <w:t xml:space="preserve">The </w:t>
      </w:r>
      <w:r w:rsidR="00C054E3" w:rsidRPr="005F4143">
        <w:t>Strategy</w:t>
      </w:r>
      <w:r w:rsidRPr="005F4143">
        <w:t xml:space="preserve"> place</w:t>
      </w:r>
      <w:r w:rsidR="00C054E3" w:rsidRPr="005F4143">
        <w:t>s</w:t>
      </w:r>
      <w:r w:rsidRPr="005F4143">
        <w:t xml:space="preserve"> importance on targeting prevention</w:t>
      </w:r>
      <w:r w:rsidR="009A6A89" w:rsidRPr="005F4143">
        <w:t>, testing</w:t>
      </w:r>
      <w:r w:rsidRPr="005F4143">
        <w:t xml:space="preserve"> and</w:t>
      </w:r>
      <w:r w:rsidR="009A6A89" w:rsidRPr="005F4143">
        <w:t xml:space="preserve"> treatment</w:t>
      </w:r>
      <w:r w:rsidRPr="005F4143">
        <w:t xml:space="preserve"> and care services to priority populations. Some of these priority populations, such as Aboriginal </w:t>
      </w:r>
      <w:proofErr w:type="gramStart"/>
      <w:r w:rsidR="006E424C" w:rsidRPr="005F4143">
        <w:t xml:space="preserve">Victorians </w:t>
      </w:r>
      <w:r w:rsidRPr="005F4143">
        <w:t>,</w:t>
      </w:r>
      <w:proofErr w:type="gramEnd"/>
      <w:r w:rsidRPr="005F4143">
        <w:t xml:space="preserve"> can be identified within most datasets where demographics are complete, however, other </w:t>
      </w:r>
      <w:r w:rsidR="000902C5" w:rsidRPr="005F4143">
        <w:t>p</w:t>
      </w:r>
      <w:r w:rsidR="00304DF8" w:rsidRPr="005F4143">
        <w:t>opulations</w:t>
      </w:r>
      <w:r w:rsidRPr="005F4143">
        <w:t xml:space="preserve"> such as people who inject drugs (PWID) and sex workers are harder to identify</w:t>
      </w:r>
      <w:r w:rsidR="00FF0567" w:rsidRPr="005F4143">
        <w:t xml:space="preserve"> within dataset</w:t>
      </w:r>
      <w:r w:rsidR="00E955D2" w:rsidRPr="005F4143">
        <w:t>s</w:t>
      </w:r>
      <w:r w:rsidRPr="005F4143">
        <w:t>.</w:t>
      </w:r>
    </w:p>
    <w:p w14:paraId="01F5211B" w14:textId="465198D1" w:rsidR="005F6FF8" w:rsidRPr="005F4143" w:rsidRDefault="00101D04" w:rsidP="00532407">
      <w:pPr>
        <w:pStyle w:val="Heading2"/>
      </w:pPr>
      <w:bookmarkStart w:id="9" w:name="_Toc214457265"/>
      <w:r w:rsidRPr="005F4143">
        <w:t>Strengthen and support data and research</w:t>
      </w:r>
      <w:bookmarkEnd w:id="9"/>
    </w:p>
    <w:p w14:paraId="6F0F69F8" w14:textId="7A5FA5B6" w:rsidR="00101D04" w:rsidRPr="005F4143" w:rsidRDefault="00101D04" w:rsidP="00AF7267">
      <w:pPr>
        <w:pStyle w:val="Body"/>
      </w:pPr>
      <w:r w:rsidRPr="005F4143">
        <w:t xml:space="preserve">The system enabler plan outlines activities </w:t>
      </w:r>
      <w:r w:rsidR="00465BC0" w:rsidRPr="005F4143">
        <w:t xml:space="preserve">increase the quality and completeness of data and support evaluation and research. These activities include </w:t>
      </w:r>
      <w:r w:rsidR="00532407" w:rsidRPr="005F4143">
        <w:t>improv</w:t>
      </w:r>
      <w:r w:rsidR="00465BC0" w:rsidRPr="005F4143">
        <w:t>ing</w:t>
      </w:r>
      <w:r w:rsidR="00532407" w:rsidRPr="005F4143">
        <w:t xml:space="preserve"> data collections and systems to support a comprehensive understanding of BBV and STI, improving the level of data and granularity of collected data in relation to specific priority and subpopulations and using data dashboards to inform strategy progress and support tailored responses.</w:t>
      </w:r>
    </w:p>
    <w:p w14:paraId="75A9BBE2" w14:textId="6351B22E" w:rsidR="00465BC0" w:rsidRPr="005F4143" w:rsidRDefault="00465BC0" w:rsidP="00AF7267">
      <w:pPr>
        <w:pStyle w:val="Body"/>
      </w:pPr>
      <w:r w:rsidRPr="005F4143">
        <w:t>As these activities are undertake</w:t>
      </w:r>
      <w:r w:rsidR="00EE33E1" w:rsidRPr="005F4143">
        <w:t>n</w:t>
      </w:r>
      <w:r w:rsidRPr="005F4143">
        <w:t>, the indicator framework will be updated to reflect improved data collection and a strengthened surveillance system.</w:t>
      </w:r>
    </w:p>
    <w:p w14:paraId="502D7344" w14:textId="500D7A42" w:rsidR="00EE33E1" w:rsidRPr="005F4143" w:rsidRDefault="00EE33E1" w:rsidP="00AF7267">
      <w:pPr>
        <w:pStyle w:val="Body"/>
      </w:pPr>
      <w:r w:rsidRPr="005F4143">
        <w:t>There will be a mid-point review in 2025–26 of the Strategy to assess progress against achieving the 2025 and 2030 targets. The mid-cycle progress report, informed by the indicator framework and narrative reporting, will be used to refresh and refocus priority actions and activities outlined in the Strategy and its tailored plans.</w:t>
      </w:r>
    </w:p>
    <w:p w14:paraId="63377E8F" w14:textId="77777777" w:rsidR="00532407" w:rsidRPr="005F4143" w:rsidRDefault="00532407" w:rsidP="00AF7267">
      <w:pPr>
        <w:pStyle w:val="Body"/>
      </w:pPr>
    </w:p>
    <w:p w14:paraId="1EED43B0" w14:textId="6DBBAA1D" w:rsidR="00EE29AD" w:rsidRPr="005F4143" w:rsidRDefault="00AA499F" w:rsidP="00AA499F">
      <w:pPr>
        <w:pStyle w:val="Heading1"/>
      </w:pPr>
      <w:r w:rsidRPr="005F4143">
        <w:br w:type="page"/>
      </w:r>
      <w:bookmarkStart w:id="10" w:name="_Toc214457266"/>
      <w:r w:rsidR="002538AD" w:rsidRPr="005F4143">
        <w:lastRenderedPageBreak/>
        <w:t xml:space="preserve">Hepatitis B </w:t>
      </w:r>
      <w:r w:rsidR="00417ACC" w:rsidRPr="005F4143">
        <w:t>p</w:t>
      </w:r>
      <w:r w:rsidR="002538AD" w:rsidRPr="005F4143">
        <w:t>lan 2022</w:t>
      </w:r>
      <w:r w:rsidR="00665827" w:rsidRPr="005F4143">
        <w:t>–</w:t>
      </w:r>
      <w:r w:rsidR="008B2F1D" w:rsidRPr="005F4143">
        <w:t>30</w:t>
      </w:r>
      <w:bookmarkEnd w:id="10"/>
    </w:p>
    <w:p w14:paraId="4AF52DCB" w14:textId="4D23A739" w:rsidR="00ED7762" w:rsidRPr="005F4143" w:rsidRDefault="002538AD" w:rsidP="00B94C5E">
      <w:pPr>
        <w:pStyle w:val="Heading2"/>
      </w:pPr>
      <w:bookmarkStart w:id="11" w:name="_Toc214457267"/>
      <w:r w:rsidRPr="005F4143">
        <w:t>Goals, targets and priority populations</w:t>
      </w:r>
      <w:bookmarkEnd w:id="11"/>
    </w:p>
    <w:p w14:paraId="3AEAA5EE" w14:textId="17C25C16" w:rsidR="002365B4" w:rsidRPr="005F4143" w:rsidRDefault="001E1CCE" w:rsidP="00ED7762">
      <w:pPr>
        <w:pStyle w:val="Body"/>
        <w:rPr>
          <w:b/>
          <w:bCs/>
        </w:rPr>
      </w:pPr>
      <w:r w:rsidRPr="005F4143">
        <w:rPr>
          <w:b/>
          <w:bCs/>
        </w:rPr>
        <w:t>Goals:</w:t>
      </w:r>
    </w:p>
    <w:p w14:paraId="3D1CF733" w14:textId="77777777" w:rsidR="00187D0B" w:rsidRDefault="000514C6" w:rsidP="006F505E">
      <w:pPr>
        <w:pStyle w:val="Body"/>
        <w:numPr>
          <w:ilvl w:val="0"/>
          <w:numId w:val="8"/>
        </w:numPr>
      </w:pPr>
      <w:r w:rsidRPr="005F4143">
        <w:t xml:space="preserve">Victorians are supported to reduce their risk of acquiring </w:t>
      </w:r>
      <w:r w:rsidR="00571B0B" w:rsidRPr="005F4143">
        <w:t>hepatitis B</w:t>
      </w:r>
    </w:p>
    <w:p w14:paraId="3D53880A" w14:textId="77777777" w:rsidR="00187D0B" w:rsidRDefault="000514C6" w:rsidP="006F505E">
      <w:pPr>
        <w:pStyle w:val="Body"/>
        <w:numPr>
          <w:ilvl w:val="0"/>
          <w:numId w:val="8"/>
        </w:numPr>
      </w:pPr>
      <w:r w:rsidRPr="005F4143">
        <w:t xml:space="preserve">Victorians living with </w:t>
      </w:r>
      <w:r w:rsidR="00571B0B" w:rsidRPr="005F4143">
        <w:t>hepatitis B</w:t>
      </w:r>
      <w:r w:rsidRPr="005F4143">
        <w:t xml:space="preserve"> know their status</w:t>
      </w:r>
    </w:p>
    <w:p w14:paraId="302D82E4" w14:textId="77777777" w:rsidR="00187D0B" w:rsidRDefault="000514C6" w:rsidP="006F505E">
      <w:pPr>
        <w:pStyle w:val="Body"/>
        <w:numPr>
          <w:ilvl w:val="0"/>
          <w:numId w:val="8"/>
        </w:numPr>
      </w:pPr>
      <w:r w:rsidRPr="005F4143">
        <w:t xml:space="preserve">Victorians living with </w:t>
      </w:r>
      <w:r w:rsidR="00571B0B" w:rsidRPr="005F4143">
        <w:t>hepatitis B</w:t>
      </w:r>
      <w:r w:rsidRPr="005F4143">
        <w:t xml:space="preserve"> have the best practice evidence-based treatment and care</w:t>
      </w:r>
    </w:p>
    <w:p w14:paraId="0ABC1843" w14:textId="77777777" w:rsidR="00187D0B" w:rsidRDefault="000514C6" w:rsidP="006F505E">
      <w:pPr>
        <w:pStyle w:val="Body"/>
        <w:numPr>
          <w:ilvl w:val="0"/>
          <w:numId w:val="8"/>
        </w:numPr>
      </w:pPr>
      <w:r w:rsidRPr="005F4143">
        <w:t xml:space="preserve">Stigma, racism and discrimination are not a barrier to </w:t>
      </w:r>
      <w:r w:rsidR="00571B0B" w:rsidRPr="005F4143">
        <w:t>hepatitis B</w:t>
      </w:r>
      <w:r w:rsidRPr="005F4143">
        <w:t xml:space="preserve"> prevention, testing, treatment or care</w:t>
      </w:r>
    </w:p>
    <w:p w14:paraId="4D667D4D" w14:textId="6B2BCF49" w:rsidR="00FC7098" w:rsidRPr="005F4143" w:rsidRDefault="00FC7098" w:rsidP="00FC7098">
      <w:pPr>
        <w:pStyle w:val="Body"/>
        <w:ind w:left="720"/>
      </w:pPr>
    </w:p>
    <w:p w14:paraId="30A66266" w14:textId="1AAA7B8E" w:rsidR="000514C6" w:rsidRPr="005F4143" w:rsidRDefault="00BD3109" w:rsidP="000514C6">
      <w:pPr>
        <w:pStyle w:val="Body"/>
        <w:rPr>
          <w:b/>
          <w:bCs/>
        </w:rPr>
      </w:pPr>
      <w:r w:rsidRPr="005F4143">
        <w:rPr>
          <w:b/>
          <w:bCs/>
        </w:rPr>
        <w:t>Stepped targets for 2025</w:t>
      </w:r>
      <w:r w:rsidR="000514C6" w:rsidRPr="005F4143">
        <w:rPr>
          <w:b/>
          <w:bCs/>
        </w:rPr>
        <w:t>:</w:t>
      </w:r>
    </w:p>
    <w:p w14:paraId="1536973D" w14:textId="092E5B20" w:rsidR="00FC7098" w:rsidRPr="005F4143" w:rsidRDefault="00FC7098" w:rsidP="006F505E">
      <w:pPr>
        <w:pStyle w:val="Body"/>
        <w:numPr>
          <w:ilvl w:val="0"/>
          <w:numId w:val="8"/>
        </w:numPr>
      </w:pPr>
      <w:r w:rsidRPr="005F4143">
        <w:t>Reduce the number of newly acquired hepatitis B infections by 50 per cent, with a focus on priority populations</w:t>
      </w:r>
    </w:p>
    <w:p w14:paraId="10FC792E" w14:textId="3EC61067" w:rsidR="005818F5" w:rsidRPr="005F4143" w:rsidRDefault="005818F5" w:rsidP="006F505E">
      <w:pPr>
        <w:pStyle w:val="Body"/>
        <w:numPr>
          <w:ilvl w:val="0"/>
          <w:numId w:val="8"/>
        </w:numPr>
      </w:pPr>
    </w:p>
    <w:p w14:paraId="76E6E82D" w14:textId="77777777" w:rsidR="00FC7098" w:rsidRPr="005F4143" w:rsidRDefault="00FC7098" w:rsidP="00ED7762">
      <w:pPr>
        <w:pStyle w:val="Body"/>
        <w:rPr>
          <w:b/>
          <w:bCs/>
        </w:rPr>
      </w:pPr>
    </w:p>
    <w:p w14:paraId="676E8C43" w14:textId="597FC116" w:rsidR="005818F5" w:rsidRPr="005F4143" w:rsidRDefault="005818F5" w:rsidP="00ED7762">
      <w:pPr>
        <w:pStyle w:val="Body"/>
        <w:rPr>
          <w:b/>
          <w:bCs/>
        </w:rPr>
      </w:pPr>
      <w:r w:rsidRPr="005F4143">
        <w:rPr>
          <w:b/>
          <w:bCs/>
        </w:rPr>
        <w:t xml:space="preserve">Priority </w:t>
      </w:r>
      <w:r w:rsidR="005076B1" w:rsidRPr="005F4143">
        <w:rPr>
          <w:b/>
          <w:bCs/>
        </w:rPr>
        <w:t>p</w:t>
      </w:r>
      <w:r w:rsidRPr="005F4143">
        <w:rPr>
          <w:b/>
          <w:bCs/>
        </w:rPr>
        <w:t>opulations</w:t>
      </w:r>
    </w:p>
    <w:p w14:paraId="187C0A7C" w14:textId="03104EE6" w:rsidR="00113E7B" w:rsidRPr="005F4143" w:rsidRDefault="00190341" w:rsidP="006F505E">
      <w:pPr>
        <w:pStyle w:val="Body"/>
        <w:numPr>
          <w:ilvl w:val="0"/>
          <w:numId w:val="8"/>
        </w:numPr>
      </w:pPr>
      <w:r w:rsidRPr="005F4143">
        <w:t>Culturally diverse people</w:t>
      </w:r>
    </w:p>
    <w:p w14:paraId="00D1FDDE" w14:textId="77777777" w:rsidR="00113E7B" w:rsidRPr="005F4143" w:rsidRDefault="00113E7B" w:rsidP="006F505E">
      <w:pPr>
        <w:pStyle w:val="Body"/>
        <w:numPr>
          <w:ilvl w:val="0"/>
          <w:numId w:val="8"/>
        </w:numPr>
      </w:pPr>
      <w:r w:rsidRPr="005F4143">
        <w:t>P</w:t>
      </w:r>
      <w:r w:rsidR="00190341" w:rsidRPr="005F4143">
        <w:t>eople living with hepatitis B including children</w:t>
      </w:r>
    </w:p>
    <w:p w14:paraId="37158E3E" w14:textId="77777777" w:rsidR="00113E7B" w:rsidRPr="005F4143" w:rsidRDefault="00190341" w:rsidP="006F505E">
      <w:pPr>
        <w:pStyle w:val="Body"/>
        <w:numPr>
          <w:ilvl w:val="0"/>
          <w:numId w:val="8"/>
        </w:numPr>
      </w:pPr>
      <w:r w:rsidRPr="005F4143">
        <w:t>Aboriginal people</w:t>
      </w:r>
    </w:p>
    <w:p w14:paraId="2B3519AB" w14:textId="77777777" w:rsidR="00113E7B" w:rsidRPr="005F4143" w:rsidRDefault="00113E7B" w:rsidP="006F505E">
      <w:pPr>
        <w:pStyle w:val="Body"/>
        <w:numPr>
          <w:ilvl w:val="0"/>
          <w:numId w:val="8"/>
        </w:numPr>
      </w:pPr>
      <w:r w:rsidRPr="005F4143">
        <w:t>P</w:t>
      </w:r>
      <w:r w:rsidR="00190341" w:rsidRPr="005F4143">
        <w:t>regnant women with hepatitis B and their children</w:t>
      </w:r>
    </w:p>
    <w:p w14:paraId="777BFF90" w14:textId="76380F59" w:rsidR="005818F5" w:rsidRPr="005F4143" w:rsidRDefault="00113E7B" w:rsidP="006F505E">
      <w:pPr>
        <w:pStyle w:val="Body"/>
        <w:numPr>
          <w:ilvl w:val="0"/>
          <w:numId w:val="8"/>
        </w:numPr>
      </w:pPr>
      <w:r w:rsidRPr="005F4143">
        <w:t>U</w:t>
      </w:r>
      <w:r w:rsidR="00190341" w:rsidRPr="005F4143">
        <w:t>nvaccinated adults at higher risk of infection.</w:t>
      </w:r>
    </w:p>
    <w:p w14:paraId="581501C3" w14:textId="77777777" w:rsidR="00933BD9" w:rsidRPr="005F4143" w:rsidRDefault="00933BD9" w:rsidP="00ED7762">
      <w:pPr>
        <w:pStyle w:val="Body"/>
      </w:pPr>
    </w:p>
    <w:p w14:paraId="38699FA4" w14:textId="77777777" w:rsidR="0073163D" w:rsidRPr="005F4143" w:rsidRDefault="0073163D">
      <w:pPr>
        <w:spacing w:after="0" w:line="240" w:lineRule="auto"/>
        <w:rPr>
          <w:rFonts w:eastAsia="MS Gothic"/>
          <w:b/>
          <w:bCs/>
          <w:color w:val="53565A"/>
          <w:sz w:val="30"/>
          <w:szCs w:val="26"/>
        </w:rPr>
      </w:pPr>
      <w:r w:rsidRPr="005F4143">
        <w:br w:type="page"/>
      </w:r>
    </w:p>
    <w:p w14:paraId="0C3B09AA" w14:textId="5CBEB2D8" w:rsidR="00933BD9" w:rsidRPr="005F4143" w:rsidRDefault="00933BD9" w:rsidP="00FC78F5">
      <w:pPr>
        <w:pStyle w:val="Heading3"/>
        <w:rPr>
          <w:lang w:val="en-AU"/>
        </w:rPr>
      </w:pPr>
      <w:bookmarkStart w:id="12" w:name="_Toc214457268"/>
      <w:r w:rsidRPr="005F4143">
        <w:rPr>
          <w:lang w:val="en-AU"/>
        </w:rPr>
        <w:lastRenderedPageBreak/>
        <w:t>Focus Area 1: Prevent</w:t>
      </w:r>
      <w:bookmarkEnd w:id="12"/>
    </w:p>
    <w:p w14:paraId="45FE57EF" w14:textId="61A42DC8" w:rsidR="00152329" w:rsidRPr="005F4143" w:rsidRDefault="00B13217" w:rsidP="00152329">
      <w:pPr>
        <w:pStyle w:val="Body"/>
        <w:rPr>
          <w:b/>
          <w:bCs/>
        </w:rPr>
      </w:pPr>
      <w:r w:rsidRPr="005F4143">
        <w:rPr>
          <w:b/>
          <w:bCs/>
        </w:rPr>
        <w:t>Goal: Victorians are supported to reduce their risk of acquiring hepatitis B</w:t>
      </w:r>
    </w:p>
    <w:p w14:paraId="79B42198" w14:textId="327868C1" w:rsidR="00816966" w:rsidRPr="005F4143" w:rsidRDefault="00816966" w:rsidP="00152329">
      <w:pPr>
        <w:pStyle w:val="Body"/>
        <w:rPr>
          <w:b/>
          <w:bCs/>
          <w:u w:val="single"/>
        </w:rPr>
      </w:pPr>
      <w:r w:rsidRPr="005F4143">
        <w:rPr>
          <w:b/>
          <w:bCs/>
          <w:u w:val="single"/>
        </w:rPr>
        <w:t>Objectives (by 2030):</w:t>
      </w:r>
    </w:p>
    <w:p w14:paraId="1FB94557" w14:textId="4EBF59D9" w:rsidR="0066052A" w:rsidRPr="005F4143" w:rsidRDefault="0066052A" w:rsidP="006F505E">
      <w:pPr>
        <w:pStyle w:val="Body"/>
        <w:numPr>
          <w:ilvl w:val="1"/>
          <w:numId w:val="9"/>
        </w:numPr>
      </w:pPr>
      <w:r w:rsidRPr="005F4143">
        <w:t xml:space="preserve">Victorians know how to prevent </w:t>
      </w:r>
      <w:r w:rsidR="00571B0B" w:rsidRPr="005F4143">
        <w:t>hepatitis B</w:t>
      </w:r>
      <w:r w:rsidRPr="005F4143">
        <w:t xml:space="preserve"> and are supported to do so</w:t>
      </w:r>
    </w:p>
    <w:p w14:paraId="21A5D2E1" w14:textId="373CB702" w:rsidR="0066052A" w:rsidRPr="005F4143" w:rsidRDefault="0066052A" w:rsidP="006F505E">
      <w:pPr>
        <w:pStyle w:val="Body"/>
        <w:numPr>
          <w:ilvl w:val="1"/>
          <w:numId w:val="9"/>
        </w:numPr>
      </w:pPr>
      <w:r w:rsidRPr="005F4143">
        <w:t xml:space="preserve">There is an overall and ongoing reduction in the new cases of </w:t>
      </w:r>
      <w:r w:rsidR="00571B0B" w:rsidRPr="005F4143">
        <w:t>hepatitis B</w:t>
      </w:r>
      <w:r w:rsidRPr="005F4143">
        <w:t xml:space="preserve"> in Victoria</w:t>
      </w:r>
    </w:p>
    <w:p w14:paraId="7197C505" w14:textId="77777777" w:rsidR="0066052A" w:rsidRPr="005F4143" w:rsidRDefault="0066052A" w:rsidP="006F505E">
      <w:pPr>
        <w:pStyle w:val="Body"/>
        <w:numPr>
          <w:ilvl w:val="1"/>
          <w:numId w:val="9"/>
        </w:numPr>
      </w:pPr>
      <w:r w:rsidRPr="005F4143">
        <w:t>Vaccination coverage among Victorian children is as high as possible</w:t>
      </w:r>
    </w:p>
    <w:p w14:paraId="2BF7A219" w14:textId="1E98DABC" w:rsidR="0066052A" w:rsidRPr="005F4143" w:rsidRDefault="0066052A" w:rsidP="006F505E">
      <w:pPr>
        <w:pStyle w:val="Body"/>
        <w:numPr>
          <w:ilvl w:val="1"/>
          <w:numId w:val="9"/>
        </w:numPr>
      </w:pPr>
      <w:r w:rsidRPr="005F4143">
        <w:t xml:space="preserve">People in priority populations are vaccinated against </w:t>
      </w:r>
      <w:r w:rsidR="00571B0B" w:rsidRPr="005F4143">
        <w:t>hepatitis B</w:t>
      </w:r>
      <w:r w:rsidRPr="005F4143">
        <w:t>.</w:t>
      </w:r>
    </w:p>
    <w:p w14:paraId="39C342DD" w14:textId="740D79AD" w:rsidR="00E040AE" w:rsidRPr="005F4143" w:rsidRDefault="00686E91" w:rsidP="00E040AE">
      <w:pPr>
        <w:pStyle w:val="Heading4"/>
      </w:pPr>
      <w:bookmarkStart w:id="13" w:name="_Toc214457269"/>
      <w:r w:rsidRPr="005F4143">
        <w:t xml:space="preserve">Group </w:t>
      </w:r>
      <w:r w:rsidR="00CB7E4E" w:rsidRPr="005F4143">
        <w:t xml:space="preserve">1: </w:t>
      </w:r>
      <w:r w:rsidR="00E040AE" w:rsidRPr="005F4143">
        <w:t>Reduction in new</w:t>
      </w:r>
      <w:r w:rsidR="00741138" w:rsidRPr="005F4143">
        <w:t>ly acquired</w:t>
      </w:r>
      <w:r w:rsidR="00E040AE" w:rsidRPr="005F4143">
        <w:t xml:space="preserve"> cases of </w:t>
      </w:r>
      <w:r w:rsidR="00571B0B" w:rsidRPr="005F4143">
        <w:t>hepatitis B</w:t>
      </w:r>
      <w:bookmarkEnd w:id="13"/>
    </w:p>
    <w:p w14:paraId="499A3F10" w14:textId="1971B1EB" w:rsidR="00816966" w:rsidRPr="005F4143" w:rsidRDefault="0066052A" w:rsidP="00152329">
      <w:pPr>
        <w:pStyle w:val="Body"/>
        <w:rPr>
          <w:b/>
          <w:bCs/>
          <w:u w:val="single"/>
        </w:rPr>
      </w:pPr>
      <w:r w:rsidRPr="005F4143">
        <w:rPr>
          <w:b/>
          <w:bCs/>
          <w:u w:val="single"/>
        </w:rPr>
        <w:t>Targets for 2025:</w:t>
      </w:r>
    </w:p>
    <w:p w14:paraId="22F80D7F" w14:textId="77777777" w:rsidR="00D71F79" w:rsidRPr="005F4143" w:rsidRDefault="00D71F79" w:rsidP="006F505E">
      <w:pPr>
        <w:pStyle w:val="Body"/>
        <w:numPr>
          <w:ilvl w:val="1"/>
          <w:numId w:val="9"/>
        </w:numPr>
      </w:pPr>
      <w:r w:rsidRPr="005F4143">
        <w:t>Reduce the number of newly acquired hepatitis B infections by 50%, with a focus on priority populations</w:t>
      </w:r>
    </w:p>
    <w:p w14:paraId="724B5CB5" w14:textId="30265499" w:rsidR="0058731E" w:rsidRPr="005F4143" w:rsidRDefault="0058731E" w:rsidP="0058731E">
      <w:pPr>
        <w:pStyle w:val="Body"/>
        <w:rPr>
          <w:b/>
          <w:bCs/>
          <w:u w:val="single"/>
        </w:rPr>
      </w:pPr>
      <w:r w:rsidRPr="005F4143">
        <w:rPr>
          <w:b/>
          <w:bCs/>
          <w:u w:val="single"/>
        </w:rPr>
        <w:t>Indicators:</w:t>
      </w:r>
    </w:p>
    <w:p w14:paraId="5030739B" w14:textId="62F2C4DB" w:rsidR="0058731E" w:rsidRPr="005F4143" w:rsidRDefault="0058731E" w:rsidP="006F505E">
      <w:pPr>
        <w:pStyle w:val="Body"/>
        <w:numPr>
          <w:ilvl w:val="1"/>
          <w:numId w:val="9"/>
        </w:numPr>
      </w:pPr>
      <w:r w:rsidRPr="005F4143">
        <w:t>Annual rate of newly acquired hepatitis B</w:t>
      </w:r>
    </w:p>
    <w:p w14:paraId="1D6978C8" w14:textId="77777777" w:rsidR="0058731E" w:rsidRPr="005F4143" w:rsidRDefault="0058731E" w:rsidP="00FB1FE6">
      <w:pPr>
        <w:pStyle w:val="Body"/>
      </w:pPr>
    </w:p>
    <w:p w14:paraId="4BB1F133" w14:textId="19028E02" w:rsidR="005C462E" w:rsidRPr="005F4143" w:rsidRDefault="005C462E" w:rsidP="005C462E">
      <w:pPr>
        <w:pStyle w:val="Body"/>
      </w:pPr>
      <w:r w:rsidRPr="005F4143">
        <w:rPr>
          <w:b/>
          <w:bCs/>
        </w:rPr>
        <w:t xml:space="preserve">Indicator </w:t>
      </w:r>
      <w:r w:rsidR="00257420" w:rsidRPr="005F4143">
        <w:rPr>
          <w:b/>
          <w:bCs/>
        </w:rPr>
        <w:t>n</w:t>
      </w:r>
      <w:r w:rsidRPr="005F4143">
        <w:rPr>
          <w:b/>
          <w:bCs/>
        </w:rPr>
        <w:t>otes</w:t>
      </w:r>
    </w:p>
    <w:p w14:paraId="047F10C4" w14:textId="24CAAECF" w:rsidR="005C462E" w:rsidRPr="005F4143" w:rsidRDefault="005C462E" w:rsidP="005C462E">
      <w:pPr>
        <w:pStyle w:val="Body"/>
      </w:pPr>
      <w:r w:rsidRPr="005F4143">
        <w:t>Hepatitis B is a notifiable condition in Victoria. Notifications from diagnosing clinicians and laboratories are recorded in PHESS. Hepatitis B is notified as either ‘newly acquired,’ where evidence was available that the infection was acquired within 24 months prior to diagnosis, or ‘unspecified’, where the infection was acquired more than 24 months prior to diagnosis</w:t>
      </w:r>
      <w:r w:rsidR="001C189D" w:rsidRPr="005F4143">
        <w:t>,</w:t>
      </w:r>
      <w:r w:rsidRPr="005F4143">
        <w:t xml:space="preserve"> or the period of infection is unknown.</w:t>
      </w:r>
    </w:p>
    <w:p w14:paraId="617A7309" w14:textId="64F60EF1" w:rsidR="005C462E" w:rsidRPr="005F4143" w:rsidRDefault="005C462E" w:rsidP="005C462E">
      <w:pPr>
        <w:pStyle w:val="Body"/>
      </w:pPr>
      <w:r w:rsidRPr="005F4143">
        <w:t>Determination of a case as ‘newly acquired’ is heavily reliant on public health follow-up and the availability of previous serology test results. Notified cases over time do not solely reflect changes in disease incidence. Changes in testing policies; screening programs, including preferential testing of high- risk populations; the use of less invasive and more sensitive diagnostic tests; and periodic awareness campaigns, may influence the number of notifications that are received over time.</w:t>
      </w:r>
    </w:p>
    <w:p w14:paraId="1A548EC6" w14:textId="0793D398" w:rsidR="00C476D9" w:rsidRPr="005F4143" w:rsidRDefault="005C462E" w:rsidP="00152329">
      <w:pPr>
        <w:pStyle w:val="Body"/>
      </w:pPr>
      <w:r w:rsidRPr="005F4143">
        <w:t xml:space="preserve">Another limitation of the notification and testing data is that they represent only a proportion of the total cases occurring in the community, that is, only those cases for which health care was sought, a test conducted, and a diagnosis made, followed by a notification to </w:t>
      </w:r>
      <w:r w:rsidR="002A0A7C" w:rsidRPr="005F4143">
        <w:t>the department</w:t>
      </w:r>
      <w:r w:rsidRPr="005F4143">
        <w:t>. The degree of under-representation of all cases is unknown. Modelling performed by the National Surveillance for Hepatitis B Indicators Project seeks to determine hepatitis B incidence using assumptions including the proportion of people tested and the rate of notification. Results from this project offer means of reporting estimated hepatitis B incidence.</w:t>
      </w:r>
    </w:p>
    <w:p w14:paraId="4FCB9D55" w14:textId="77777777" w:rsidR="00C476D9" w:rsidRPr="005F4143" w:rsidRDefault="00C476D9" w:rsidP="00152329">
      <w:pPr>
        <w:pStyle w:val="Body"/>
      </w:pPr>
    </w:p>
    <w:p w14:paraId="62C29FD1" w14:textId="6B33B9DC" w:rsidR="00C476D9" w:rsidRPr="005F4143" w:rsidRDefault="00C476D9" w:rsidP="00152329">
      <w:pPr>
        <w:pStyle w:val="Body"/>
        <w:rPr>
          <w:b/>
          <w:bCs/>
        </w:rPr>
      </w:pPr>
      <w:r w:rsidRPr="005F4143">
        <w:rPr>
          <w:b/>
          <w:bCs/>
        </w:rPr>
        <w:t>Reporting against indicators</w:t>
      </w:r>
    </w:p>
    <w:p w14:paraId="24D261E3" w14:textId="7D0AD405" w:rsidR="00156B1A" w:rsidRPr="005F4143" w:rsidRDefault="004C7B1B" w:rsidP="00156B1A">
      <w:pPr>
        <w:pStyle w:val="Tablecaption"/>
      </w:pPr>
      <w:r w:rsidRPr="005F4143">
        <w:fldChar w:fldCharType="begin"/>
      </w:r>
      <w:r w:rsidRPr="005F4143">
        <w:instrText>SEQ Table \* ARABIC</w:instrText>
      </w:r>
      <w:r w:rsidRPr="005F4143">
        <w:fldChar w:fldCharType="separate"/>
      </w:r>
      <w:bookmarkStart w:id="14" w:name="_Toc214457300"/>
      <w:r w:rsidR="00670632">
        <w:rPr>
          <w:noProof/>
        </w:rPr>
        <w:t>1</w:t>
      </w:r>
      <w:r w:rsidRPr="005F4143">
        <w:fldChar w:fldCharType="end"/>
      </w:r>
      <w:r w:rsidR="00156B1A" w:rsidRPr="005F4143">
        <w:t>. Annual rate of newly acquired hepatitis B</w:t>
      </w:r>
      <w:bookmarkEnd w:id="14"/>
    </w:p>
    <w:tbl>
      <w:tblPr>
        <w:tblStyle w:val="TableGrid"/>
        <w:tblW w:w="9776" w:type="dxa"/>
        <w:tblLook w:val="06A0" w:firstRow="1" w:lastRow="0" w:firstColumn="1" w:lastColumn="0" w:noHBand="1" w:noVBand="1"/>
      </w:tblPr>
      <w:tblGrid>
        <w:gridCol w:w="1419"/>
        <w:gridCol w:w="3233"/>
        <w:gridCol w:w="1439"/>
        <w:gridCol w:w="1701"/>
        <w:gridCol w:w="1984"/>
      </w:tblGrid>
      <w:tr w:rsidR="00921E3B" w:rsidRPr="005F4143" w14:paraId="4553D518" w14:textId="7647634C" w:rsidTr="00921E3B">
        <w:trPr>
          <w:tblHeader/>
        </w:trPr>
        <w:tc>
          <w:tcPr>
            <w:tcW w:w="1419" w:type="dxa"/>
          </w:tcPr>
          <w:p w14:paraId="7796971C" w14:textId="20EE75BA" w:rsidR="00921E3B" w:rsidRPr="005F4143" w:rsidRDefault="00921E3B">
            <w:pPr>
              <w:pStyle w:val="Tablecolhead"/>
            </w:pPr>
            <w:r w:rsidRPr="005F4143">
              <w:t>Component</w:t>
            </w:r>
          </w:p>
        </w:tc>
        <w:tc>
          <w:tcPr>
            <w:tcW w:w="3233" w:type="dxa"/>
            <w:tcBorders>
              <w:bottom w:val="single" w:sz="4" w:space="0" w:color="auto"/>
            </w:tcBorders>
          </w:tcPr>
          <w:p w14:paraId="672FF82B" w14:textId="618645DC" w:rsidR="00921E3B" w:rsidRPr="005F4143" w:rsidRDefault="00921E3B">
            <w:pPr>
              <w:pStyle w:val="Tablecolhead"/>
            </w:pPr>
            <w:r w:rsidRPr="005F4143">
              <w:t>Description</w:t>
            </w:r>
          </w:p>
        </w:tc>
        <w:tc>
          <w:tcPr>
            <w:tcW w:w="1439" w:type="dxa"/>
          </w:tcPr>
          <w:p w14:paraId="36507226" w14:textId="15BE17E2" w:rsidR="00921E3B" w:rsidRPr="005F4143" w:rsidRDefault="00921E3B">
            <w:pPr>
              <w:pStyle w:val="Tablecolhead"/>
            </w:pPr>
            <w:r w:rsidRPr="005F4143">
              <w:t>Source</w:t>
            </w:r>
          </w:p>
        </w:tc>
        <w:tc>
          <w:tcPr>
            <w:tcW w:w="1701" w:type="dxa"/>
          </w:tcPr>
          <w:p w14:paraId="4737DE31" w14:textId="0CE1ADF2" w:rsidR="00921E3B" w:rsidRPr="005F4143" w:rsidRDefault="00921E3B">
            <w:pPr>
              <w:pStyle w:val="Tablecolhead"/>
            </w:pPr>
            <w:r w:rsidRPr="005F4143">
              <w:t>Custodian</w:t>
            </w:r>
          </w:p>
        </w:tc>
        <w:tc>
          <w:tcPr>
            <w:tcW w:w="1984" w:type="dxa"/>
          </w:tcPr>
          <w:p w14:paraId="2BB9600F" w14:textId="79D071DA" w:rsidR="00921E3B" w:rsidRPr="005F4143" w:rsidRDefault="00921E3B">
            <w:pPr>
              <w:pStyle w:val="Tablecolhead"/>
            </w:pPr>
            <w:r w:rsidRPr="005F4143">
              <w:t>Availability</w:t>
            </w:r>
          </w:p>
        </w:tc>
      </w:tr>
      <w:tr w:rsidR="00921E3B" w:rsidRPr="005F4143" w14:paraId="0FF89756" w14:textId="44AE8CE9" w:rsidTr="00921E3B">
        <w:tc>
          <w:tcPr>
            <w:tcW w:w="1419" w:type="dxa"/>
          </w:tcPr>
          <w:p w14:paraId="1CDEE05C" w14:textId="77C2F8D8" w:rsidR="00921E3B" w:rsidRPr="005F4143" w:rsidRDefault="00921E3B">
            <w:pPr>
              <w:pStyle w:val="Tabletext"/>
            </w:pPr>
            <w:r w:rsidRPr="005F4143">
              <w:t>Numerator</w:t>
            </w:r>
          </w:p>
        </w:tc>
        <w:tc>
          <w:tcPr>
            <w:tcW w:w="3233" w:type="dxa"/>
          </w:tcPr>
          <w:p w14:paraId="3AADBD0B" w14:textId="7BA4C575" w:rsidR="00921E3B" w:rsidRPr="005F4143" w:rsidRDefault="00921E3B">
            <w:pPr>
              <w:pStyle w:val="Tabletext"/>
            </w:pPr>
            <w:r w:rsidRPr="005F4143">
              <w:t>Number of cases of newly acquired hepatitis B notified to the DH</w:t>
            </w:r>
          </w:p>
        </w:tc>
        <w:tc>
          <w:tcPr>
            <w:tcW w:w="1439" w:type="dxa"/>
          </w:tcPr>
          <w:p w14:paraId="6FAAD202" w14:textId="35EBC614" w:rsidR="00921E3B" w:rsidRPr="005F4143" w:rsidRDefault="00921E3B" w:rsidP="00921E3B">
            <w:pPr>
              <w:pStyle w:val="Tablebullet2"/>
              <w:numPr>
                <w:ilvl w:val="0"/>
                <w:numId w:val="0"/>
              </w:numPr>
            </w:pPr>
            <w:r w:rsidRPr="005F4143">
              <w:t>PHESS</w:t>
            </w:r>
          </w:p>
        </w:tc>
        <w:tc>
          <w:tcPr>
            <w:tcW w:w="1701" w:type="dxa"/>
          </w:tcPr>
          <w:p w14:paraId="5D653D96" w14:textId="5E770109" w:rsidR="00921E3B" w:rsidRPr="005F4143" w:rsidRDefault="00921E3B" w:rsidP="00921E3B">
            <w:pPr>
              <w:pStyle w:val="Tablebullet2"/>
              <w:numPr>
                <w:ilvl w:val="0"/>
                <w:numId w:val="0"/>
              </w:numPr>
            </w:pPr>
            <w:r w:rsidRPr="005F4143">
              <w:t>DH</w:t>
            </w:r>
          </w:p>
        </w:tc>
        <w:tc>
          <w:tcPr>
            <w:tcW w:w="1984" w:type="dxa"/>
          </w:tcPr>
          <w:p w14:paraId="7760A161" w14:textId="32F01C40" w:rsidR="00921E3B" w:rsidRPr="005F4143" w:rsidRDefault="00921E3B" w:rsidP="00921E3B">
            <w:pPr>
              <w:pStyle w:val="Tablebullet1"/>
              <w:numPr>
                <w:ilvl w:val="0"/>
                <w:numId w:val="0"/>
              </w:numPr>
              <w:ind w:left="227" w:hanging="227"/>
            </w:pPr>
            <w:r w:rsidRPr="005F4143">
              <w:t>Quarterly</w:t>
            </w:r>
          </w:p>
        </w:tc>
      </w:tr>
      <w:tr w:rsidR="00921E3B" w:rsidRPr="005F4143" w14:paraId="00CA7895" w14:textId="77777777" w:rsidTr="00921E3B">
        <w:tc>
          <w:tcPr>
            <w:tcW w:w="1419" w:type="dxa"/>
          </w:tcPr>
          <w:p w14:paraId="78271C80" w14:textId="55BF1537" w:rsidR="00921E3B" w:rsidRPr="005F4143" w:rsidRDefault="00921E3B">
            <w:r w:rsidRPr="005F4143">
              <w:lastRenderedPageBreak/>
              <w:t>Denominator</w:t>
            </w:r>
          </w:p>
        </w:tc>
        <w:tc>
          <w:tcPr>
            <w:tcW w:w="3233" w:type="dxa"/>
          </w:tcPr>
          <w:p w14:paraId="0F7D4B6C" w14:textId="1E56D238" w:rsidR="00921E3B" w:rsidRPr="005F4143" w:rsidRDefault="00921E3B">
            <w:r w:rsidRPr="005F4143">
              <w:t>Victorian ERP</w:t>
            </w:r>
          </w:p>
        </w:tc>
        <w:tc>
          <w:tcPr>
            <w:tcW w:w="1439" w:type="dxa"/>
          </w:tcPr>
          <w:p w14:paraId="54C31785" w14:textId="275C6DE2" w:rsidR="00921E3B" w:rsidRPr="005F4143" w:rsidRDefault="00921E3B" w:rsidP="00921E3B">
            <w:pPr>
              <w:pStyle w:val="Tablebullet1"/>
              <w:numPr>
                <w:ilvl w:val="0"/>
                <w:numId w:val="0"/>
              </w:numPr>
            </w:pPr>
            <w:r w:rsidRPr="005F4143">
              <w:t>ABS website</w:t>
            </w:r>
          </w:p>
        </w:tc>
        <w:tc>
          <w:tcPr>
            <w:tcW w:w="1701" w:type="dxa"/>
          </w:tcPr>
          <w:p w14:paraId="5B6A2660" w14:textId="78906445" w:rsidR="00921E3B" w:rsidRPr="005F4143" w:rsidRDefault="00921E3B" w:rsidP="00921E3B">
            <w:pPr>
              <w:pStyle w:val="Tablebullet1"/>
              <w:numPr>
                <w:ilvl w:val="0"/>
                <w:numId w:val="0"/>
              </w:numPr>
              <w:ind w:left="227" w:hanging="227"/>
            </w:pPr>
            <w:r w:rsidRPr="005F4143">
              <w:t>ABS</w:t>
            </w:r>
          </w:p>
        </w:tc>
        <w:tc>
          <w:tcPr>
            <w:tcW w:w="1984" w:type="dxa"/>
          </w:tcPr>
          <w:p w14:paraId="124F21A5" w14:textId="6F89A8FA" w:rsidR="00921E3B" w:rsidRPr="005F4143" w:rsidRDefault="00921E3B" w:rsidP="00921E3B">
            <w:pPr>
              <w:pStyle w:val="Tablebullet1"/>
              <w:numPr>
                <w:ilvl w:val="0"/>
                <w:numId w:val="0"/>
              </w:numPr>
              <w:ind w:left="227" w:hanging="227"/>
            </w:pPr>
            <w:r w:rsidRPr="005F4143">
              <w:t>Quarterly</w:t>
            </w:r>
          </w:p>
        </w:tc>
      </w:tr>
    </w:tbl>
    <w:p w14:paraId="6B66C620" w14:textId="134B53C2" w:rsidR="00187D0B" w:rsidRDefault="00187D0B" w:rsidP="006806EF">
      <w:pPr>
        <w:pStyle w:val="Body"/>
      </w:pPr>
    </w:p>
    <w:p w14:paraId="1FCA57C0" w14:textId="77777777" w:rsidR="003C2ED6" w:rsidRPr="005F4143" w:rsidRDefault="003C2ED6">
      <w:pPr>
        <w:spacing w:after="0" w:line="240" w:lineRule="auto"/>
        <w:rPr>
          <w:rFonts w:eastAsia="MS Gothic" w:cs="Arial"/>
          <w:bCs/>
          <w:color w:val="AF272F"/>
          <w:kern w:val="32"/>
          <w:sz w:val="44"/>
          <w:szCs w:val="44"/>
        </w:rPr>
      </w:pPr>
      <w:r w:rsidRPr="005F4143">
        <w:br w:type="page"/>
      </w:r>
    </w:p>
    <w:p w14:paraId="4C57B34B" w14:textId="271B926B" w:rsidR="00284C31" w:rsidRPr="005F4143" w:rsidRDefault="00284C31" w:rsidP="00284C31">
      <w:pPr>
        <w:pStyle w:val="Heading1"/>
        <w:spacing w:before="0"/>
      </w:pPr>
      <w:bookmarkStart w:id="15" w:name="_Toc214457270"/>
      <w:r w:rsidRPr="005F4143">
        <w:lastRenderedPageBreak/>
        <w:t xml:space="preserve">Hepatitis C </w:t>
      </w:r>
      <w:r w:rsidR="001275A5" w:rsidRPr="005F4143">
        <w:t>p</w:t>
      </w:r>
      <w:r w:rsidRPr="005F4143">
        <w:t>lan 2022-</w:t>
      </w:r>
      <w:r w:rsidR="008B2F1D" w:rsidRPr="005F4143">
        <w:t>30</w:t>
      </w:r>
      <w:bookmarkEnd w:id="15"/>
    </w:p>
    <w:p w14:paraId="5B863529" w14:textId="469D0BCC" w:rsidR="00284C31" w:rsidRPr="005F4143" w:rsidRDefault="00284C31" w:rsidP="00284C31">
      <w:pPr>
        <w:pStyle w:val="Heading2"/>
      </w:pPr>
      <w:bookmarkStart w:id="16" w:name="_Toc214457271"/>
      <w:r w:rsidRPr="005F4143">
        <w:t>Goals, targets and priority populations</w:t>
      </w:r>
      <w:bookmarkEnd w:id="16"/>
    </w:p>
    <w:p w14:paraId="46B25BD5" w14:textId="77777777" w:rsidR="00284C31" w:rsidRPr="005F4143" w:rsidRDefault="00284C31" w:rsidP="00284C31">
      <w:pPr>
        <w:pStyle w:val="Body"/>
        <w:rPr>
          <w:b/>
          <w:bCs/>
        </w:rPr>
      </w:pPr>
      <w:r w:rsidRPr="005F4143">
        <w:rPr>
          <w:b/>
          <w:bCs/>
        </w:rPr>
        <w:t>Goals:</w:t>
      </w:r>
    </w:p>
    <w:p w14:paraId="5FED2A7F" w14:textId="77777777" w:rsidR="00187D0B" w:rsidRDefault="00284C31" w:rsidP="006F505E">
      <w:pPr>
        <w:pStyle w:val="Body"/>
        <w:numPr>
          <w:ilvl w:val="0"/>
          <w:numId w:val="8"/>
        </w:numPr>
      </w:pPr>
      <w:r w:rsidRPr="005F4143">
        <w:t xml:space="preserve">Victorians are supported to reduce their risk of acquiring </w:t>
      </w:r>
      <w:r w:rsidR="00092254" w:rsidRPr="005F4143">
        <w:t xml:space="preserve">hepatitis </w:t>
      </w:r>
      <w:r w:rsidR="00BE4605" w:rsidRPr="005F4143">
        <w:t>C</w:t>
      </w:r>
    </w:p>
    <w:p w14:paraId="70B042CD" w14:textId="77777777" w:rsidR="00187D0B" w:rsidRDefault="00284C31" w:rsidP="006F505E">
      <w:pPr>
        <w:pStyle w:val="Body"/>
        <w:numPr>
          <w:ilvl w:val="0"/>
          <w:numId w:val="8"/>
        </w:numPr>
      </w:pPr>
      <w:r w:rsidRPr="005F4143">
        <w:t xml:space="preserve">Victorians living with </w:t>
      </w:r>
      <w:r w:rsidR="00BE4605" w:rsidRPr="005F4143">
        <w:t>hepatitis C</w:t>
      </w:r>
      <w:r w:rsidRPr="005F4143">
        <w:t xml:space="preserve"> know their status</w:t>
      </w:r>
    </w:p>
    <w:p w14:paraId="327CED0E" w14:textId="77777777" w:rsidR="00187D0B" w:rsidRDefault="00284C31" w:rsidP="006F505E">
      <w:pPr>
        <w:pStyle w:val="Body"/>
        <w:numPr>
          <w:ilvl w:val="0"/>
          <w:numId w:val="8"/>
        </w:numPr>
      </w:pPr>
      <w:r w:rsidRPr="005F4143">
        <w:t xml:space="preserve">Victorians living with </w:t>
      </w:r>
      <w:r w:rsidR="00BE4605" w:rsidRPr="005F4143">
        <w:t>hepatitis C</w:t>
      </w:r>
      <w:r w:rsidRPr="005F4143">
        <w:t xml:space="preserve"> have the best practice evidence-based treatment and care</w:t>
      </w:r>
    </w:p>
    <w:p w14:paraId="0E232F2D" w14:textId="1B6FFE56" w:rsidR="00331E4C" w:rsidRPr="005F4143" w:rsidRDefault="00331E4C" w:rsidP="006F505E">
      <w:pPr>
        <w:pStyle w:val="Body"/>
        <w:numPr>
          <w:ilvl w:val="0"/>
          <w:numId w:val="8"/>
        </w:numPr>
      </w:pPr>
      <w:r w:rsidRPr="005F4143">
        <w:t xml:space="preserve">Victorians living with </w:t>
      </w:r>
      <w:r w:rsidR="00BE4605" w:rsidRPr="005F4143">
        <w:t>hepatitis C</w:t>
      </w:r>
      <w:r w:rsidRPr="005F4143">
        <w:t xml:space="preserve"> are cured of the disease</w:t>
      </w:r>
    </w:p>
    <w:p w14:paraId="6D0CCF3A" w14:textId="77777777" w:rsidR="00187D0B" w:rsidRDefault="00284C31" w:rsidP="006F505E">
      <w:pPr>
        <w:pStyle w:val="Body"/>
        <w:numPr>
          <w:ilvl w:val="0"/>
          <w:numId w:val="8"/>
        </w:numPr>
      </w:pPr>
      <w:r w:rsidRPr="005F4143">
        <w:t xml:space="preserve">Stigma, racism and discrimination are not a barrier to </w:t>
      </w:r>
      <w:r w:rsidR="00BE4605" w:rsidRPr="005F4143">
        <w:t>hepatitis C</w:t>
      </w:r>
      <w:r w:rsidRPr="005F4143">
        <w:t xml:space="preserve"> prevention, testing, treatment </w:t>
      </w:r>
      <w:r w:rsidR="005846B6" w:rsidRPr="005F4143">
        <w:t>and</w:t>
      </w:r>
      <w:r w:rsidRPr="005F4143">
        <w:t xml:space="preserve"> care</w:t>
      </w:r>
    </w:p>
    <w:p w14:paraId="52C307F7" w14:textId="39B19779" w:rsidR="00284C31" w:rsidRPr="005F4143" w:rsidRDefault="00284C31" w:rsidP="004759ED">
      <w:pPr>
        <w:pStyle w:val="Body"/>
      </w:pPr>
    </w:p>
    <w:p w14:paraId="1F157B87" w14:textId="77777777" w:rsidR="00284C31" w:rsidRPr="005F4143" w:rsidRDefault="00284C31" w:rsidP="00284C31">
      <w:pPr>
        <w:pStyle w:val="Body"/>
        <w:rPr>
          <w:b/>
          <w:bCs/>
        </w:rPr>
      </w:pPr>
      <w:r w:rsidRPr="005F4143">
        <w:rPr>
          <w:b/>
          <w:bCs/>
        </w:rPr>
        <w:t>Stepped targets for 2025:</w:t>
      </w:r>
    </w:p>
    <w:p w14:paraId="2B8D86A2" w14:textId="77777777" w:rsidR="003F7E97" w:rsidRPr="005F4143" w:rsidRDefault="003F7E97" w:rsidP="006F505E">
      <w:pPr>
        <w:pStyle w:val="Body"/>
        <w:numPr>
          <w:ilvl w:val="0"/>
          <w:numId w:val="8"/>
        </w:numPr>
      </w:pPr>
      <w:r w:rsidRPr="005F4143">
        <w:t>Reduce the number of newly acquired hepatitis C infections, with a focus on priority populations, by 56% (compared with 2015)</w:t>
      </w:r>
    </w:p>
    <w:p w14:paraId="025FBA99" w14:textId="19229FE3" w:rsidR="00C015BA" w:rsidRPr="005F4143" w:rsidRDefault="00C015BA" w:rsidP="006F505E">
      <w:pPr>
        <w:pStyle w:val="Body"/>
        <w:numPr>
          <w:ilvl w:val="0"/>
          <w:numId w:val="8"/>
        </w:numPr>
      </w:pPr>
      <w:r w:rsidRPr="005F4143">
        <w:t xml:space="preserve">Increase the proportion of people living with </w:t>
      </w:r>
      <w:r w:rsidR="00BE4605" w:rsidRPr="005F4143">
        <w:t>hepatitis C</w:t>
      </w:r>
      <w:r w:rsidRPr="005F4143">
        <w:t xml:space="preserve"> who diagnosed to 91%</w:t>
      </w:r>
    </w:p>
    <w:p w14:paraId="282C9E87" w14:textId="77777777" w:rsidR="00284C31" w:rsidRPr="005F4143" w:rsidRDefault="00284C31" w:rsidP="00284C31">
      <w:pPr>
        <w:pStyle w:val="Body"/>
        <w:rPr>
          <w:b/>
          <w:bCs/>
        </w:rPr>
      </w:pPr>
    </w:p>
    <w:p w14:paraId="52CA744A" w14:textId="272771D9" w:rsidR="00284C31" w:rsidRPr="005F4143" w:rsidRDefault="00284C31" w:rsidP="00284C31">
      <w:pPr>
        <w:pStyle w:val="Body"/>
        <w:rPr>
          <w:b/>
          <w:bCs/>
        </w:rPr>
      </w:pPr>
      <w:r w:rsidRPr="005F4143">
        <w:rPr>
          <w:b/>
          <w:bCs/>
        </w:rPr>
        <w:t xml:space="preserve">Priority </w:t>
      </w:r>
      <w:r w:rsidR="00B91217" w:rsidRPr="005F4143">
        <w:rPr>
          <w:b/>
          <w:bCs/>
        </w:rPr>
        <w:t>p</w:t>
      </w:r>
      <w:r w:rsidRPr="005F4143">
        <w:rPr>
          <w:b/>
          <w:bCs/>
        </w:rPr>
        <w:t>opulations</w:t>
      </w:r>
    </w:p>
    <w:p w14:paraId="4DA5C47B" w14:textId="77777777" w:rsidR="00780C3D" w:rsidRPr="005F4143" w:rsidRDefault="00780C3D" w:rsidP="006F505E">
      <w:pPr>
        <w:pStyle w:val="Body"/>
        <w:numPr>
          <w:ilvl w:val="0"/>
          <w:numId w:val="8"/>
        </w:numPr>
        <w:sectPr w:rsidR="00780C3D" w:rsidRPr="005F4143" w:rsidSect="00454A7D">
          <w:headerReference w:type="even" r:id="rId17"/>
          <w:headerReference w:type="default" r:id="rId18"/>
          <w:footerReference w:type="even" r:id="rId19"/>
          <w:footerReference w:type="default" r:id="rId20"/>
          <w:headerReference w:type="first" r:id="rId21"/>
          <w:pgSz w:w="11906" w:h="16838" w:code="9"/>
          <w:pgMar w:top="1418" w:right="1304" w:bottom="1134" w:left="1304" w:header="680" w:footer="851" w:gutter="0"/>
          <w:cols w:space="340"/>
          <w:titlePg/>
          <w:docGrid w:linePitch="360"/>
        </w:sectPr>
      </w:pPr>
    </w:p>
    <w:p w14:paraId="3982B077" w14:textId="2D507FD0" w:rsidR="00284C31" w:rsidRPr="005F4143" w:rsidRDefault="000703BB" w:rsidP="006F505E">
      <w:pPr>
        <w:pStyle w:val="Body"/>
        <w:numPr>
          <w:ilvl w:val="0"/>
          <w:numId w:val="8"/>
        </w:numPr>
      </w:pPr>
      <w:r w:rsidRPr="005F4143">
        <w:t>People who use drugs (</w:t>
      </w:r>
      <w:r w:rsidR="003D4B7A" w:rsidRPr="005F4143">
        <w:t>including people who inject drugs) and/or are accessing drug treatment programs</w:t>
      </w:r>
    </w:p>
    <w:p w14:paraId="44BDB560" w14:textId="5D5AE1FB" w:rsidR="003D4B7A" w:rsidRPr="005F4143" w:rsidRDefault="003D4B7A" w:rsidP="006F505E">
      <w:pPr>
        <w:pStyle w:val="Body"/>
        <w:numPr>
          <w:ilvl w:val="0"/>
          <w:numId w:val="8"/>
        </w:numPr>
      </w:pPr>
      <w:r w:rsidRPr="005F4143">
        <w:t>People living with hepatitis C</w:t>
      </w:r>
    </w:p>
    <w:p w14:paraId="3F33C874" w14:textId="22993DD3" w:rsidR="003D4B7A" w:rsidRPr="005F4143" w:rsidRDefault="003D4B7A" w:rsidP="006F505E">
      <w:pPr>
        <w:pStyle w:val="Body"/>
        <w:numPr>
          <w:ilvl w:val="0"/>
          <w:numId w:val="8"/>
        </w:numPr>
      </w:pPr>
      <w:r w:rsidRPr="005F4143">
        <w:t>Aboriginal people</w:t>
      </w:r>
    </w:p>
    <w:p w14:paraId="623D9E48" w14:textId="6F7F1BAA" w:rsidR="003D4B7A" w:rsidRPr="005F4143" w:rsidRDefault="00780C3D" w:rsidP="006F505E">
      <w:pPr>
        <w:pStyle w:val="Body"/>
        <w:numPr>
          <w:ilvl w:val="0"/>
          <w:numId w:val="8"/>
        </w:numPr>
      </w:pPr>
      <w:r w:rsidRPr="005F4143">
        <w:t>People in custodial settings</w:t>
      </w:r>
    </w:p>
    <w:p w14:paraId="317E7DEA" w14:textId="49B42D52" w:rsidR="00780C3D" w:rsidRPr="005F4143" w:rsidRDefault="00780C3D" w:rsidP="006F505E">
      <w:pPr>
        <w:pStyle w:val="Body"/>
        <w:numPr>
          <w:ilvl w:val="0"/>
          <w:numId w:val="8"/>
        </w:numPr>
      </w:pPr>
      <w:r w:rsidRPr="005F4143">
        <w:t>Culturally diverse people</w:t>
      </w:r>
    </w:p>
    <w:p w14:paraId="28567990" w14:textId="3180DAB9" w:rsidR="00780C3D" w:rsidRPr="005F4143" w:rsidRDefault="00780C3D" w:rsidP="006F505E">
      <w:pPr>
        <w:pStyle w:val="Body"/>
        <w:numPr>
          <w:ilvl w:val="0"/>
          <w:numId w:val="8"/>
        </w:numPr>
      </w:pPr>
      <w:r w:rsidRPr="005F4143">
        <w:t>HIV-positive men who have sex with men</w:t>
      </w:r>
    </w:p>
    <w:p w14:paraId="6B6F79AC" w14:textId="5F878A19" w:rsidR="00780C3D" w:rsidRPr="005F4143" w:rsidRDefault="00780C3D" w:rsidP="006F505E">
      <w:pPr>
        <w:pStyle w:val="Body"/>
        <w:numPr>
          <w:ilvl w:val="0"/>
          <w:numId w:val="8"/>
        </w:numPr>
        <w:sectPr w:rsidR="00780C3D" w:rsidRPr="005F4143" w:rsidSect="00780C3D">
          <w:headerReference w:type="first" r:id="rId22"/>
          <w:type w:val="continuous"/>
          <w:pgSz w:w="11906" w:h="16838" w:code="9"/>
          <w:pgMar w:top="1418" w:right="1304" w:bottom="1134" w:left="1304" w:header="680" w:footer="851" w:gutter="0"/>
          <w:cols w:num="2" w:space="340"/>
          <w:titlePg/>
          <w:docGrid w:linePitch="360"/>
        </w:sectPr>
      </w:pPr>
      <w:r w:rsidRPr="005F4143">
        <w:t>Sex workers</w:t>
      </w:r>
    </w:p>
    <w:p w14:paraId="0DB3BE5A" w14:textId="57A6727C" w:rsidR="00284C31" w:rsidRPr="005F4143" w:rsidRDefault="00284C31" w:rsidP="00284C31">
      <w:pPr>
        <w:pStyle w:val="Heading3"/>
        <w:rPr>
          <w:lang w:val="en-AU"/>
        </w:rPr>
      </w:pPr>
      <w:bookmarkStart w:id="17" w:name="_Toc214457272"/>
      <w:r w:rsidRPr="005F4143">
        <w:rPr>
          <w:lang w:val="en-AU"/>
        </w:rPr>
        <w:t>Focus Area 1: Prevent</w:t>
      </w:r>
      <w:bookmarkEnd w:id="17"/>
    </w:p>
    <w:p w14:paraId="439A3B44" w14:textId="221C4C65" w:rsidR="00284C31" w:rsidRPr="005F4143" w:rsidRDefault="00284C31" w:rsidP="00284C31">
      <w:pPr>
        <w:pStyle w:val="Body"/>
        <w:rPr>
          <w:b/>
          <w:bCs/>
        </w:rPr>
      </w:pPr>
      <w:r w:rsidRPr="005F4143">
        <w:rPr>
          <w:b/>
          <w:bCs/>
        </w:rPr>
        <w:t xml:space="preserve">Goal: Victorians are supported to reduce their risk of acquiring hepatitis </w:t>
      </w:r>
      <w:r w:rsidR="005579B1" w:rsidRPr="005F4143">
        <w:rPr>
          <w:b/>
          <w:bCs/>
        </w:rPr>
        <w:t>C</w:t>
      </w:r>
    </w:p>
    <w:p w14:paraId="0EE07EDE" w14:textId="77777777" w:rsidR="00284C31" w:rsidRPr="005F4143" w:rsidRDefault="00284C31" w:rsidP="00284C31">
      <w:pPr>
        <w:pStyle w:val="Body"/>
        <w:rPr>
          <w:b/>
          <w:bCs/>
          <w:u w:val="single"/>
        </w:rPr>
      </w:pPr>
      <w:r w:rsidRPr="005F4143">
        <w:rPr>
          <w:b/>
          <w:bCs/>
          <w:u w:val="single"/>
        </w:rPr>
        <w:t>Objectives (by 2030):</w:t>
      </w:r>
    </w:p>
    <w:p w14:paraId="43F156F6" w14:textId="5C273B0D" w:rsidR="00815D72" w:rsidRPr="005F4143" w:rsidRDefault="00815D72" w:rsidP="006F505E">
      <w:pPr>
        <w:pStyle w:val="Body"/>
        <w:numPr>
          <w:ilvl w:val="1"/>
          <w:numId w:val="9"/>
        </w:numPr>
      </w:pPr>
      <w:r w:rsidRPr="005F4143">
        <w:t>Victorians know what to do to prevent hepatitis C infection and reinfection and are supported to do so</w:t>
      </w:r>
    </w:p>
    <w:p w14:paraId="1CA1F2F6" w14:textId="406AA650" w:rsidR="00815D72" w:rsidRPr="005F4143" w:rsidRDefault="00815D72" w:rsidP="006F505E">
      <w:pPr>
        <w:pStyle w:val="Body"/>
        <w:numPr>
          <w:ilvl w:val="1"/>
          <w:numId w:val="9"/>
        </w:numPr>
      </w:pPr>
      <w:r w:rsidRPr="005F4143">
        <w:t>There is an overall, and ongoing, reduction in new cases of hepatitis C in Victoria</w:t>
      </w:r>
    </w:p>
    <w:p w14:paraId="0BF287CF" w14:textId="77777777" w:rsidR="00815D72" w:rsidRPr="005F4143" w:rsidRDefault="00815D72" w:rsidP="006F505E">
      <w:pPr>
        <w:pStyle w:val="Body"/>
        <w:numPr>
          <w:ilvl w:val="1"/>
          <w:numId w:val="9"/>
        </w:numPr>
      </w:pPr>
      <w:r w:rsidRPr="005F4143">
        <w:t>Safe sexual and injecting practices are understood and used among priority populations</w:t>
      </w:r>
    </w:p>
    <w:p w14:paraId="7250CBC4" w14:textId="77777777" w:rsidR="00815D72" w:rsidRPr="005F4143" w:rsidRDefault="00815D72" w:rsidP="006F505E">
      <w:pPr>
        <w:pStyle w:val="Body"/>
        <w:numPr>
          <w:ilvl w:val="1"/>
          <w:numId w:val="9"/>
        </w:numPr>
      </w:pPr>
      <w:r w:rsidRPr="005F4143">
        <w:t>Sterile injecting equipment is widely available to people who inject drugs, including those in regional and rural Victoria</w:t>
      </w:r>
    </w:p>
    <w:p w14:paraId="20A6078E" w14:textId="77777777" w:rsidR="00815D72" w:rsidRPr="005F4143" w:rsidRDefault="00815D72" w:rsidP="006F505E">
      <w:pPr>
        <w:pStyle w:val="Body"/>
        <w:numPr>
          <w:ilvl w:val="1"/>
          <w:numId w:val="9"/>
        </w:numPr>
      </w:pPr>
      <w:r w:rsidRPr="005F4143">
        <w:t>NSP are widely accessed by people who inject drugs</w:t>
      </w:r>
    </w:p>
    <w:p w14:paraId="0E7821DD" w14:textId="77777777" w:rsidR="00284C31" w:rsidRPr="005F4143" w:rsidRDefault="00284C31" w:rsidP="00284C31">
      <w:pPr>
        <w:pStyle w:val="Body"/>
        <w:rPr>
          <w:b/>
          <w:bCs/>
          <w:u w:val="single"/>
        </w:rPr>
      </w:pPr>
      <w:r w:rsidRPr="005F4143">
        <w:rPr>
          <w:b/>
          <w:bCs/>
          <w:u w:val="single"/>
        </w:rPr>
        <w:t>Targets for 2025:</w:t>
      </w:r>
    </w:p>
    <w:p w14:paraId="34FFEF85" w14:textId="77777777" w:rsidR="00CF01AC" w:rsidRPr="005F4143" w:rsidRDefault="00CF01AC" w:rsidP="006F505E">
      <w:pPr>
        <w:pStyle w:val="Body"/>
        <w:numPr>
          <w:ilvl w:val="1"/>
          <w:numId w:val="9"/>
        </w:numPr>
      </w:pPr>
      <w:r w:rsidRPr="005F4143">
        <w:t>Reduce the number of newly acquired hepatitis C infections, with a focus on priority populations, by 56% (compared with 2015)</w:t>
      </w:r>
    </w:p>
    <w:p w14:paraId="3C7C4D30" w14:textId="77777777" w:rsidR="00284C31" w:rsidRPr="005F4143" w:rsidRDefault="00284C31" w:rsidP="00284C31">
      <w:pPr>
        <w:pStyle w:val="Body"/>
        <w:rPr>
          <w:b/>
          <w:bCs/>
          <w:u w:val="single"/>
        </w:rPr>
      </w:pPr>
      <w:r w:rsidRPr="005F4143">
        <w:rPr>
          <w:b/>
          <w:bCs/>
          <w:u w:val="single"/>
        </w:rPr>
        <w:t>Indicators:</w:t>
      </w:r>
    </w:p>
    <w:p w14:paraId="41EE9621" w14:textId="77777777" w:rsidR="00B6674F" w:rsidRPr="005F4143" w:rsidRDefault="00B6674F" w:rsidP="006F505E">
      <w:pPr>
        <w:pStyle w:val="Body"/>
        <w:numPr>
          <w:ilvl w:val="1"/>
          <w:numId w:val="9"/>
        </w:numPr>
      </w:pPr>
      <w:r w:rsidRPr="005F4143">
        <w:lastRenderedPageBreak/>
        <w:t>Annual rate of newly acquired hepatitis C</w:t>
      </w:r>
    </w:p>
    <w:p w14:paraId="697E2716" w14:textId="3B782538" w:rsidR="00BD517E" w:rsidRPr="005F4143" w:rsidRDefault="00BD517E" w:rsidP="006F505E">
      <w:pPr>
        <w:pStyle w:val="Body"/>
        <w:numPr>
          <w:ilvl w:val="1"/>
          <w:numId w:val="9"/>
        </w:numPr>
      </w:pPr>
      <w:r w:rsidRPr="005F4143">
        <w:t xml:space="preserve">Annual rate of </w:t>
      </w:r>
      <w:r w:rsidR="00A12C6C" w:rsidRPr="005F4143">
        <w:t>new unspecified</w:t>
      </w:r>
      <w:r w:rsidRPr="005F4143">
        <w:t xml:space="preserve"> hepatitis C</w:t>
      </w:r>
      <w:r w:rsidR="00A12C6C" w:rsidRPr="005F4143">
        <w:t xml:space="preserve"> cases</w:t>
      </w:r>
    </w:p>
    <w:p w14:paraId="5F20CC3B" w14:textId="77777777" w:rsidR="00284C31" w:rsidRPr="005F4143" w:rsidRDefault="00284C31" w:rsidP="00284C31">
      <w:pPr>
        <w:pStyle w:val="Body"/>
      </w:pPr>
    </w:p>
    <w:p w14:paraId="0847D392" w14:textId="13434FC0" w:rsidR="00284C31" w:rsidRPr="005F4143" w:rsidRDefault="00284C31" w:rsidP="00284C31">
      <w:pPr>
        <w:pStyle w:val="Body"/>
      </w:pPr>
      <w:r w:rsidRPr="005F4143">
        <w:rPr>
          <w:b/>
          <w:bCs/>
        </w:rPr>
        <w:t xml:space="preserve">Indicator </w:t>
      </w:r>
      <w:r w:rsidR="00D70600" w:rsidRPr="005F4143">
        <w:rPr>
          <w:b/>
          <w:bCs/>
        </w:rPr>
        <w:t>n</w:t>
      </w:r>
      <w:r w:rsidRPr="005F4143">
        <w:rPr>
          <w:b/>
          <w:bCs/>
        </w:rPr>
        <w:t>otes</w:t>
      </w:r>
    </w:p>
    <w:p w14:paraId="1B268998" w14:textId="77777777" w:rsidR="00187D0B" w:rsidRDefault="002F0670" w:rsidP="002F0670">
      <w:pPr>
        <w:pStyle w:val="Body"/>
      </w:pPr>
      <w:r w:rsidRPr="005F4143">
        <w:t>Hepatitis C is a notifiable condition in Victoria. Notifications from diagnosing clinicians and laboratories are recorded in PHESS. Hepatitis C is notified as either ‘newly acquired’, where evidence was available that the infection was acquired within 24 months prior to diagnosis or ‘unspecified’, where the infection was acquired more than 24 months prior to diagnosis, or the period of infection is unknown.</w:t>
      </w:r>
      <w:r w:rsidR="00F206C8" w:rsidRPr="005F4143">
        <w:t xml:space="preserve"> </w:t>
      </w:r>
      <w:r w:rsidRPr="005F4143">
        <w:t xml:space="preserve">Determination of a case as ‘newly acquired’ is heavily reliant on public health follow-up and the availability of previous serology test results. </w:t>
      </w:r>
      <w:r w:rsidR="00F206C8" w:rsidRPr="005F4143">
        <w:t xml:space="preserve">As such, we report rates of </w:t>
      </w:r>
      <w:r w:rsidR="00EF78DB" w:rsidRPr="005F4143">
        <w:t>all new hepatitis C notifications</w:t>
      </w:r>
      <w:r w:rsidR="00F206C8" w:rsidRPr="005F4143">
        <w:t xml:space="preserve"> as well</w:t>
      </w:r>
      <w:r w:rsidR="00BD517E" w:rsidRPr="005F4143">
        <w:t>.</w:t>
      </w:r>
    </w:p>
    <w:p w14:paraId="17AC3D72" w14:textId="7F7DE0D0" w:rsidR="00177F88" w:rsidRPr="005F4143" w:rsidRDefault="002F0670" w:rsidP="002F0670">
      <w:pPr>
        <w:pStyle w:val="Body"/>
      </w:pPr>
      <w:r w:rsidRPr="005F4143">
        <w:t>Notified cases over time do not solely reflect changes in disease prevalence. Changes in testing policies; screening programs, including preferential testing of high-risk populations, the use of less invasive and more sensitive diagnostic tests, and periodic awareness campaigns, may influence the number of notifications that are received over time.</w:t>
      </w:r>
    </w:p>
    <w:p w14:paraId="2919F7A2" w14:textId="1B33B67D" w:rsidR="002F0670" w:rsidRPr="005F4143" w:rsidRDefault="002F0670" w:rsidP="002F0670">
      <w:pPr>
        <w:pStyle w:val="Body"/>
      </w:pPr>
      <w:r w:rsidRPr="005F4143">
        <w:t xml:space="preserve">A limitation of notification data is that previous testing history is often unknown if a patient has had a test at another clinic or the data is not readily available in the patient’s file. ACCESS uses data from network of </w:t>
      </w:r>
      <w:r w:rsidR="00177F88" w:rsidRPr="005F4143">
        <w:t>clinical services that specialize in the care of people who inject drugs</w:t>
      </w:r>
      <w:r w:rsidRPr="005F4143">
        <w:t xml:space="preserve"> across </w:t>
      </w:r>
      <w:r w:rsidR="00177F88" w:rsidRPr="005F4143">
        <w:t>Victoria</w:t>
      </w:r>
      <w:r w:rsidRPr="005F4143">
        <w:t>. Whilst this network is not comprehensive, it offers an opportunity to determine when someone diagnosed with hepatitis C had negative tests. From this information, the total time between negative and positive tests can be used to calculate the incidence of hepatitis C.</w:t>
      </w:r>
    </w:p>
    <w:p w14:paraId="643DDD7D" w14:textId="62F6F3A4" w:rsidR="002F0670" w:rsidRPr="005F4143" w:rsidRDefault="002F0670" w:rsidP="002F0670">
      <w:pPr>
        <w:pStyle w:val="Body"/>
      </w:pPr>
      <w:r w:rsidRPr="005F4143">
        <w:t xml:space="preserve">Another major limitation of the notification and testing data is that they represent only a proportion of the total cases occurring in the community, that is, only those cases for which health care was sought, a test conducted, and a diagnosis made, followed by a notification to </w:t>
      </w:r>
      <w:r w:rsidR="00D06B2C" w:rsidRPr="005F4143">
        <w:t>the department</w:t>
      </w:r>
      <w:r w:rsidRPr="005F4143">
        <w:t>. The degree of under-representation of all cases is unknown.</w:t>
      </w:r>
    </w:p>
    <w:p w14:paraId="21CC010F" w14:textId="77777777" w:rsidR="00284C31" w:rsidRPr="005F4143" w:rsidRDefault="00284C31" w:rsidP="00284C31">
      <w:pPr>
        <w:pStyle w:val="Body"/>
      </w:pPr>
    </w:p>
    <w:p w14:paraId="2A515BB1" w14:textId="36097AA8" w:rsidR="00284C31" w:rsidRPr="005F4143" w:rsidRDefault="00284C31" w:rsidP="00284C31">
      <w:pPr>
        <w:pStyle w:val="Body"/>
        <w:rPr>
          <w:b/>
          <w:bCs/>
        </w:rPr>
      </w:pPr>
      <w:r w:rsidRPr="005F4143">
        <w:rPr>
          <w:b/>
          <w:bCs/>
        </w:rPr>
        <w:t>Reporting against indicators</w:t>
      </w:r>
    </w:p>
    <w:p w14:paraId="0E375478" w14:textId="75C6D04F" w:rsidR="00284C31" w:rsidRPr="005F4143" w:rsidRDefault="004C7B1B" w:rsidP="00284C31">
      <w:pPr>
        <w:pStyle w:val="Tablecaption"/>
      </w:pPr>
      <w:r w:rsidRPr="005F4143">
        <w:fldChar w:fldCharType="begin"/>
      </w:r>
      <w:r w:rsidRPr="005F4143">
        <w:instrText>SEQ Table \* ARABIC</w:instrText>
      </w:r>
      <w:r w:rsidRPr="005F4143">
        <w:fldChar w:fldCharType="separate"/>
      </w:r>
      <w:bookmarkStart w:id="18" w:name="_Toc214457301"/>
      <w:r w:rsidR="00670632">
        <w:rPr>
          <w:noProof/>
        </w:rPr>
        <w:t>2</w:t>
      </w:r>
      <w:r w:rsidRPr="005F4143">
        <w:fldChar w:fldCharType="end"/>
      </w:r>
      <w:r w:rsidR="00284C31" w:rsidRPr="005F4143">
        <w:t xml:space="preserve">. Annual rate of newly acquired hepatitis </w:t>
      </w:r>
      <w:r w:rsidR="00EB58C0" w:rsidRPr="005F4143">
        <w:t>C</w:t>
      </w:r>
      <w:bookmarkEnd w:id="18"/>
    </w:p>
    <w:tbl>
      <w:tblPr>
        <w:tblStyle w:val="TableGrid"/>
        <w:tblW w:w="9776" w:type="dxa"/>
        <w:tblLook w:val="06A0" w:firstRow="1" w:lastRow="0" w:firstColumn="1" w:lastColumn="0" w:noHBand="1" w:noVBand="1"/>
      </w:tblPr>
      <w:tblGrid>
        <w:gridCol w:w="1419"/>
        <w:gridCol w:w="3233"/>
        <w:gridCol w:w="1439"/>
        <w:gridCol w:w="1701"/>
        <w:gridCol w:w="1984"/>
      </w:tblGrid>
      <w:tr w:rsidR="00284C31" w:rsidRPr="005F4143" w14:paraId="61AF3BFA" w14:textId="77777777">
        <w:trPr>
          <w:tblHeader/>
        </w:trPr>
        <w:tc>
          <w:tcPr>
            <w:tcW w:w="1419" w:type="dxa"/>
          </w:tcPr>
          <w:p w14:paraId="7BB037C9" w14:textId="77777777" w:rsidR="00284C31" w:rsidRPr="005F4143" w:rsidRDefault="00284C31">
            <w:pPr>
              <w:pStyle w:val="Tablecolhead"/>
            </w:pPr>
            <w:r w:rsidRPr="005F4143">
              <w:t>Component</w:t>
            </w:r>
          </w:p>
        </w:tc>
        <w:tc>
          <w:tcPr>
            <w:tcW w:w="3233" w:type="dxa"/>
            <w:tcBorders>
              <w:bottom w:val="single" w:sz="4" w:space="0" w:color="auto"/>
            </w:tcBorders>
          </w:tcPr>
          <w:p w14:paraId="32592311" w14:textId="77777777" w:rsidR="00284C31" w:rsidRPr="005F4143" w:rsidRDefault="00284C31">
            <w:pPr>
              <w:pStyle w:val="Tablecolhead"/>
            </w:pPr>
            <w:r w:rsidRPr="005F4143">
              <w:t>Description</w:t>
            </w:r>
          </w:p>
        </w:tc>
        <w:tc>
          <w:tcPr>
            <w:tcW w:w="1439" w:type="dxa"/>
          </w:tcPr>
          <w:p w14:paraId="20A2FF32" w14:textId="77777777" w:rsidR="00284C31" w:rsidRPr="005F4143" w:rsidRDefault="00284C31">
            <w:pPr>
              <w:pStyle w:val="Tablecolhead"/>
            </w:pPr>
            <w:r w:rsidRPr="005F4143">
              <w:t>Source</w:t>
            </w:r>
          </w:p>
        </w:tc>
        <w:tc>
          <w:tcPr>
            <w:tcW w:w="1701" w:type="dxa"/>
          </w:tcPr>
          <w:p w14:paraId="2824E799" w14:textId="77777777" w:rsidR="00284C31" w:rsidRPr="005F4143" w:rsidRDefault="00284C31">
            <w:pPr>
              <w:pStyle w:val="Tablecolhead"/>
            </w:pPr>
            <w:r w:rsidRPr="005F4143">
              <w:t>Custodian</w:t>
            </w:r>
          </w:p>
        </w:tc>
        <w:tc>
          <w:tcPr>
            <w:tcW w:w="1984" w:type="dxa"/>
          </w:tcPr>
          <w:p w14:paraId="2AD5A888" w14:textId="77777777" w:rsidR="00284C31" w:rsidRPr="005F4143" w:rsidRDefault="00284C31">
            <w:pPr>
              <w:pStyle w:val="Tablecolhead"/>
            </w:pPr>
            <w:r w:rsidRPr="005F4143">
              <w:t>Availability</w:t>
            </w:r>
          </w:p>
        </w:tc>
      </w:tr>
      <w:tr w:rsidR="00284C31" w:rsidRPr="005F4143" w14:paraId="1D71FA6B" w14:textId="77777777">
        <w:tc>
          <w:tcPr>
            <w:tcW w:w="1419" w:type="dxa"/>
          </w:tcPr>
          <w:p w14:paraId="1A9CC61B" w14:textId="77777777" w:rsidR="00284C31" w:rsidRPr="005F4143" w:rsidRDefault="00284C31">
            <w:pPr>
              <w:pStyle w:val="Tabletext"/>
            </w:pPr>
            <w:r w:rsidRPr="005F4143">
              <w:t>Numerator</w:t>
            </w:r>
          </w:p>
        </w:tc>
        <w:tc>
          <w:tcPr>
            <w:tcW w:w="3233" w:type="dxa"/>
          </w:tcPr>
          <w:p w14:paraId="0B68BCF3" w14:textId="7785B4EB" w:rsidR="00284C31" w:rsidRPr="005F4143" w:rsidRDefault="00284C31">
            <w:pPr>
              <w:pStyle w:val="Tabletext"/>
            </w:pPr>
            <w:r w:rsidRPr="005F4143">
              <w:t xml:space="preserve">Number of cases of newly acquired hepatitis </w:t>
            </w:r>
            <w:r w:rsidR="00EB58C0" w:rsidRPr="005F4143">
              <w:t>C</w:t>
            </w:r>
            <w:r w:rsidRPr="005F4143">
              <w:t xml:space="preserve"> notified to the DH</w:t>
            </w:r>
          </w:p>
        </w:tc>
        <w:tc>
          <w:tcPr>
            <w:tcW w:w="1439" w:type="dxa"/>
          </w:tcPr>
          <w:p w14:paraId="4C256029" w14:textId="77777777" w:rsidR="00284C31" w:rsidRPr="005F4143" w:rsidRDefault="00284C31">
            <w:pPr>
              <w:pStyle w:val="Tablebullet2"/>
              <w:numPr>
                <w:ilvl w:val="0"/>
                <w:numId w:val="0"/>
              </w:numPr>
            </w:pPr>
            <w:r w:rsidRPr="005F4143">
              <w:t>PHESS</w:t>
            </w:r>
          </w:p>
        </w:tc>
        <w:tc>
          <w:tcPr>
            <w:tcW w:w="1701" w:type="dxa"/>
          </w:tcPr>
          <w:p w14:paraId="50E6F357" w14:textId="77777777" w:rsidR="00284C31" w:rsidRPr="005F4143" w:rsidRDefault="00284C31">
            <w:pPr>
              <w:pStyle w:val="Tablebullet2"/>
              <w:numPr>
                <w:ilvl w:val="0"/>
                <w:numId w:val="0"/>
              </w:numPr>
            </w:pPr>
            <w:r w:rsidRPr="005F4143">
              <w:t>DH</w:t>
            </w:r>
          </w:p>
        </w:tc>
        <w:tc>
          <w:tcPr>
            <w:tcW w:w="1984" w:type="dxa"/>
          </w:tcPr>
          <w:p w14:paraId="47122067" w14:textId="77777777" w:rsidR="00284C31" w:rsidRPr="005F4143" w:rsidRDefault="00284C31">
            <w:pPr>
              <w:pStyle w:val="Tablebullet1"/>
              <w:numPr>
                <w:ilvl w:val="0"/>
                <w:numId w:val="0"/>
              </w:numPr>
              <w:ind w:left="227" w:hanging="227"/>
            </w:pPr>
            <w:r w:rsidRPr="005F4143">
              <w:t>Quarterly</w:t>
            </w:r>
          </w:p>
        </w:tc>
      </w:tr>
      <w:tr w:rsidR="00284C31" w:rsidRPr="005F4143" w14:paraId="7A52530F" w14:textId="77777777">
        <w:tc>
          <w:tcPr>
            <w:tcW w:w="1419" w:type="dxa"/>
          </w:tcPr>
          <w:p w14:paraId="38A09D09" w14:textId="77777777" w:rsidR="00284C31" w:rsidRPr="005F4143" w:rsidRDefault="00284C31">
            <w:r w:rsidRPr="005F4143">
              <w:t>Denominator</w:t>
            </w:r>
          </w:p>
        </w:tc>
        <w:tc>
          <w:tcPr>
            <w:tcW w:w="3233" w:type="dxa"/>
          </w:tcPr>
          <w:p w14:paraId="04B524A9" w14:textId="77777777" w:rsidR="00284C31" w:rsidRPr="005F4143" w:rsidRDefault="00284C31">
            <w:r w:rsidRPr="005F4143">
              <w:t>Victorian ERP</w:t>
            </w:r>
          </w:p>
        </w:tc>
        <w:tc>
          <w:tcPr>
            <w:tcW w:w="1439" w:type="dxa"/>
          </w:tcPr>
          <w:p w14:paraId="344C1853" w14:textId="77777777" w:rsidR="00284C31" w:rsidRPr="005F4143" w:rsidRDefault="00284C31">
            <w:pPr>
              <w:pStyle w:val="Tablebullet1"/>
              <w:numPr>
                <w:ilvl w:val="0"/>
                <w:numId w:val="0"/>
              </w:numPr>
            </w:pPr>
            <w:r w:rsidRPr="005F4143">
              <w:t>ABS website</w:t>
            </w:r>
          </w:p>
        </w:tc>
        <w:tc>
          <w:tcPr>
            <w:tcW w:w="1701" w:type="dxa"/>
          </w:tcPr>
          <w:p w14:paraId="664DF314" w14:textId="77777777" w:rsidR="00284C31" w:rsidRPr="005F4143" w:rsidRDefault="00284C31">
            <w:pPr>
              <w:pStyle w:val="Tablebullet1"/>
              <w:numPr>
                <w:ilvl w:val="0"/>
                <w:numId w:val="0"/>
              </w:numPr>
              <w:ind w:left="227" w:hanging="227"/>
            </w:pPr>
            <w:r w:rsidRPr="005F4143">
              <w:t>ABS</w:t>
            </w:r>
          </w:p>
        </w:tc>
        <w:tc>
          <w:tcPr>
            <w:tcW w:w="1984" w:type="dxa"/>
          </w:tcPr>
          <w:p w14:paraId="577338AE" w14:textId="77777777" w:rsidR="00284C31" w:rsidRPr="005F4143" w:rsidRDefault="00284C31">
            <w:pPr>
              <w:pStyle w:val="Tablebullet1"/>
              <w:numPr>
                <w:ilvl w:val="0"/>
                <w:numId w:val="0"/>
              </w:numPr>
              <w:ind w:left="227" w:hanging="227"/>
            </w:pPr>
            <w:r w:rsidRPr="005F4143">
              <w:t>Quarterly</w:t>
            </w:r>
          </w:p>
        </w:tc>
      </w:tr>
    </w:tbl>
    <w:p w14:paraId="43495D36" w14:textId="77777777" w:rsidR="00284C31" w:rsidRPr="005F4143" w:rsidRDefault="00284C31" w:rsidP="00284C31">
      <w:pPr>
        <w:pStyle w:val="Body"/>
      </w:pPr>
    </w:p>
    <w:p w14:paraId="6C09AC4D" w14:textId="0C483FC9" w:rsidR="00EB58C0" w:rsidRPr="005F4143" w:rsidRDefault="004C7B1B" w:rsidP="00EB58C0">
      <w:pPr>
        <w:pStyle w:val="Tablecaption"/>
      </w:pPr>
      <w:r w:rsidRPr="005F4143">
        <w:fldChar w:fldCharType="begin"/>
      </w:r>
      <w:r w:rsidRPr="005F4143">
        <w:instrText>SEQ Table \* ARABIC</w:instrText>
      </w:r>
      <w:r w:rsidRPr="005F4143">
        <w:fldChar w:fldCharType="separate"/>
      </w:r>
      <w:bookmarkStart w:id="19" w:name="_Toc214457302"/>
      <w:r w:rsidR="00670632">
        <w:rPr>
          <w:noProof/>
        </w:rPr>
        <w:t>3</w:t>
      </w:r>
      <w:r w:rsidRPr="005F4143">
        <w:fldChar w:fldCharType="end"/>
      </w:r>
      <w:r w:rsidR="00EB58C0" w:rsidRPr="005F4143">
        <w:t xml:space="preserve">. Annual rate of </w:t>
      </w:r>
      <w:r w:rsidR="00EF78DB" w:rsidRPr="005F4143">
        <w:t xml:space="preserve">all </w:t>
      </w:r>
      <w:r w:rsidR="00EB58C0" w:rsidRPr="005F4143">
        <w:t>new hepatitis C cases</w:t>
      </w:r>
      <w:bookmarkEnd w:id="19"/>
    </w:p>
    <w:tbl>
      <w:tblPr>
        <w:tblStyle w:val="TableGrid"/>
        <w:tblW w:w="9776" w:type="dxa"/>
        <w:tblLook w:val="06A0" w:firstRow="1" w:lastRow="0" w:firstColumn="1" w:lastColumn="0" w:noHBand="1" w:noVBand="1"/>
      </w:tblPr>
      <w:tblGrid>
        <w:gridCol w:w="1419"/>
        <w:gridCol w:w="3233"/>
        <w:gridCol w:w="1439"/>
        <w:gridCol w:w="1701"/>
        <w:gridCol w:w="1984"/>
      </w:tblGrid>
      <w:tr w:rsidR="00EB58C0" w:rsidRPr="005F4143" w14:paraId="3F6EA15B" w14:textId="77777777">
        <w:trPr>
          <w:tblHeader/>
        </w:trPr>
        <w:tc>
          <w:tcPr>
            <w:tcW w:w="1419" w:type="dxa"/>
          </w:tcPr>
          <w:p w14:paraId="4A2409EC" w14:textId="77777777" w:rsidR="00EB58C0" w:rsidRPr="005F4143" w:rsidRDefault="00EB58C0">
            <w:pPr>
              <w:pStyle w:val="Tablecolhead"/>
            </w:pPr>
            <w:r w:rsidRPr="005F4143">
              <w:t>Component</w:t>
            </w:r>
          </w:p>
        </w:tc>
        <w:tc>
          <w:tcPr>
            <w:tcW w:w="3233" w:type="dxa"/>
            <w:tcBorders>
              <w:bottom w:val="single" w:sz="4" w:space="0" w:color="auto"/>
            </w:tcBorders>
          </w:tcPr>
          <w:p w14:paraId="639D77A0" w14:textId="77777777" w:rsidR="00EB58C0" w:rsidRPr="005F4143" w:rsidRDefault="00EB58C0">
            <w:pPr>
              <w:pStyle w:val="Tablecolhead"/>
            </w:pPr>
            <w:r w:rsidRPr="005F4143">
              <w:t>Description</w:t>
            </w:r>
          </w:p>
        </w:tc>
        <w:tc>
          <w:tcPr>
            <w:tcW w:w="1439" w:type="dxa"/>
          </w:tcPr>
          <w:p w14:paraId="2B032D9C" w14:textId="77777777" w:rsidR="00EB58C0" w:rsidRPr="005F4143" w:rsidRDefault="00EB58C0">
            <w:pPr>
              <w:pStyle w:val="Tablecolhead"/>
            </w:pPr>
            <w:r w:rsidRPr="005F4143">
              <w:t>Source</w:t>
            </w:r>
          </w:p>
        </w:tc>
        <w:tc>
          <w:tcPr>
            <w:tcW w:w="1701" w:type="dxa"/>
          </w:tcPr>
          <w:p w14:paraId="33F99682" w14:textId="77777777" w:rsidR="00EB58C0" w:rsidRPr="005F4143" w:rsidRDefault="00EB58C0">
            <w:pPr>
              <w:pStyle w:val="Tablecolhead"/>
            </w:pPr>
            <w:r w:rsidRPr="005F4143">
              <w:t>Custodian</w:t>
            </w:r>
          </w:p>
        </w:tc>
        <w:tc>
          <w:tcPr>
            <w:tcW w:w="1984" w:type="dxa"/>
          </w:tcPr>
          <w:p w14:paraId="090FD518" w14:textId="77777777" w:rsidR="00EB58C0" w:rsidRPr="005F4143" w:rsidRDefault="00EB58C0">
            <w:pPr>
              <w:pStyle w:val="Tablecolhead"/>
            </w:pPr>
            <w:r w:rsidRPr="005F4143">
              <w:t>Availability</w:t>
            </w:r>
          </w:p>
        </w:tc>
      </w:tr>
      <w:tr w:rsidR="00EB58C0" w:rsidRPr="005F4143" w14:paraId="0312CD82" w14:textId="77777777">
        <w:tc>
          <w:tcPr>
            <w:tcW w:w="1419" w:type="dxa"/>
          </w:tcPr>
          <w:p w14:paraId="1230FD46" w14:textId="77777777" w:rsidR="00EB58C0" w:rsidRPr="005F4143" w:rsidRDefault="00EB58C0">
            <w:pPr>
              <w:pStyle w:val="Tabletext"/>
            </w:pPr>
            <w:r w:rsidRPr="005F4143">
              <w:t>Numerator</w:t>
            </w:r>
          </w:p>
        </w:tc>
        <w:tc>
          <w:tcPr>
            <w:tcW w:w="3233" w:type="dxa"/>
          </w:tcPr>
          <w:p w14:paraId="7C711867" w14:textId="34CF35B3" w:rsidR="00EB58C0" w:rsidRPr="005F4143" w:rsidRDefault="00EB58C0">
            <w:pPr>
              <w:pStyle w:val="Tabletext"/>
            </w:pPr>
            <w:r w:rsidRPr="005F4143">
              <w:t>Number of cases of hepatitis C notified to the DH</w:t>
            </w:r>
          </w:p>
        </w:tc>
        <w:tc>
          <w:tcPr>
            <w:tcW w:w="1439" w:type="dxa"/>
          </w:tcPr>
          <w:p w14:paraId="19C22D8B" w14:textId="77777777" w:rsidR="00EB58C0" w:rsidRPr="005F4143" w:rsidRDefault="00EB58C0">
            <w:pPr>
              <w:pStyle w:val="Tablebullet2"/>
              <w:numPr>
                <w:ilvl w:val="0"/>
                <w:numId w:val="0"/>
              </w:numPr>
            </w:pPr>
            <w:r w:rsidRPr="005F4143">
              <w:t>PHESS</w:t>
            </w:r>
          </w:p>
        </w:tc>
        <w:tc>
          <w:tcPr>
            <w:tcW w:w="1701" w:type="dxa"/>
          </w:tcPr>
          <w:p w14:paraId="4959E65E" w14:textId="77777777" w:rsidR="00EB58C0" w:rsidRPr="005F4143" w:rsidRDefault="00EB58C0">
            <w:pPr>
              <w:pStyle w:val="Tablebullet2"/>
              <w:numPr>
                <w:ilvl w:val="0"/>
                <w:numId w:val="0"/>
              </w:numPr>
            </w:pPr>
            <w:r w:rsidRPr="005F4143">
              <w:t>DH</w:t>
            </w:r>
          </w:p>
        </w:tc>
        <w:tc>
          <w:tcPr>
            <w:tcW w:w="1984" w:type="dxa"/>
          </w:tcPr>
          <w:p w14:paraId="18E778D2" w14:textId="77777777" w:rsidR="00EB58C0" w:rsidRPr="005F4143" w:rsidRDefault="00EB58C0">
            <w:pPr>
              <w:pStyle w:val="Tablebullet1"/>
              <w:numPr>
                <w:ilvl w:val="0"/>
                <w:numId w:val="0"/>
              </w:numPr>
              <w:ind w:left="227" w:hanging="227"/>
            </w:pPr>
            <w:r w:rsidRPr="005F4143">
              <w:t>Quarterly</w:t>
            </w:r>
          </w:p>
        </w:tc>
      </w:tr>
      <w:tr w:rsidR="00EB58C0" w:rsidRPr="005F4143" w14:paraId="061BA0E0" w14:textId="77777777">
        <w:tc>
          <w:tcPr>
            <w:tcW w:w="1419" w:type="dxa"/>
          </w:tcPr>
          <w:p w14:paraId="0362B711" w14:textId="77777777" w:rsidR="00EB58C0" w:rsidRPr="005F4143" w:rsidRDefault="00EB58C0">
            <w:r w:rsidRPr="005F4143">
              <w:t>Denominator</w:t>
            </w:r>
          </w:p>
        </w:tc>
        <w:tc>
          <w:tcPr>
            <w:tcW w:w="3233" w:type="dxa"/>
          </w:tcPr>
          <w:p w14:paraId="7D15BB8D" w14:textId="77777777" w:rsidR="00EB58C0" w:rsidRPr="005F4143" w:rsidRDefault="00EB58C0">
            <w:r w:rsidRPr="005F4143">
              <w:t>Victorian ERP</w:t>
            </w:r>
          </w:p>
        </w:tc>
        <w:tc>
          <w:tcPr>
            <w:tcW w:w="1439" w:type="dxa"/>
          </w:tcPr>
          <w:p w14:paraId="45C8FFC8" w14:textId="77777777" w:rsidR="00EB58C0" w:rsidRPr="005F4143" w:rsidRDefault="00EB58C0">
            <w:pPr>
              <w:pStyle w:val="Tablebullet1"/>
              <w:numPr>
                <w:ilvl w:val="0"/>
                <w:numId w:val="0"/>
              </w:numPr>
            </w:pPr>
            <w:r w:rsidRPr="005F4143">
              <w:t>ABS website</w:t>
            </w:r>
          </w:p>
        </w:tc>
        <w:tc>
          <w:tcPr>
            <w:tcW w:w="1701" w:type="dxa"/>
          </w:tcPr>
          <w:p w14:paraId="4B09780B" w14:textId="77777777" w:rsidR="00EB58C0" w:rsidRPr="005F4143" w:rsidRDefault="00EB58C0">
            <w:pPr>
              <w:pStyle w:val="Tablebullet1"/>
              <w:numPr>
                <w:ilvl w:val="0"/>
                <w:numId w:val="0"/>
              </w:numPr>
              <w:ind w:left="227" w:hanging="227"/>
            </w:pPr>
            <w:r w:rsidRPr="005F4143">
              <w:t>ABS</w:t>
            </w:r>
          </w:p>
        </w:tc>
        <w:tc>
          <w:tcPr>
            <w:tcW w:w="1984" w:type="dxa"/>
          </w:tcPr>
          <w:p w14:paraId="454F1669" w14:textId="77777777" w:rsidR="00EB58C0" w:rsidRPr="005F4143" w:rsidRDefault="00EB58C0">
            <w:pPr>
              <w:pStyle w:val="Tablebullet1"/>
              <w:numPr>
                <w:ilvl w:val="0"/>
                <w:numId w:val="0"/>
              </w:numPr>
              <w:ind w:left="227" w:hanging="227"/>
            </w:pPr>
            <w:r w:rsidRPr="005F4143">
              <w:t>Quarterly</w:t>
            </w:r>
          </w:p>
        </w:tc>
      </w:tr>
    </w:tbl>
    <w:p w14:paraId="2A49CB51" w14:textId="77777777" w:rsidR="00EB58C0" w:rsidRPr="005F4143" w:rsidRDefault="00EB58C0" w:rsidP="00284C31">
      <w:pPr>
        <w:pStyle w:val="Body"/>
      </w:pPr>
    </w:p>
    <w:p w14:paraId="672D6105" w14:textId="77777777" w:rsidR="00882E02" w:rsidRPr="005F4143" w:rsidRDefault="00882E02">
      <w:pPr>
        <w:spacing w:after="0" w:line="240" w:lineRule="auto"/>
        <w:rPr>
          <w:rFonts w:eastAsia="MS Gothic"/>
          <w:b/>
          <w:bCs/>
          <w:color w:val="53565A"/>
          <w:sz w:val="30"/>
          <w:szCs w:val="26"/>
        </w:rPr>
      </w:pPr>
      <w:r w:rsidRPr="005F4143">
        <w:br w:type="page"/>
      </w:r>
    </w:p>
    <w:p w14:paraId="3BFFD239" w14:textId="0FC3D775" w:rsidR="00BF354B" w:rsidRPr="005F4143" w:rsidRDefault="00BF354B" w:rsidP="00BF354B">
      <w:pPr>
        <w:pStyle w:val="Heading3"/>
        <w:rPr>
          <w:lang w:val="en-AU"/>
        </w:rPr>
      </w:pPr>
      <w:bookmarkStart w:id="20" w:name="_Toc214457273"/>
      <w:r w:rsidRPr="005F4143">
        <w:rPr>
          <w:lang w:val="en-AU"/>
        </w:rPr>
        <w:lastRenderedPageBreak/>
        <w:t>Focus Area 2: Test</w:t>
      </w:r>
      <w:bookmarkEnd w:id="20"/>
    </w:p>
    <w:p w14:paraId="60309C1D" w14:textId="3773B945" w:rsidR="00BF354B" w:rsidRPr="005F4143" w:rsidRDefault="00BF354B" w:rsidP="00BF354B">
      <w:pPr>
        <w:pStyle w:val="Body"/>
        <w:rPr>
          <w:b/>
          <w:bCs/>
        </w:rPr>
      </w:pPr>
      <w:r w:rsidRPr="005F4143">
        <w:rPr>
          <w:b/>
          <w:bCs/>
        </w:rPr>
        <w:t xml:space="preserve">Goal: </w:t>
      </w:r>
      <w:r w:rsidR="00D142BF" w:rsidRPr="005F4143">
        <w:rPr>
          <w:b/>
          <w:bCs/>
        </w:rPr>
        <w:t>Victorians living with hepatitis C know their status</w:t>
      </w:r>
    </w:p>
    <w:p w14:paraId="43E1E258" w14:textId="77777777" w:rsidR="00BF354B" w:rsidRPr="005F4143" w:rsidRDefault="00BF354B" w:rsidP="00BF354B">
      <w:pPr>
        <w:pStyle w:val="Body"/>
        <w:rPr>
          <w:b/>
          <w:bCs/>
          <w:u w:val="single"/>
        </w:rPr>
      </w:pPr>
      <w:r w:rsidRPr="005F4143">
        <w:rPr>
          <w:b/>
          <w:bCs/>
          <w:u w:val="single"/>
        </w:rPr>
        <w:t>Objectives (by 2030):</w:t>
      </w:r>
    </w:p>
    <w:p w14:paraId="7077787C" w14:textId="77777777" w:rsidR="00564224" w:rsidRPr="005F4143" w:rsidRDefault="00564224" w:rsidP="006F505E">
      <w:pPr>
        <w:pStyle w:val="Body"/>
        <w:numPr>
          <w:ilvl w:val="1"/>
          <w:numId w:val="9"/>
        </w:numPr>
      </w:pPr>
      <w:r w:rsidRPr="005F4143">
        <w:t>Victorians living with hepatitis C are aware of their status, are diagnosed early and are supported to do so</w:t>
      </w:r>
    </w:p>
    <w:p w14:paraId="32562D1A" w14:textId="77777777" w:rsidR="00564224" w:rsidRPr="005F4143" w:rsidRDefault="00564224" w:rsidP="006F505E">
      <w:pPr>
        <w:pStyle w:val="Body"/>
        <w:numPr>
          <w:ilvl w:val="1"/>
          <w:numId w:val="9"/>
        </w:numPr>
      </w:pPr>
      <w:r w:rsidRPr="005F4143">
        <w:t>Victorians understand the need to be tested for hepatitis C if they are at greater risk</w:t>
      </w:r>
    </w:p>
    <w:p w14:paraId="7141BD33" w14:textId="77777777" w:rsidR="00564224" w:rsidRPr="005F4143" w:rsidRDefault="00564224" w:rsidP="006F505E">
      <w:pPr>
        <w:pStyle w:val="Body"/>
        <w:numPr>
          <w:ilvl w:val="1"/>
          <w:numId w:val="9"/>
        </w:numPr>
      </w:pPr>
      <w:r w:rsidRPr="005F4143">
        <w:t>Testing services for hepatitis C meet the needs of priority populations</w:t>
      </w:r>
    </w:p>
    <w:p w14:paraId="63148F74" w14:textId="70A7D275" w:rsidR="00564224" w:rsidRPr="005F4143" w:rsidRDefault="00564224" w:rsidP="006F505E">
      <w:pPr>
        <w:pStyle w:val="Body"/>
        <w:numPr>
          <w:ilvl w:val="1"/>
          <w:numId w:val="9"/>
        </w:numPr>
      </w:pPr>
      <w:r w:rsidRPr="005F4143">
        <w:t>Testing for priority populations is undertaken across community and primary care settings.</w:t>
      </w:r>
    </w:p>
    <w:p w14:paraId="5674C3FE" w14:textId="5EDD18FD" w:rsidR="00BF354B" w:rsidRPr="005F4143" w:rsidRDefault="00BF354B" w:rsidP="00564224">
      <w:pPr>
        <w:pStyle w:val="Body"/>
      </w:pPr>
      <w:r w:rsidRPr="005F4143">
        <w:rPr>
          <w:b/>
          <w:bCs/>
          <w:u w:val="single"/>
        </w:rPr>
        <w:t>Targets for 2025:</w:t>
      </w:r>
    </w:p>
    <w:p w14:paraId="02000A8A" w14:textId="77777777" w:rsidR="00B77852" w:rsidRPr="005F4143" w:rsidRDefault="00B77852" w:rsidP="006F505E">
      <w:pPr>
        <w:pStyle w:val="Body"/>
        <w:numPr>
          <w:ilvl w:val="1"/>
          <w:numId w:val="9"/>
        </w:numPr>
      </w:pPr>
      <w:r w:rsidRPr="005F4143">
        <w:t>Increase the proportion of people living with hepatitis C who are diagnosed to 91%</w:t>
      </w:r>
    </w:p>
    <w:p w14:paraId="4D9F975C" w14:textId="77777777" w:rsidR="00BF354B" w:rsidRPr="005F4143" w:rsidRDefault="00BF354B" w:rsidP="00BF354B">
      <w:pPr>
        <w:pStyle w:val="Body"/>
        <w:rPr>
          <w:b/>
          <w:bCs/>
          <w:u w:val="single"/>
        </w:rPr>
      </w:pPr>
      <w:r w:rsidRPr="005F4143">
        <w:rPr>
          <w:b/>
          <w:bCs/>
          <w:u w:val="single"/>
        </w:rPr>
        <w:t>Indicators:</w:t>
      </w:r>
    </w:p>
    <w:p w14:paraId="3A48A29B" w14:textId="2B4322AB" w:rsidR="00B01E20" w:rsidRPr="005F4143" w:rsidRDefault="00B01E20" w:rsidP="006F505E">
      <w:pPr>
        <w:pStyle w:val="Body"/>
        <w:numPr>
          <w:ilvl w:val="1"/>
          <w:numId w:val="9"/>
        </w:numPr>
      </w:pPr>
      <w:r w:rsidRPr="005F4143">
        <w:t xml:space="preserve">Proportion of people in high caseload settings </w:t>
      </w:r>
      <w:r w:rsidR="00D0743A" w:rsidRPr="005F4143">
        <w:t>who</w:t>
      </w:r>
      <w:r w:rsidRPr="005F4143">
        <w:t xml:space="preserve"> have been tested for hepatitis C</w:t>
      </w:r>
    </w:p>
    <w:p w14:paraId="4EE2DB21" w14:textId="77777777" w:rsidR="00BF354B" w:rsidRPr="005F4143" w:rsidRDefault="00BF354B" w:rsidP="00BF354B">
      <w:pPr>
        <w:pStyle w:val="Body"/>
      </w:pPr>
    </w:p>
    <w:p w14:paraId="6FFD6DC8" w14:textId="77777777" w:rsidR="00BF354B" w:rsidRPr="005F4143" w:rsidRDefault="00BF354B" w:rsidP="00BF354B">
      <w:pPr>
        <w:pStyle w:val="Body"/>
      </w:pPr>
      <w:r w:rsidRPr="005F4143">
        <w:rPr>
          <w:b/>
          <w:bCs/>
        </w:rPr>
        <w:t>Indicator Notes</w:t>
      </w:r>
    </w:p>
    <w:p w14:paraId="63620213" w14:textId="1BF1E456" w:rsidR="005D7E99" w:rsidRPr="005F4143" w:rsidRDefault="005D7E99" w:rsidP="005D7E99">
      <w:pPr>
        <w:pStyle w:val="Body"/>
      </w:pPr>
      <w:r w:rsidRPr="005F4143">
        <w:t>Data sources include modelling by the ACCESS clinical network. As with hepatitis B, testing rate calculations will be performed with ACCESS data sources</w:t>
      </w:r>
      <w:r w:rsidR="004759ED">
        <w:t>.</w:t>
      </w:r>
      <w:r w:rsidRPr="005F4143">
        <w:t xml:space="preserve"> </w:t>
      </w:r>
      <w:r w:rsidR="004759ED">
        <w:t xml:space="preserve">Note that </w:t>
      </w:r>
      <w:r w:rsidRPr="005F4143">
        <w:t>ACCESS is targeted towards groups at higher risk of BBV</w:t>
      </w:r>
      <w:r w:rsidR="003A7361" w:rsidRPr="005F4143">
        <w:t xml:space="preserve"> and can report outcomes from clinics that see a high caseload of priority populations like PWID</w:t>
      </w:r>
      <w:r w:rsidR="00946E08" w:rsidRPr="005F4143">
        <w:t xml:space="preserve"> and HIV-positive men who have sex with men</w:t>
      </w:r>
      <w:r w:rsidR="004759ED">
        <w:t>; however,</w:t>
      </w:r>
      <w:r w:rsidRPr="005F4143">
        <w:t xml:space="preserve"> ACCESS data can be disaggregated by clinical site, but not risk category. For example, it will be able to report on the proportion of people attending a clinic that specialises in the treatment of PWID, but not all the people attending that clinic inject drugs.</w:t>
      </w:r>
    </w:p>
    <w:p w14:paraId="6F9B9EC1" w14:textId="77777777" w:rsidR="00BF354B" w:rsidRPr="005F4143" w:rsidRDefault="00BF354B" w:rsidP="00BF354B">
      <w:pPr>
        <w:pStyle w:val="Body"/>
        <w:rPr>
          <w:b/>
          <w:bCs/>
        </w:rPr>
      </w:pPr>
      <w:r w:rsidRPr="005F4143">
        <w:rPr>
          <w:b/>
          <w:bCs/>
        </w:rPr>
        <w:t>Reporting against indicators</w:t>
      </w:r>
    </w:p>
    <w:p w14:paraId="6FC79E2E" w14:textId="3834C408" w:rsidR="00BF354B" w:rsidRPr="005F4143" w:rsidRDefault="004C7B1B" w:rsidP="00BF354B">
      <w:pPr>
        <w:pStyle w:val="Tablecaption"/>
      </w:pPr>
      <w:r w:rsidRPr="005F4143">
        <w:fldChar w:fldCharType="begin"/>
      </w:r>
      <w:r w:rsidRPr="005F4143">
        <w:instrText>SEQ Table \* ARABIC</w:instrText>
      </w:r>
      <w:r w:rsidRPr="005F4143">
        <w:fldChar w:fldCharType="separate"/>
      </w:r>
      <w:bookmarkStart w:id="21" w:name="_Toc214457303"/>
      <w:r w:rsidR="00670632">
        <w:rPr>
          <w:noProof/>
        </w:rPr>
        <w:t>4</w:t>
      </w:r>
      <w:r w:rsidRPr="005F4143">
        <w:fldChar w:fldCharType="end"/>
      </w:r>
      <w:r w:rsidR="00BF354B" w:rsidRPr="005F4143">
        <w:t xml:space="preserve">. </w:t>
      </w:r>
      <w:r w:rsidR="005B35BC" w:rsidRPr="005F4143">
        <w:t xml:space="preserve">Proportion of people in high caseload settings </w:t>
      </w:r>
      <w:r w:rsidR="002E4A06" w:rsidRPr="005F4143">
        <w:t>who</w:t>
      </w:r>
      <w:r w:rsidR="005B35BC" w:rsidRPr="005F4143">
        <w:t xml:space="preserve"> have been tested for hepatitis C</w:t>
      </w:r>
      <w:bookmarkEnd w:id="21"/>
    </w:p>
    <w:tbl>
      <w:tblPr>
        <w:tblStyle w:val="TableGrid"/>
        <w:tblW w:w="9776" w:type="dxa"/>
        <w:tblLook w:val="06A0" w:firstRow="1" w:lastRow="0" w:firstColumn="1" w:lastColumn="0" w:noHBand="1" w:noVBand="1"/>
      </w:tblPr>
      <w:tblGrid>
        <w:gridCol w:w="1419"/>
        <w:gridCol w:w="3233"/>
        <w:gridCol w:w="1439"/>
        <w:gridCol w:w="1701"/>
        <w:gridCol w:w="1984"/>
      </w:tblGrid>
      <w:tr w:rsidR="00BF354B" w:rsidRPr="005F4143" w14:paraId="4C323335" w14:textId="77777777">
        <w:trPr>
          <w:tblHeader/>
        </w:trPr>
        <w:tc>
          <w:tcPr>
            <w:tcW w:w="1419" w:type="dxa"/>
          </w:tcPr>
          <w:p w14:paraId="580C4F8F" w14:textId="77777777" w:rsidR="00BF354B" w:rsidRPr="005F4143" w:rsidRDefault="00BF354B">
            <w:pPr>
              <w:pStyle w:val="Tablecolhead"/>
            </w:pPr>
            <w:r w:rsidRPr="005F4143">
              <w:t>Component</w:t>
            </w:r>
          </w:p>
        </w:tc>
        <w:tc>
          <w:tcPr>
            <w:tcW w:w="3233" w:type="dxa"/>
            <w:tcBorders>
              <w:bottom w:val="single" w:sz="4" w:space="0" w:color="auto"/>
            </w:tcBorders>
          </w:tcPr>
          <w:p w14:paraId="6B54FCBC" w14:textId="77777777" w:rsidR="00BF354B" w:rsidRPr="005F4143" w:rsidRDefault="00BF354B">
            <w:pPr>
              <w:pStyle w:val="Tablecolhead"/>
            </w:pPr>
            <w:r w:rsidRPr="005F4143">
              <w:t>Description</w:t>
            </w:r>
          </w:p>
        </w:tc>
        <w:tc>
          <w:tcPr>
            <w:tcW w:w="1439" w:type="dxa"/>
          </w:tcPr>
          <w:p w14:paraId="3670A5B1" w14:textId="77777777" w:rsidR="00BF354B" w:rsidRPr="005F4143" w:rsidRDefault="00BF354B">
            <w:pPr>
              <w:pStyle w:val="Tablecolhead"/>
            </w:pPr>
            <w:r w:rsidRPr="005F4143">
              <w:t>Source</w:t>
            </w:r>
          </w:p>
        </w:tc>
        <w:tc>
          <w:tcPr>
            <w:tcW w:w="1701" w:type="dxa"/>
          </w:tcPr>
          <w:p w14:paraId="1A9158A3" w14:textId="77777777" w:rsidR="00BF354B" w:rsidRPr="005F4143" w:rsidRDefault="00BF354B">
            <w:pPr>
              <w:pStyle w:val="Tablecolhead"/>
            </w:pPr>
            <w:r w:rsidRPr="005F4143">
              <w:t>Custodian</w:t>
            </w:r>
          </w:p>
        </w:tc>
        <w:tc>
          <w:tcPr>
            <w:tcW w:w="1984" w:type="dxa"/>
          </w:tcPr>
          <w:p w14:paraId="550216D1" w14:textId="77777777" w:rsidR="00BF354B" w:rsidRPr="005F4143" w:rsidRDefault="00BF354B">
            <w:pPr>
              <w:pStyle w:val="Tablecolhead"/>
            </w:pPr>
            <w:r w:rsidRPr="005F4143">
              <w:t>Availability</w:t>
            </w:r>
          </w:p>
        </w:tc>
      </w:tr>
      <w:tr w:rsidR="00C2503E" w:rsidRPr="005F4143" w14:paraId="323FC3A1" w14:textId="77777777">
        <w:tc>
          <w:tcPr>
            <w:tcW w:w="1419" w:type="dxa"/>
          </w:tcPr>
          <w:p w14:paraId="3CE34595" w14:textId="77777777" w:rsidR="00C2503E" w:rsidRPr="005F4143" w:rsidRDefault="00C2503E" w:rsidP="00C2503E">
            <w:pPr>
              <w:pStyle w:val="Tabletext"/>
            </w:pPr>
            <w:r w:rsidRPr="005F4143">
              <w:t>Numerator</w:t>
            </w:r>
          </w:p>
        </w:tc>
        <w:tc>
          <w:tcPr>
            <w:tcW w:w="3233" w:type="dxa"/>
          </w:tcPr>
          <w:p w14:paraId="75F129FC" w14:textId="59D0DE95" w:rsidR="00C2503E" w:rsidRPr="005F4143" w:rsidRDefault="00C2503E" w:rsidP="00C2503E">
            <w:pPr>
              <w:pStyle w:val="Tabletext"/>
            </w:pPr>
            <w:r w:rsidRPr="005F4143">
              <w:t>Number of people attending sexual health</w:t>
            </w:r>
            <w:r w:rsidR="009610EC" w:rsidRPr="005F4143">
              <w:t xml:space="preserve"> clinics</w:t>
            </w:r>
            <w:r w:rsidRPr="005F4143">
              <w:t>, clinics specialising in care for PWID, or community health centres in ACCESS clinical network tested for hepatitis C</w:t>
            </w:r>
          </w:p>
        </w:tc>
        <w:tc>
          <w:tcPr>
            <w:tcW w:w="1439" w:type="dxa"/>
          </w:tcPr>
          <w:p w14:paraId="3FE4A5FA" w14:textId="49FD755A" w:rsidR="00C2503E" w:rsidRPr="005F4143" w:rsidRDefault="00C2503E" w:rsidP="00C2503E">
            <w:pPr>
              <w:pStyle w:val="Tablebullet2"/>
              <w:numPr>
                <w:ilvl w:val="0"/>
                <w:numId w:val="0"/>
              </w:numPr>
            </w:pPr>
            <w:r w:rsidRPr="005F4143">
              <w:t xml:space="preserve">ACCESS </w:t>
            </w:r>
          </w:p>
        </w:tc>
        <w:tc>
          <w:tcPr>
            <w:tcW w:w="1701" w:type="dxa"/>
          </w:tcPr>
          <w:p w14:paraId="41C0445B" w14:textId="3F48B3B4" w:rsidR="00C2503E" w:rsidRPr="005F4143" w:rsidRDefault="00C2503E" w:rsidP="00C2503E">
            <w:pPr>
              <w:pStyle w:val="Tablebullet2"/>
              <w:numPr>
                <w:ilvl w:val="0"/>
                <w:numId w:val="0"/>
              </w:numPr>
            </w:pPr>
            <w:r w:rsidRPr="005F4143">
              <w:t>Burnet Institute</w:t>
            </w:r>
          </w:p>
        </w:tc>
        <w:tc>
          <w:tcPr>
            <w:tcW w:w="1984" w:type="dxa"/>
          </w:tcPr>
          <w:p w14:paraId="080B3D6A" w14:textId="5028BE8F" w:rsidR="00C2503E" w:rsidRPr="005F4143" w:rsidRDefault="00C2503E" w:rsidP="00C2503E">
            <w:pPr>
              <w:pStyle w:val="Tablebullet1"/>
              <w:numPr>
                <w:ilvl w:val="0"/>
                <w:numId w:val="0"/>
              </w:numPr>
              <w:ind w:left="227" w:hanging="227"/>
            </w:pPr>
            <w:r w:rsidRPr="005F4143">
              <w:t>Annually</w:t>
            </w:r>
          </w:p>
        </w:tc>
      </w:tr>
      <w:tr w:rsidR="003207D1" w:rsidRPr="005F4143" w14:paraId="13B8CC37" w14:textId="77777777">
        <w:tc>
          <w:tcPr>
            <w:tcW w:w="1419" w:type="dxa"/>
          </w:tcPr>
          <w:p w14:paraId="5340D333" w14:textId="77777777" w:rsidR="003207D1" w:rsidRPr="005F4143" w:rsidRDefault="003207D1" w:rsidP="003207D1">
            <w:r w:rsidRPr="005F4143">
              <w:t>Denominator</w:t>
            </w:r>
          </w:p>
        </w:tc>
        <w:tc>
          <w:tcPr>
            <w:tcW w:w="3233" w:type="dxa"/>
          </w:tcPr>
          <w:p w14:paraId="78F331F3" w14:textId="777190CB" w:rsidR="003207D1" w:rsidRPr="005F4143" w:rsidRDefault="003207D1" w:rsidP="003207D1">
            <w:pPr>
              <w:pStyle w:val="Tabletext"/>
            </w:pPr>
            <w:r w:rsidRPr="005F4143">
              <w:t>Number of people attending sexual health</w:t>
            </w:r>
            <w:r w:rsidR="00F845D9" w:rsidRPr="005F4143">
              <w:t xml:space="preserve"> clinics</w:t>
            </w:r>
            <w:r w:rsidRPr="005F4143">
              <w:t>, clinics specialising in care for PWID, or community health centres in ACCESS clinical network</w:t>
            </w:r>
          </w:p>
        </w:tc>
        <w:tc>
          <w:tcPr>
            <w:tcW w:w="1439" w:type="dxa"/>
          </w:tcPr>
          <w:p w14:paraId="24D04318" w14:textId="1B8BE77F" w:rsidR="003207D1" w:rsidRPr="005F4143" w:rsidRDefault="003207D1" w:rsidP="003207D1">
            <w:pPr>
              <w:pStyle w:val="Tabletext"/>
            </w:pPr>
            <w:r w:rsidRPr="005F4143">
              <w:t xml:space="preserve">ACCESS </w:t>
            </w:r>
          </w:p>
        </w:tc>
        <w:tc>
          <w:tcPr>
            <w:tcW w:w="1701" w:type="dxa"/>
          </w:tcPr>
          <w:p w14:paraId="64AAC775" w14:textId="56AE330B" w:rsidR="003207D1" w:rsidRPr="005F4143" w:rsidRDefault="003207D1" w:rsidP="003207D1">
            <w:pPr>
              <w:pStyle w:val="Tabletext"/>
            </w:pPr>
            <w:r w:rsidRPr="005F4143">
              <w:t>Burnet Institute</w:t>
            </w:r>
          </w:p>
        </w:tc>
        <w:tc>
          <w:tcPr>
            <w:tcW w:w="1984" w:type="dxa"/>
          </w:tcPr>
          <w:p w14:paraId="06B2C83F" w14:textId="2F360DB7" w:rsidR="003207D1" w:rsidRPr="005F4143" w:rsidRDefault="003207D1" w:rsidP="003207D1">
            <w:pPr>
              <w:pStyle w:val="Tabletext"/>
            </w:pPr>
            <w:r w:rsidRPr="005F4143">
              <w:t>Annual</w:t>
            </w:r>
            <w:r w:rsidR="00FD411B" w:rsidRPr="005F4143">
              <w:t>ly</w:t>
            </w:r>
          </w:p>
        </w:tc>
      </w:tr>
    </w:tbl>
    <w:p w14:paraId="4E065D7D" w14:textId="3A5B1C2E" w:rsidR="009261A0" w:rsidRPr="005F4143" w:rsidRDefault="009261A0">
      <w:pPr>
        <w:spacing w:after="0" w:line="240" w:lineRule="auto"/>
        <w:rPr>
          <w:rFonts w:eastAsia="Times"/>
        </w:rPr>
      </w:pPr>
    </w:p>
    <w:p w14:paraId="6B44C4EA" w14:textId="02D0360B" w:rsidR="00187D0B" w:rsidRDefault="00187D0B" w:rsidP="003C2ED6">
      <w:pPr>
        <w:pStyle w:val="Body"/>
      </w:pPr>
    </w:p>
    <w:p w14:paraId="218A9160" w14:textId="77777777" w:rsidR="008F2605" w:rsidRPr="005F4143" w:rsidRDefault="008F2605">
      <w:pPr>
        <w:spacing w:after="0" w:line="240" w:lineRule="auto"/>
        <w:rPr>
          <w:rFonts w:eastAsia="MS Gothic" w:cs="Arial"/>
          <w:bCs/>
          <w:color w:val="AF272F"/>
          <w:kern w:val="32"/>
          <w:sz w:val="44"/>
          <w:szCs w:val="44"/>
        </w:rPr>
      </w:pPr>
      <w:r w:rsidRPr="005F4143">
        <w:br w:type="page"/>
      </w:r>
    </w:p>
    <w:p w14:paraId="14F7D39F" w14:textId="4744B9B2" w:rsidR="009261A0" w:rsidRPr="005F4143" w:rsidRDefault="009261A0" w:rsidP="009261A0">
      <w:pPr>
        <w:pStyle w:val="Heading1"/>
        <w:spacing w:before="0"/>
      </w:pPr>
      <w:bookmarkStart w:id="22" w:name="_Toc214457274"/>
      <w:r w:rsidRPr="005F4143">
        <w:lastRenderedPageBreak/>
        <w:t xml:space="preserve">HIV </w:t>
      </w:r>
      <w:r w:rsidR="0091688E" w:rsidRPr="005F4143">
        <w:t>p</w:t>
      </w:r>
      <w:r w:rsidRPr="005F4143">
        <w:t>lan 2022-</w:t>
      </w:r>
      <w:r w:rsidR="008B2F1D" w:rsidRPr="005F4143">
        <w:t>30</w:t>
      </w:r>
      <w:bookmarkEnd w:id="22"/>
    </w:p>
    <w:p w14:paraId="027E42B2" w14:textId="6ECBD7DC" w:rsidR="009261A0" w:rsidRPr="005F4143" w:rsidRDefault="009261A0" w:rsidP="009261A0">
      <w:pPr>
        <w:pStyle w:val="Heading2"/>
      </w:pPr>
      <w:bookmarkStart w:id="23" w:name="_Toc214457275"/>
      <w:r w:rsidRPr="005F4143">
        <w:t>Goals, targets and priority populations</w:t>
      </w:r>
      <w:bookmarkEnd w:id="23"/>
    </w:p>
    <w:p w14:paraId="40D16887" w14:textId="77777777" w:rsidR="009261A0" w:rsidRPr="005F4143" w:rsidRDefault="009261A0" w:rsidP="009261A0">
      <w:pPr>
        <w:pStyle w:val="Body"/>
        <w:rPr>
          <w:b/>
          <w:bCs/>
        </w:rPr>
      </w:pPr>
      <w:r w:rsidRPr="005F4143">
        <w:rPr>
          <w:b/>
          <w:bCs/>
        </w:rPr>
        <w:t>Goals:</w:t>
      </w:r>
    </w:p>
    <w:p w14:paraId="76EBF1FA" w14:textId="77777777" w:rsidR="00187D0B" w:rsidRDefault="006468C0" w:rsidP="006F505E">
      <w:pPr>
        <w:pStyle w:val="Body"/>
        <w:numPr>
          <w:ilvl w:val="0"/>
          <w:numId w:val="8"/>
        </w:numPr>
      </w:pPr>
      <w:r w:rsidRPr="005F4143">
        <w:t>Victorians are supported to reduce their risk of acquiring HIV</w:t>
      </w:r>
    </w:p>
    <w:p w14:paraId="4AA16011" w14:textId="77777777" w:rsidR="00187D0B" w:rsidRDefault="006468C0" w:rsidP="006F505E">
      <w:pPr>
        <w:pStyle w:val="Body"/>
        <w:numPr>
          <w:ilvl w:val="0"/>
          <w:numId w:val="8"/>
        </w:numPr>
      </w:pPr>
      <w:r w:rsidRPr="005F4143">
        <w:t>Victorians living with HIV know their status</w:t>
      </w:r>
    </w:p>
    <w:p w14:paraId="6371EF2B" w14:textId="77777777" w:rsidR="00187D0B" w:rsidRDefault="006468C0" w:rsidP="006F505E">
      <w:pPr>
        <w:pStyle w:val="Body"/>
        <w:numPr>
          <w:ilvl w:val="0"/>
          <w:numId w:val="8"/>
        </w:numPr>
      </w:pPr>
      <w:r w:rsidRPr="005F4143">
        <w:t>Victorians living with HIV have access to the best practice evidence-based treatment and care</w:t>
      </w:r>
    </w:p>
    <w:p w14:paraId="4710147D" w14:textId="7587526C" w:rsidR="009261A0" w:rsidRPr="005F4143" w:rsidRDefault="006468C0" w:rsidP="006F505E">
      <w:pPr>
        <w:pStyle w:val="Body"/>
        <w:numPr>
          <w:ilvl w:val="0"/>
          <w:numId w:val="8"/>
        </w:numPr>
      </w:pPr>
      <w:r w:rsidRPr="005F4143">
        <w:t>Stigma and discrimination are not a barrier to HIV prevention, testing, treatment or care</w:t>
      </w:r>
    </w:p>
    <w:p w14:paraId="4EEEE397" w14:textId="77777777" w:rsidR="009261A0" w:rsidRPr="005F4143" w:rsidRDefault="009261A0" w:rsidP="009261A0">
      <w:pPr>
        <w:pStyle w:val="Body"/>
        <w:ind w:left="720"/>
      </w:pPr>
    </w:p>
    <w:p w14:paraId="3D9DEC13" w14:textId="1DE23F76" w:rsidR="009261A0" w:rsidRPr="005F4143" w:rsidRDefault="009A6A89" w:rsidP="009261A0">
      <w:pPr>
        <w:pStyle w:val="Body"/>
        <w:rPr>
          <w:b/>
          <w:bCs/>
        </w:rPr>
      </w:pPr>
      <w:r w:rsidRPr="005F4143">
        <w:rPr>
          <w:b/>
          <w:bCs/>
        </w:rPr>
        <w:t>T</w:t>
      </w:r>
      <w:r w:rsidR="009261A0" w:rsidRPr="005F4143">
        <w:rPr>
          <w:b/>
          <w:bCs/>
        </w:rPr>
        <w:t>argets for 2025:</w:t>
      </w:r>
    </w:p>
    <w:p w14:paraId="060F923F" w14:textId="0ED5B3B2" w:rsidR="0069352E" w:rsidRPr="005F4143" w:rsidRDefault="00582E74" w:rsidP="006F505E">
      <w:pPr>
        <w:pStyle w:val="Body"/>
        <w:numPr>
          <w:ilvl w:val="0"/>
          <w:numId w:val="8"/>
        </w:numPr>
      </w:pPr>
      <w:r w:rsidRPr="005F4143">
        <w:t xml:space="preserve">The proportion of </w:t>
      </w:r>
      <w:r w:rsidR="0069352E" w:rsidRPr="005F4143">
        <w:t xml:space="preserve">people at risk of HIV infection </w:t>
      </w:r>
      <w:r w:rsidRPr="005F4143">
        <w:t xml:space="preserve">who </w:t>
      </w:r>
      <w:r w:rsidR="0069352E" w:rsidRPr="005F4143">
        <w:t>use one or more forms of effective HIV prevention</w:t>
      </w:r>
      <w:r w:rsidRPr="005F4143">
        <w:t xml:space="preserve"> will be 95%</w:t>
      </w:r>
    </w:p>
    <w:p w14:paraId="1E6A24ED" w14:textId="77777777" w:rsidR="0069352E" w:rsidRPr="005F4143" w:rsidRDefault="0069352E" w:rsidP="006F505E">
      <w:pPr>
        <w:pStyle w:val="Body"/>
        <w:numPr>
          <w:ilvl w:val="0"/>
          <w:numId w:val="8"/>
        </w:numPr>
      </w:pPr>
      <w:r w:rsidRPr="005F4143">
        <w:t>The proportion of all people living with HIV who are diagnosed will be 95%</w:t>
      </w:r>
    </w:p>
    <w:p w14:paraId="691747C0" w14:textId="77777777" w:rsidR="0069352E" w:rsidRPr="005F4143" w:rsidRDefault="0069352E" w:rsidP="006F505E">
      <w:pPr>
        <w:pStyle w:val="Body"/>
        <w:numPr>
          <w:ilvl w:val="0"/>
          <w:numId w:val="8"/>
        </w:numPr>
      </w:pPr>
      <w:r w:rsidRPr="005F4143">
        <w:t>The proportion of all people living with HIV who are accessing appropriate treatment will be 98%</w:t>
      </w:r>
    </w:p>
    <w:p w14:paraId="3D287EAC" w14:textId="77777777" w:rsidR="0069352E" w:rsidRPr="005F4143" w:rsidRDefault="0069352E" w:rsidP="006F505E">
      <w:pPr>
        <w:pStyle w:val="Body"/>
        <w:numPr>
          <w:ilvl w:val="0"/>
          <w:numId w:val="8"/>
        </w:numPr>
      </w:pPr>
      <w:r w:rsidRPr="005F4143">
        <w:t>The proportion of all people living with HIV on treatment with an undetectable viral load will be 98%</w:t>
      </w:r>
    </w:p>
    <w:p w14:paraId="659E9773" w14:textId="77777777" w:rsidR="009261A0" w:rsidRPr="005F4143" w:rsidRDefault="009261A0" w:rsidP="009261A0">
      <w:pPr>
        <w:pStyle w:val="Body"/>
        <w:ind w:left="720"/>
      </w:pPr>
    </w:p>
    <w:p w14:paraId="7608A3BC" w14:textId="6A481E8F" w:rsidR="009261A0" w:rsidRPr="005F4143" w:rsidRDefault="009261A0" w:rsidP="009261A0">
      <w:pPr>
        <w:pStyle w:val="Body"/>
        <w:rPr>
          <w:b/>
          <w:bCs/>
        </w:rPr>
      </w:pPr>
      <w:r w:rsidRPr="005F4143">
        <w:rPr>
          <w:b/>
          <w:bCs/>
        </w:rPr>
        <w:t xml:space="preserve">Priority </w:t>
      </w:r>
      <w:r w:rsidR="0083000D" w:rsidRPr="005F4143">
        <w:rPr>
          <w:b/>
          <w:bCs/>
        </w:rPr>
        <w:t>p</w:t>
      </w:r>
      <w:r w:rsidRPr="005F4143">
        <w:rPr>
          <w:b/>
          <w:bCs/>
        </w:rPr>
        <w:t>opulations</w:t>
      </w:r>
    </w:p>
    <w:p w14:paraId="447E582F" w14:textId="77777777" w:rsidR="009261A0" w:rsidRPr="005F4143" w:rsidRDefault="009261A0" w:rsidP="006F505E">
      <w:pPr>
        <w:pStyle w:val="Body"/>
        <w:numPr>
          <w:ilvl w:val="0"/>
          <w:numId w:val="8"/>
        </w:numPr>
        <w:sectPr w:rsidR="009261A0" w:rsidRPr="005F4143" w:rsidSect="009261A0">
          <w:headerReference w:type="even" r:id="rId23"/>
          <w:headerReference w:type="default" r:id="rId24"/>
          <w:footerReference w:type="even" r:id="rId25"/>
          <w:footerReference w:type="default" r:id="rId26"/>
          <w:headerReference w:type="first" r:id="rId27"/>
          <w:type w:val="continuous"/>
          <w:pgSz w:w="11906" w:h="16838" w:code="9"/>
          <w:pgMar w:top="1418" w:right="1304" w:bottom="1134" w:left="1304" w:header="680" w:footer="851" w:gutter="0"/>
          <w:cols w:space="340"/>
          <w:titlePg/>
          <w:docGrid w:linePitch="360"/>
        </w:sectPr>
      </w:pPr>
    </w:p>
    <w:p w14:paraId="3E09EAB3" w14:textId="049BE445" w:rsidR="009261A0" w:rsidRPr="005F4143" w:rsidRDefault="00D06265" w:rsidP="006F505E">
      <w:pPr>
        <w:pStyle w:val="Body"/>
        <w:numPr>
          <w:ilvl w:val="0"/>
          <w:numId w:val="8"/>
        </w:numPr>
      </w:pPr>
      <w:r w:rsidRPr="005F4143">
        <w:t>People living with HIV</w:t>
      </w:r>
    </w:p>
    <w:p w14:paraId="45F45F70" w14:textId="44A7975B" w:rsidR="00D06265" w:rsidRPr="005F4143" w:rsidRDefault="00D06265" w:rsidP="006F505E">
      <w:pPr>
        <w:pStyle w:val="Body"/>
        <w:numPr>
          <w:ilvl w:val="0"/>
          <w:numId w:val="8"/>
        </w:numPr>
      </w:pPr>
      <w:r w:rsidRPr="005F4143">
        <w:t>Gay, bisexual and other men who have sex with men</w:t>
      </w:r>
    </w:p>
    <w:p w14:paraId="7ADDDE7B" w14:textId="77777777" w:rsidR="009261A0" w:rsidRPr="005F4143" w:rsidRDefault="009261A0" w:rsidP="006F505E">
      <w:pPr>
        <w:pStyle w:val="Body"/>
        <w:numPr>
          <w:ilvl w:val="0"/>
          <w:numId w:val="8"/>
        </w:numPr>
      </w:pPr>
      <w:r w:rsidRPr="005F4143">
        <w:t>Aboriginal people</w:t>
      </w:r>
    </w:p>
    <w:p w14:paraId="2CAD017B" w14:textId="60FE0943" w:rsidR="009261A0" w:rsidRPr="005F4143" w:rsidRDefault="00322408" w:rsidP="006F505E">
      <w:pPr>
        <w:pStyle w:val="Body"/>
        <w:numPr>
          <w:ilvl w:val="0"/>
          <w:numId w:val="8"/>
        </w:numPr>
      </w:pPr>
      <w:r w:rsidRPr="005F4143">
        <w:t>Women</w:t>
      </w:r>
    </w:p>
    <w:p w14:paraId="4755ED58" w14:textId="1D7DA1DF" w:rsidR="00322408" w:rsidRPr="005F4143" w:rsidRDefault="00322408" w:rsidP="006F505E">
      <w:pPr>
        <w:pStyle w:val="Body"/>
        <w:numPr>
          <w:ilvl w:val="0"/>
          <w:numId w:val="8"/>
        </w:numPr>
      </w:pPr>
      <w:r w:rsidRPr="005F4143">
        <w:t>Gender diverse people</w:t>
      </w:r>
    </w:p>
    <w:p w14:paraId="041E9BA3" w14:textId="01CC2DA8" w:rsidR="009261A0" w:rsidRPr="005F4143" w:rsidRDefault="009261A0" w:rsidP="006F505E">
      <w:pPr>
        <w:pStyle w:val="Body"/>
        <w:numPr>
          <w:ilvl w:val="0"/>
          <w:numId w:val="8"/>
        </w:numPr>
      </w:pPr>
      <w:r w:rsidRPr="005F4143">
        <w:t>Culturally diverse</w:t>
      </w:r>
      <w:r w:rsidR="00322408" w:rsidRPr="005F4143">
        <w:t xml:space="preserve"> and refugee</w:t>
      </w:r>
      <w:r w:rsidRPr="005F4143">
        <w:t xml:space="preserve"> </w:t>
      </w:r>
      <w:r w:rsidR="00322408" w:rsidRPr="005F4143">
        <w:t>communities</w:t>
      </w:r>
    </w:p>
    <w:p w14:paraId="2545686D" w14:textId="5ED18236" w:rsidR="009261A0" w:rsidRPr="005F4143" w:rsidRDefault="00322408" w:rsidP="006F505E">
      <w:pPr>
        <w:pStyle w:val="Body"/>
        <w:numPr>
          <w:ilvl w:val="0"/>
          <w:numId w:val="8"/>
        </w:numPr>
      </w:pPr>
      <w:r w:rsidRPr="005F4143">
        <w:t>People from, or people who travel to, high</w:t>
      </w:r>
      <w:r w:rsidR="001732E5" w:rsidRPr="005F4143">
        <w:t>-HIV prevalence countries</w:t>
      </w:r>
    </w:p>
    <w:p w14:paraId="02E18497" w14:textId="56D27C87" w:rsidR="005A5221" w:rsidRPr="005F4143" w:rsidRDefault="005A5221" w:rsidP="006F505E">
      <w:pPr>
        <w:pStyle w:val="Body"/>
        <w:numPr>
          <w:ilvl w:val="0"/>
          <w:numId w:val="8"/>
        </w:numPr>
      </w:pPr>
      <w:r w:rsidRPr="005F4143">
        <w:t>People in custodial settings</w:t>
      </w:r>
    </w:p>
    <w:p w14:paraId="1EF21CDA" w14:textId="17F4F1AF" w:rsidR="00543A1A" w:rsidRPr="005F4143" w:rsidRDefault="00DD08AF" w:rsidP="006F505E">
      <w:pPr>
        <w:pStyle w:val="Body"/>
        <w:numPr>
          <w:ilvl w:val="0"/>
          <w:numId w:val="8"/>
        </w:numPr>
      </w:pPr>
      <w:r w:rsidRPr="005F4143">
        <w:t>Sex worker</w:t>
      </w:r>
      <w:r w:rsidR="00543A1A" w:rsidRPr="005F4143">
        <w:t>s</w:t>
      </w:r>
    </w:p>
    <w:p w14:paraId="5D968AC6" w14:textId="77777777" w:rsidR="00543A1A" w:rsidRPr="005F4143" w:rsidRDefault="00543A1A" w:rsidP="006F505E">
      <w:pPr>
        <w:pStyle w:val="Body"/>
        <w:numPr>
          <w:ilvl w:val="0"/>
          <w:numId w:val="8"/>
        </w:numPr>
      </w:pPr>
      <w:r w:rsidRPr="005F4143">
        <w:t>People with a blood disorder</w:t>
      </w:r>
    </w:p>
    <w:p w14:paraId="368D54A4" w14:textId="4D8CAB04" w:rsidR="00543A1A" w:rsidRPr="005F4143" w:rsidRDefault="00543A1A" w:rsidP="006F505E">
      <w:pPr>
        <w:pStyle w:val="Body"/>
        <w:numPr>
          <w:ilvl w:val="0"/>
          <w:numId w:val="8"/>
        </w:numPr>
      </w:pPr>
      <w:r w:rsidRPr="005F4143">
        <w:t>Young people</w:t>
      </w:r>
    </w:p>
    <w:p w14:paraId="21BD9E03" w14:textId="77777777" w:rsidR="00DD08AF" w:rsidRPr="005F4143" w:rsidRDefault="00DD08AF" w:rsidP="00DD08AF">
      <w:pPr>
        <w:pStyle w:val="Body"/>
        <w:ind w:left="360"/>
        <w:sectPr w:rsidR="00DD08AF" w:rsidRPr="005F4143" w:rsidSect="005A5221">
          <w:headerReference w:type="first" r:id="rId28"/>
          <w:type w:val="continuous"/>
          <w:pgSz w:w="11906" w:h="16838" w:code="9"/>
          <w:pgMar w:top="1418" w:right="1304" w:bottom="1134" w:left="1304" w:header="680" w:footer="851" w:gutter="0"/>
          <w:cols w:num="2" w:space="340"/>
          <w:titlePg/>
          <w:docGrid w:linePitch="360"/>
        </w:sectPr>
      </w:pPr>
    </w:p>
    <w:p w14:paraId="22648EA2" w14:textId="2AD57172" w:rsidR="005A5221" w:rsidRPr="005F4143" w:rsidRDefault="00543A1A" w:rsidP="00447D64">
      <w:pPr>
        <w:pStyle w:val="Body"/>
        <w:numPr>
          <w:ilvl w:val="0"/>
          <w:numId w:val="8"/>
        </w:numPr>
        <w:sectPr w:rsidR="005A5221" w:rsidRPr="005F4143" w:rsidSect="005A5221">
          <w:headerReference w:type="first" r:id="rId29"/>
          <w:type w:val="continuous"/>
          <w:pgSz w:w="11906" w:h="16838" w:code="9"/>
          <w:pgMar w:top="1418" w:right="1304" w:bottom="1134" w:left="1304" w:header="680" w:footer="851" w:gutter="0"/>
          <w:cols w:num="2" w:space="340"/>
          <w:titlePg/>
          <w:docGrid w:linePitch="360"/>
        </w:sectPr>
      </w:pPr>
      <w:r w:rsidRPr="005F4143">
        <w:t>Heterosexual identifying men who intersect with a number of these priority populations</w:t>
      </w:r>
    </w:p>
    <w:p w14:paraId="58C92B11" w14:textId="77777777" w:rsidR="00A05AC4" w:rsidRPr="005F4143" w:rsidRDefault="00A05AC4">
      <w:pPr>
        <w:spacing w:after="0" w:line="240" w:lineRule="auto"/>
        <w:rPr>
          <w:rFonts w:eastAsia="MS Gothic"/>
          <w:b/>
          <w:bCs/>
          <w:color w:val="53565A"/>
          <w:sz w:val="30"/>
          <w:szCs w:val="26"/>
        </w:rPr>
      </w:pPr>
      <w:r w:rsidRPr="005F4143">
        <w:br w:type="page"/>
      </w:r>
    </w:p>
    <w:p w14:paraId="5E2FCC73" w14:textId="2A88A95F" w:rsidR="009261A0" w:rsidRPr="005F4143" w:rsidRDefault="009261A0" w:rsidP="009261A0">
      <w:pPr>
        <w:pStyle w:val="Heading3"/>
        <w:rPr>
          <w:lang w:val="en-AU"/>
        </w:rPr>
      </w:pPr>
      <w:bookmarkStart w:id="24" w:name="_Toc214457276"/>
      <w:r w:rsidRPr="005F4143">
        <w:rPr>
          <w:lang w:val="en-AU"/>
        </w:rPr>
        <w:lastRenderedPageBreak/>
        <w:t>Focus Area 1: Prevent</w:t>
      </w:r>
      <w:bookmarkEnd w:id="24"/>
    </w:p>
    <w:p w14:paraId="6AC34E63" w14:textId="27B2847A" w:rsidR="009261A0" w:rsidRPr="005F4143" w:rsidRDefault="009261A0" w:rsidP="009261A0">
      <w:pPr>
        <w:pStyle w:val="Body"/>
        <w:rPr>
          <w:b/>
          <w:bCs/>
        </w:rPr>
      </w:pPr>
      <w:r w:rsidRPr="005F4143">
        <w:rPr>
          <w:b/>
          <w:bCs/>
        </w:rPr>
        <w:t xml:space="preserve">Goal: Victorians are supported to reduce their risk of acquiring </w:t>
      </w:r>
      <w:r w:rsidR="00F93D8F" w:rsidRPr="005F4143">
        <w:rPr>
          <w:b/>
          <w:bCs/>
        </w:rPr>
        <w:t>HIV</w:t>
      </w:r>
    </w:p>
    <w:p w14:paraId="61A31A68" w14:textId="77777777" w:rsidR="009261A0" w:rsidRPr="005F4143" w:rsidRDefault="009261A0" w:rsidP="009261A0">
      <w:pPr>
        <w:pStyle w:val="Body"/>
        <w:rPr>
          <w:b/>
          <w:bCs/>
          <w:u w:val="single"/>
        </w:rPr>
      </w:pPr>
      <w:r w:rsidRPr="005F4143">
        <w:rPr>
          <w:b/>
          <w:bCs/>
          <w:u w:val="single"/>
        </w:rPr>
        <w:t>Objectives (by 2030):</w:t>
      </w:r>
    </w:p>
    <w:p w14:paraId="0BD8D5E1" w14:textId="77777777" w:rsidR="00AC3AC5" w:rsidRPr="005F4143" w:rsidRDefault="00AC3AC5" w:rsidP="006F505E">
      <w:pPr>
        <w:pStyle w:val="Body"/>
        <w:numPr>
          <w:ilvl w:val="1"/>
          <w:numId w:val="9"/>
        </w:numPr>
      </w:pPr>
      <w:r w:rsidRPr="005F4143">
        <w:t>Victorians know what to do prevent HIV and are supported to do so</w:t>
      </w:r>
    </w:p>
    <w:p w14:paraId="1891CF10" w14:textId="77777777" w:rsidR="00AC3AC5" w:rsidRPr="005F4143" w:rsidRDefault="00AC3AC5" w:rsidP="006F505E">
      <w:pPr>
        <w:pStyle w:val="Body"/>
        <w:numPr>
          <w:ilvl w:val="1"/>
          <w:numId w:val="9"/>
        </w:numPr>
      </w:pPr>
      <w:r w:rsidRPr="005F4143">
        <w:t>Victorians who experience greater inequity and who are at increased risk of HIV acquisition are the focus of renewed prevention efforts</w:t>
      </w:r>
    </w:p>
    <w:p w14:paraId="2CC166BD" w14:textId="77777777" w:rsidR="00AC3AC5" w:rsidRPr="005F4143" w:rsidRDefault="00AC3AC5" w:rsidP="006F505E">
      <w:pPr>
        <w:pStyle w:val="Body"/>
        <w:numPr>
          <w:ilvl w:val="1"/>
          <w:numId w:val="9"/>
        </w:numPr>
      </w:pPr>
      <w:r w:rsidRPr="005F4143">
        <w:t>Health professionals have the knowledge and understanding to provide contemporary prevention advice</w:t>
      </w:r>
    </w:p>
    <w:p w14:paraId="128F36E8" w14:textId="77777777" w:rsidR="00AC3AC5" w:rsidRPr="005F4143" w:rsidRDefault="00AC3AC5" w:rsidP="006F505E">
      <w:pPr>
        <w:pStyle w:val="Body"/>
        <w:numPr>
          <w:ilvl w:val="1"/>
          <w:numId w:val="9"/>
        </w:numPr>
      </w:pPr>
      <w:r w:rsidRPr="005F4143">
        <w:t>There is an overall and ongoing reduction in new HIV notifications in Victoria</w:t>
      </w:r>
    </w:p>
    <w:p w14:paraId="0CC663EB" w14:textId="77777777" w:rsidR="009261A0" w:rsidRPr="005F4143" w:rsidRDefault="009261A0" w:rsidP="009261A0">
      <w:pPr>
        <w:pStyle w:val="Body"/>
        <w:rPr>
          <w:b/>
          <w:bCs/>
          <w:u w:val="single"/>
        </w:rPr>
      </w:pPr>
      <w:r w:rsidRPr="005F4143">
        <w:rPr>
          <w:b/>
          <w:bCs/>
          <w:u w:val="single"/>
        </w:rPr>
        <w:t>Targets for 2025:</w:t>
      </w:r>
    </w:p>
    <w:p w14:paraId="26132517" w14:textId="77777777" w:rsidR="00347239" w:rsidRPr="005F4143" w:rsidRDefault="00347239" w:rsidP="00347239">
      <w:pPr>
        <w:pStyle w:val="Body"/>
        <w:numPr>
          <w:ilvl w:val="1"/>
          <w:numId w:val="9"/>
        </w:numPr>
      </w:pPr>
      <w:r w:rsidRPr="005F4143">
        <w:t>The proportion of people at risk of HIV infection who use one or more forms of effective HIV prevention will be 95%</w:t>
      </w:r>
    </w:p>
    <w:p w14:paraId="0168FAAB" w14:textId="77777777" w:rsidR="009261A0" w:rsidRPr="005F4143" w:rsidRDefault="009261A0" w:rsidP="009261A0">
      <w:pPr>
        <w:pStyle w:val="Body"/>
        <w:rPr>
          <w:b/>
          <w:bCs/>
          <w:u w:val="single"/>
        </w:rPr>
      </w:pPr>
      <w:r w:rsidRPr="005F4143">
        <w:rPr>
          <w:b/>
          <w:bCs/>
          <w:u w:val="single"/>
        </w:rPr>
        <w:t>Indicators:</w:t>
      </w:r>
    </w:p>
    <w:p w14:paraId="2F22D359" w14:textId="77777777" w:rsidR="00820505" w:rsidRPr="005F4143" w:rsidRDefault="00820505" w:rsidP="006F505E">
      <w:pPr>
        <w:pStyle w:val="Body"/>
        <w:numPr>
          <w:ilvl w:val="1"/>
          <w:numId w:val="9"/>
        </w:numPr>
      </w:pPr>
      <w:r w:rsidRPr="005F4143">
        <w:t>Annual rate of newly acquired HIV</w:t>
      </w:r>
    </w:p>
    <w:p w14:paraId="52002F76" w14:textId="1CAACD07" w:rsidR="00620A73" w:rsidRPr="005F4143" w:rsidRDefault="00620A73" w:rsidP="006F505E">
      <w:pPr>
        <w:pStyle w:val="Body"/>
        <w:numPr>
          <w:ilvl w:val="1"/>
          <w:numId w:val="9"/>
        </w:numPr>
      </w:pPr>
      <w:r w:rsidRPr="005F4143">
        <w:t xml:space="preserve">Annual rate of </w:t>
      </w:r>
      <w:r w:rsidR="000F1CFE" w:rsidRPr="005F4143">
        <w:t xml:space="preserve">all </w:t>
      </w:r>
      <w:r w:rsidRPr="005F4143">
        <w:t>new HIV notifications</w:t>
      </w:r>
      <w:r w:rsidR="00E813C0" w:rsidRPr="005F4143">
        <w:t xml:space="preserve"> (including unspecified cases)</w:t>
      </w:r>
    </w:p>
    <w:p w14:paraId="5ECDB7CE" w14:textId="424C82CA" w:rsidR="00820505" w:rsidRPr="005F4143" w:rsidRDefault="00820505" w:rsidP="006F505E">
      <w:pPr>
        <w:pStyle w:val="Body"/>
        <w:numPr>
          <w:ilvl w:val="1"/>
          <w:numId w:val="9"/>
        </w:numPr>
      </w:pPr>
      <w:r w:rsidRPr="005F4143">
        <w:t>Number of people in each priority population using PrEP</w:t>
      </w:r>
    </w:p>
    <w:p w14:paraId="15114EA7" w14:textId="52A62D5F" w:rsidR="00820505" w:rsidRPr="005F4143" w:rsidRDefault="00820505" w:rsidP="006F505E">
      <w:pPr>
        <w:pStyle w:val="Body"/>
        <w:numPr>
          <w:ilvl w:val="1"/>
          <w:numId w:val="9"/>
        </w:numPr>
      </w:pPr>
      <w:r w:rsidRPr="005F4143">
        <w:t>Proportion of people in each priority population using PrEP</w:t>
      </w:r>
    </w:p>
    <w:p w14:paraId="10769A05" w14:textId="77777777" w:rsidR="009261A0" w:rsidRPr="005F4143" w:rsidRDefault="009261A0" w:rsidP="009261A0">
      <w:pPr>
        <w:pStyle w:val="Body"/>
      </w:pPr>
    </w:p>
    <w:p w14:paraId="30FF7E8B" w14:textId="77777777" w:rsidR="009261A0" w:rsidRPr="005F4143" w:rsidRDefault="009261A0" w:rsidP="009261A0">
      <w:pPr>
        <w:pStyle w:val="Body"/>
      </w:pPr>
      <w:r w:rsidRPr="005F4143">
        <w:rPr>
          <w:b/>
          <w:bCs/>
        </w:rPr>
        <w:t>Indicator Notes</w:t>
      </w:r>
    </w:p>
    <w:p w14:paraId="52D4D2FF" w14:textId="77777777" w:rsidR="002E42F4" w:rsidRPr="005F4143" w:rsidRDefault="002E42F4" w:rsidP="002E42F4">
      <w:pPr>
        <w:pStyle w:val="Body"/>
      </w:pPr>
      <w:r w:rsidRPr="005F4143">
        <w:t xml:space="preserve">HIV is a notifiable condition in Victoria. Notifications from diagnosing clinicians and laboratories are recorded in PHESS. HIV is notified as either ‘newly acquired,’ where evidence was available that the infection was acquired within 12 months prior to diagnosis through laboratory evidence or the diagnosis of a seroconversion illness by the treating doctor, or ‘unspecified’, where the infection was acquired more than 12 months prior to diagnosis or the period of infection is unknown, or ‘child less than 18 </w:t>
      </w:r>
      <w:proofErr w:type="gramStart"/>
      <w:r w:rsidRPr="005F4143">
        <w:t>months’</w:t>
      </w:r>
      <w:proofErr w:type="gramEnd"/>
      <w:r w:rsidRPr="005F4143">
        <w:t>.</w:t>
      </w:r>
    </w:p>
    <w:p w14:paraId="49AF706E" w14:textId="70548538" w:rsidR="002E42F4" w:rsidRPr="005F4143" w:rsidRDefault="002E42F4" w:rsidP="002E42F4">
      <w:pPr>
        <w:pStyle w:val="Body"/>
      </w:pPr>
      <w:r w:rsidRPr="005F4143">
        <w:t>Newly acquired infections are classified in PHESS using negative tests within 12</w:t>
      </w:r>
      <w:r w:rsidR="00EA3DE3" w:rsidRPr="005F4143">
        <w:t xml:space="preserve"> </w:t>
      </w:r>
      <w:r w:rsidRPr="005F4143">
        <w:t>months of the positive test and or using evidence of seroconversion illness. However, the ACCESS network can identify all tests performed in participating services and calculate the total person-time between positive and negative tests to give an estimation of HIV incidence. As Victoria moves towards virtual elimination of HIV transmission both rates will decrease.</w:t>
      </w:r>
    </w:p>
    <w:p w14:paraId="562F1B64" w14:textId="08245F03" w:rsidR="002E42F4" w:rsidRPr="005F4143" w:rsidRDefault="002E42F4" w:rsidP="002E42F4">
      <w:pPr>
        <w:pStyle w:val="Body"/>
      </w:pPr>
      <w:r w:rsidRPr="005F4143">
        <w:t>In April 2018</w:t>
      </w:r>
      <w:r w:rsidR="00893C5E" w:rsidRPr="005F4143">
        <w:t xml:space="preserve">, PrEP </w:t>
      </w:r>
      <w:r w:rsidRPr="005F4143">
        <w:t xml:space="preserve">became available under the PBS throughout Australia. Prior to that, the </w:t>
      </w:r>
      <w:proofErr w:type="spellStart"/>
      <w:r w:rsidRPr="005F4143">
        <w:t>PrEPX</w:t>
      </w:r>
      <w:proofErr w:type="spellEnd"/>
      <w:r w:rsidRPr="005F4143">
        <w:t xml:space="preserve"> study run by Alfred Health was the primary way Victorians could access </w:t>
      </w:r>
      <w:proofErr w:type="spellStart"/>
      <w:r w:rsidRPr="005F4143">
        <w:t>PrEP.</w:t>
      </w:r>
      <w:proofErr w:type="spellEnd"/>
      <w:r w:rsidRPr="005F4143">
        <w:t xml:space="preserve"> Data from the ACCESS clinical network has become an important tool in assessing the degree to which PrEP is used in Victoria and by different priority populations. </w:t>
      </w:r>
      <w:r w:rsidR="008610FF" w:rsidRPr="005F4143">
        <w:t>As</w:t>
      </w:r>
      <w:r w:rsidRPr="005F4143">
        <w:t xml:space="preserve"> ACCESS can assess denominators within the clinical network, proportion of people using PrEP can be calculated.</w:t>
      </w:r>
    </w:p>
    <w:p w14:paraId="6158D0B2" w14:textId="683AC16A" w:rsidR="009261A0" w:rsidRPr="005F4143" w:rsidRDefault="002E42F4" w:rsidP="002E42F4">
      <w:pPr>
        <w:pStyle w:val="Body"/>
      </w:pPr>
      <w:r w:rsidRPr="005F4143">
        <w:t xml:space="preserve">Prescriptions for antiretrovirals used for PrEP that receive a PBS subsidy are identified as such (and differentiated from use of the same medication for HIV treatment) by a code written on the prescription. PBS data showing the number of prescriptions dispensed for one month of PrEP does not reliably indicate the number of people taking PrEP because people sometimes wait less or more than a month before renewing their prescription, and prescriptions get lost, medication borrowed, </w:t>
      </w:r>
      <w:r w:rsidRPr="005F4143">
        <w:lastRenderedPageBreak/>
        <w:t>etc. However, the general trend in the number of prescriptions issued for PrEP does indicate the trend in number of people using it.</w:t>
      </w:r>
    </w:p>
    <w:p w14:paraId="274B2497" w14:textId="77777777" w:rsidR="009261A0" w:rsidRPr="005F4143" w:rsidRDefault="009261A0" w:rsidP="009261A0">
      <w:pPr>
        <w:pStyle w:val="Body"/>
      </w:pPr>
    </w:p>
    <w:p w14:paraId="08C78C3A" w14:textId="77777777" w:rsidR="009261A0" w:rsidRPr="005F4143" w:rsidRDefault="009261A0" w:rsidP="009261A0">
      <w:pPr>
        <w:pStyle w:val="Body"/>
        <w:rPr>
          <w:b/>
          <w:bCs/>
        </w:rPr>
      </w:pPr>
      <w:r w:rsidRPr="005F4143">
        <w:rPr>
          <w:b/>
          <w:bCs/>
        </w:rPr>
        <w:t>Reporting against indicators</w:t>
      </w:r>
    </w:p>
    <w:p w14:paraId="6A5B389A" w14:textId="19D3C385" w:rsidR="009261A0" w:rsidRPr="005F4143" w:rsidRDefault="004C7B1B" w:rsidP="009261A0">
      <w:pPr>
        <w:pStyle w:val="Tablecaption"/>
      </w:pPr>
      <w:r w:rsidRPr="005F4143">
        <w:fldChar w:fldCharType="begin"/>
      </w:r>
      <w:r w:rsidRPr="005F4143">
        <w:instrText>SEQ Table \* ARABIC</w:instrText>
      </w:r>
      <w:r w:rsidRPr="005F4143">
        <w:fldChar w:fldCharType="separate"/>
      </w:r>
      <w:bookmarkStart w:id="25" w:name="_Toc214457304"/>
      <w:r w:rsidR="00670632">
        <w:rPr>
          <w:noProof/>
        </w:rPr>
        <w:t>5</w:t>
      </w:r>
      <w:r w:rsidRPr="005F4143">
        <w:fldChar w:fldCharType="end"/>
      </w:r>
      <w:r w:rsidR="009261A0" w:rsidRPr="005F4143">
        <w:t xml:space="preserve">. </w:t>
      </w:r>
      <w:r w:rsidR="003C261D" w:rsidRPr="005F4143">
        <w:t>Annual rate of newly acquired HIV</w:t>
      </w:r>
      <w:bookmarkEnd w:id="25"/>
    </w:p>
    <w:tbl>
      <w:tblPr>
        <w:tblStyle w:val="TableGrid"/>
        <w:tblW w:w="9776" w:type="dxa"/>
        <w:tblLook w:val="06A0" w:firstRow="1" w:lastRow="0" w:firstColumn="1" w:lastColumn="0" w:noHBand="1" w:noVBand="1"/>
      </w:tblPr>
      <w:tblGrid>
        <w:gridCol w:w="1419"/>
        <w:gridCol w:w="3233"/>
        <w:gridCol w:w="1439"/>
        <w:gridCol w:w="1701"/>
        <w:gridCol w:w="1984"/>
      </w:tblGrid>
      <w:tr w:rsidR="009261A0" w:rsidRPr="005F4143" w14:paraId="31DF5954" w14:textId="77777777">
        <w:trPr>
          <w:tblHeader/>
        </w:trPr>
        <w:tc>
          <w:tcPr>
            <w:tcW w:w="1419" w:type="dxa"/>
          </w:tcPr>
          <w:p w14:paraId="48975A3D" w14:textId="77777777" w:rsidR="009261A0" w:rsidRPr="005F4143" w:rsidRDefault="009261A0">
            <w:pPr>
              <w:pStyle w:val="Tablecolhead"/>
            </w:pPr>
            <w:r w:rsidRPr="005F4143">
              <w:t>Component</w:t>
            </w:r>
          </w:p>
        </w:tc>
        <w:tc>
          <w:tcPr>
            <w:tcW w:w="3233" w:type="dxa"/>
            <w:tcBorders>
              <w:bottom w:val="single" w:sz="4" w:space="0" w:color="auto"/>
            </w:tcBorders>
          </w:tcPr>
          <w:p w14:paraId="716DBE62" w14:textId="77777777" w:rsidR="009261A0" w:rsidRPr="005F4143" w:rsidRDefault="009261A0">
            <w:pPr>
              <w:pStyle w:val="Tablecolhead"/>
            </w:pPr>
            <w:r w:rsidRPr="005F4143">
              <w:t>Description</w:t>
            </w:r>
          </w:p>
        </w:tc>
        <w:tc>
          <w:tcPr>
            <w:tcW w:w="1439" w:type="dxa"/>
          </w:tcPr>
          <w:p w14:paraId="1A2DA8D8" w14:textId="77777777" w:rsidR="009261A0" w:rsidRPr="005F4143" w:rsidRDefault="009261A0">
            <w:pPr>
              <w:pStyle w:val="Tablecolhead"/>
            </w:pPr>
            <w:r w:rsidRPr="005F4143">
              <w:t>Source</w:t>
            </w:r>
          </w:p>
        </w:tc>
        <w:tc>
          <w:tcPr>
            <w:tcW w:w="1701" w:type="dxa"/>
          </w:tcPr>
          <w:p w14:paraId="64B32807" w14:textId="77777777" w:rsidR="009261A0" w:rsidRPr="005F4143" w:rsidRDefault="009261A0">
            <w:pPr>
              <w:pStyle w:val="Tablecolhead"/>
            </w:pPr>
            <w:r w:rsidRPr="005F4143">
              <w:t>Custodian</w:t>
            </w:r>
          </w:p>
        </w:tc>
        <w:tc>
          <w:tcPr>
            <w:tcW w:w="1984" w:type="dxa"/>
          </w:tcPr>
          <w:p w14:paraId="48139246" w14:textId="77777777" w:rsidR="009261A0" w:rsidRPr="005F4143" w:rsidRDefault="009261A0">
            <w:pPr>
              <w:pStyle w:val="Tablecolhead"/>
            </w:pPr>
            <w:r w:rsidRPr="005F4143">
              <w:t>Availability</w:t>
            </w:r>
          </w:p>
        </w:tc>
      </w:tr>
      <w:tr w:rsidR="00620A73" w:rsidRPr="005F4143" w14:paraId="17ED079D" w14:textId="77777777">
        <w:tc>
          <w:tcPr>
            <w:tcW w:w="1419" w:type="dxa"/>
          </w:tcPr>
          <w:p w14:paraId="6072B372" w14:textId="165EFFD8" w:rsidR="00620A73" w:rsidRPr="005F4143" w:rsidRDefault="00620A73" w:rsidP="00620A73">
            <w:pPr>
              <w:pStyle w:val="Tabletext"/>
            </w:pPr>
            <w:r w:rsidRPr="005F4143">
              <w:t>Numerator</w:t>
            </w:r>
          </w:p>
        </w:tc>
        <w:tc>
          <w:tcPr>
            <w:tcW w:w="3233" w:type="dxa"/>
          </w:tcPr>
          <w:p w14:paraId="2B5B04A4" w14:textId="29721C51" w:rsidR="00620A73" w:rsidRPr="005F4143" w:rsidRDefault="00620A73" w:rsidP="00620A73">
            <w:pPr>
              <w:pStyle w:val="Tabletext"/>
            </w:pPr>
            <w:r w:rsidRPr="005F4143">
              <w:t>Number of cases of newly acquired HIV</w:t>
            </w:r>
            <w:r w:rsidR="00E813C0" w:rsidRPr="005F4143">
              <w:t xml:space="preserve"> </w:t>
            </w:r>
            <w:r w:rsidR="007134DF" w:rsidRPr="005F4143">
              <w:t>diagnosed within Victoria</w:t>
            </w:r>
          </w:p>
        </w:tc>
        <w:tc>
          <w:tcPr>
            <w:tcW w:w="1439" w:type="dxa"/>
          </w:tcPr>
          <w:p w14:paraId="5DCDD474" w14:textId="0C8D332B" w:rsidR="00620A73" w:rsidRPr="005F4143" w:rsidRDefault="00620A73" w:rsidP="00620A73">
            <w:pPr>
              <w:pStyle w:val="Tablebullet2"/>
              <w:numPr>
                <w:ilvl w:val="0"/>
                <w:numId w:val="0"/>
              </w:numPr>
            </w:pPr>
            <w:r w:rsidRPr="005F4143">
              <w:t>PHESS</w:t>
            </w:r>
          </w:p>
        </w:tc>
        <w:tc>
          <w:tcPr>
            <w:tcW w:w="1701" w:type="dxa"/>
          </w:tcPr>
          <w:p w14:paraId="3C5C4DEB" w14:textId="717C906E" w:rsidR="00620A73" w:rsidRPr="005F4143" w:rsidRDefault="00620A73" w:rsidP="00620A73">
            <w:pPr>
              <w:pStyle w:val="Tablebullet2"/>
              <w:numPr>
                <w:ilvl w:val="0"/>
                <w:numId w:val="0"/>
              </w:numPr>
            </w:pPr>
            <w:r w:rsidRPr="005F4143">
              <w:t>DH</w:t>
            </w:r>
          </w:p>
        </w:tc>
        <w:tc>
          <w:tcPr>
            <w:tcW w:w="1984" w:type="dxa"/>
          </w:tcPr>
          <w:p w14:paraId="3C25F9CD" w14:textId="5337BC7E" w:rsidR="00620A73" w:rsidRPr="005F4143" w:rsidRDefault="00620A73" w:rsidP="00620A73">
            <w:pPr>
              <w:pStyle w:val="Tablebullet1"/>
              <w:numPr>
                <w:ilvl w:val="0"/>
                <w:numId w:val="0"/>
              </w:numPr>
              <w:ind w:left="227" w:hanging="227"/>
            </w:pPr>
            <w:r w:rsidRPr="005F4143">
              <w:t>Quarterly</w:t>
            </w:r>
          </w:p>
        </w:tc>
      </w:tr>
      <w:tr w:rsidR="00620A73" w:rsidRPr="005F4143" w14:paraId="14190FE2" w14:textId="77777777">
        <w:tc>
          <w:tcPr>
            <w:tcW w:w="1419" w:type="dxa"/>
          </w:tcPr>
          <w:p w14:paraId="7B49D937" w14:textId="6F06E0A8" w:rsidR="00620A73" w:rsidRPr="005F4143" w:rsidRDefault="00620A73" w:rsidP="00620A73">
            <w:r w:rsidRPr="005F4143">
              <w:t>Denominator</w:t>
            </w:r>
          </w:p>
        </w:tc>
        <w:tc>
          <w:tcPr>
            <w:tcW w:w="3233" w:type="dxa"/>
          </w:tcPr>
          <w:p w14:paraId="5B1F023F" w14:textId="01B2F09F" w:rsidR="00620A73" w:rsidRPr="005F4143" w:rsidRDefault="00620A73" w:rsidP="00620A73">
            <w:r w:rsidRPr="005F4143">
              <w:t>Victorian ERP</w:t>
            </w:r>
          </w:p>
        </w:tc>
        <w:tc>
          <w:tcPr>
            <w:tcW w:w="1439" w:type="dxa"/>
          </w:tcPr>
          <w:p w14:paraId="4FA6210C" w14:textId="62AF00DE" w:rsidR="00620A73" w:rsidRPr="005F4143" w:rsidRDefault="00620A73" w:rsidP="00620A73">
            <w:pPr>
              <w:pStyle w:val="Tablebullet1"/>
              <w:numPr>
                <w:ilvl w:val="0"/>
                <w:numId w:val="0"/>
              </w:numPr>
            </w:pPr>
            <w:r w:rsidRPr="005F4143">
              <w:t>ABS</w:t>
            </w:r>
          </w:p>
        </w:tc>
        <w:tc>
          <w:tcPr>
            <w:tcW w:w="1701" w:type="dxa"/>
          </w:tcPr>
          <w:p w14:paraId="334EB45C" w14:textId="06F416F3" w:rsidR="00620A73" w:rsidRPr="005F4143" w:rsidRDefault="00620A73" w:rsidP="00620A73">
            <w:pPr>
              <w:pStyle w:val="Tablebullet1"/>
              <w:numPr>
                <w:ilvl w:val="0"/>
                <w:numId w:val="0"/>
              </w:numPr>
              <w:ind w:left="227" w:hanging="227"/>
            </w:pPr>
            <w:r w:rsidRPr="005F4143">
              <w:t>ABS</w:t>
            </w:r>
          </w:p>
        </w:tc>
        <w:tc>
          <w:tcPr>
            <w:tcW w:w="1984" w:type="dxa"/>
          </w:tcPr>
          <w:p w14:paraId="6D69EF95" w14:textId="5A6C0A33" w:rsidR="00620A73" w:rsidRPr="005F4143" w:rsidRDefault="00620A73" w:rsidP="00620A73">
            <w:pPr>
              <w:pStyle w:val="Tablebullet1"/>
              <w:numPr>
                <w:ilvl w:val="0"/>
                <w:numId w:val="0"/>
              </w:numPr>
              <w:ind w:left="227" w:hanging="227"/>
            </w:pPr>
            <w:r w:rsidRPr="005F4143">
              <w:t>Quarterly</w:t>
            </w:r>
          </w:p>
        </w:tc>
      </w:tr>
    </w:tbl>
    <w:p w14:paraId="2083022F" w14:textId="77777777" w:rsidR="009261A0" w:rsidRPr="005F4143" w:rsidRDefault="009261A0" w:rsidP="009261A0">
      <w:pPr>
        <w:pStyle w:val="Body"/>
      </w:pPr>
    </w:p>
    <w:p w14:paraId="5CF77793" w14:textId="6B5D0EDD" w:rsidR="009261A0" w:rsidRPr="005F4143" w:rsidRDefault="004C7B1B" w:rsidP="009261A0">
      <w:pPr>
        <w:pStyle w:val="Tablecaption"/>
      </w:pPr>
      <w:r w:rsidRPr="005F4143">
        <w:fldChar w:fldCharType="begin"/>
      </w:r>
      <w:r w:rsidRPr="005F4143">
        <w:instrText>SEQ Table \* ARABIC</w:instrText>
      </w:r>
      <w:r w:rsidRPr="005F4143">
        <w:fldChar w:fldCharType="separate"/>
      </w:r>
      <w:bookmarkStart w:id="26" w:name="_Toc214457305"/>
      <w:r w:rsidR="00670632">
        <w:rPr>
          <w:noProof/>
        </w:rPr>
        <w:t>6</w:t>
      </w:r>
      <w:r w:rsidRPr="005F4143">
        <w:fldChar w:fldCharType="end"/>
      </w:r>
      <w:r w:rsidR="009261A0" w:rsidRPr="005F4143">
        <w:t xml:space="preserve">. Annual rate of all new </w:t>
      </w:r>
      <w:r w:rsidR="00C70615" w:rsidRPr="005F4143">
        <w:t>HIV</w:t>
      </w:r>
      <w:r w:rsidR="009261A0" w:rsidRPr="005F4143">
        <w:t xml:space="preserve"> </w:t>
      </w:r>
      <w:r w:rsidR="00E813C0" w:rsidRPr="005F4143">
        <w:t>notifications (including unspecified cases)</w:t>
      </w:r>
      <w:bookmarkEnd w:id="26"/>
    </w:p>
    <w:tbl>
      <w:tblPr>
        <w:tblStyle w:val="TableGrid"/>
        <w:tblW w:w="9776" w:type="dxa"/>
        <w:tblLook w:val="06A0" w:firstRow="1" w:lastRow="0" w:firstColumn="1" w:lastColumn="0" w:noHBand="1" w:noVBand="1"/>
      </w:tblPr>
      <w:tblGrid>
        <w:gridCol w:w="1419"/>
        <w:gridCol w:w="3233"/>
        <w:gridCol w:w="1439"/>
        <w:gridCol w:w="1701"/>
        <w:gridCol w:w="1984"/>
      </w:tblGrid>
      <w:tr w:rsidR="009261A0" w:rsidRPr="005F4143" w14:paraId="0F239C03" w14:textId="77777777">
        <w:trPr>
          <w:tblHeader/>
        </w:trPr>
        <w:tc>
          <w:tcPr>
            <w:tcW w:w="1419" w:type="dxa"/>
          </w:tcPr>
          <w:p w14:paraId="1CB32C94" w14:textId="77777777" w:rsidR="009261A0" w:rsidRPr="005F4143" w:rsidRDefault="009261A0">
            <w:pPr>
              <w:pStyle w:val="Tablecolhead"/>
            </w:pPr>
            <w:r w:rsidRPr="005F4143">
              <w:t>Component</w:t>
            </w:r>
          </w:p>
        </w:tc>
        <w:tc>
          <w:tcPr>
            <w:tcW w:w="3233" w:type="dxa"/>
            <w:tcBorders>
              <w:bottom w:val="single" w:sz="4" w:space="0" w:color="auto"/>
            </w:tcBorders>
          </w:tcPr>
          <w:p w14:paraId="20C1EC01" w14:textId="77777777" w:rsidR="009261A0" w:rsidRPr="005F4143" w:rsidRDefault="009261A0">
            <w:pPr>
              <w:pStyle w:val="Tablecolhead"/>
            </w:pPr>
            <w:r w:rsidRPr="005F4143">
              <w:t>Description</w:t>
            </w:r>
          </w:p>
        </w:tc>
        <w:tc>
          <w:tcPr>
            <w:tcW w:w="1439" w:type="dxa"/>
          </w:tcPr>
          <w:p w14:paraId="4A87ABB8" w14:textId="77777777" w:rsidR="009261A0" w:rsidRPr="005F4143" w:rsidRDefault="009261A0">
            <w:pPr>
              <w:pStyle w:val="Tablecolhead"/>
            </w:pPr>
            <w:r w:rsidRPr="005F4143">
              <w:t>Source</w:t>
            </w:r>
          </w:p>
        </w:tc>
        <w:tc>
          <w:tcPr>
            <w:tcW w:w="1701" w:type="dxa"/>
          </w:tcPr>
          <w:p w14:paraId="51D38503" w14:textId="77777777" w:rsidR="009261A0" w:rsidRPr="005F4143" w:rsidRDefault="009261A0">
            <w:pPr>
              <w:pStyle w:val="Tablecolhead"/>
            </w:pPr>
            <w:r w:rsidRPr="005F4143">
              <w:t>Custodian</w:t>
            </w:r>
          </w:p>
        </w:tc>
        <w:tc>
          <w:tcPr>
            <w:tcW w:w="1984" w:type="dxa"/>
          </w:tcPr>
          <w:p w14:paraId="3AA2B5C2" w14:textId="77777777" w:rsidR="009261A0" w:rsidRPr="005F4143" w:rsidRDefault="009261A0">
            <w:pPr>
              <w:pStyle w:val="Tablecolhead"/>
            </w:pPr>
            <w:r w:rsidRPr="005F4143">
              <w:t>Availability</w:t>
            </w:r>
          </w:p>
        </w:tc>
      </w:tr>
      <w:tr w:rsidR="009261A0" w:rsidRPr="005F4143" w14:paraId="18C2CB5F" w14:textId="77777777">
        <w:tc>
          <w:tcPr>
            <w:tcW w:w="1419" w:type="dxa"/>
          </w:tcPr>
          <w:p w14:paraId="6424CBF8" w14:textId="77777777" w:rsidR="009261A0" w:rsidRPr="005F4143" w:rsidRDefault="009261A0">
            <w:pPr>
              <w:pStyle w:val="Tabletext"/>
            </w:pPr>
            <w:r w:rsidRPr="005F4143">
              <w:t>Numerator</w:t>
            </w:r>
          </w:p>
        </w:tc>
        <w:tc>
          <w:tcPr>
            <w:tcW w:w="3233" w:type="dxa"/>
          </w:tcPr>
          <w:p w14:paraId="72B1E1BA" w14:textId="0819EE70" w:rsidR="009261A0" w:rsidRPr="005F4143" w:rsidRDefault="009261A0">
            <w:pPr>
              <w:pStyle w:val="Tabletext"/>
            </w:pPr>
            <w:r w:rsidRPr="005F4143">
              <w:t xml:space="preserve">Number of cases of </w:t>
            </w:r>
            <w:r w:rsidR="00C70615" w:rsidRPr="005F4143">
              <w:t>HIV</w:t>
            </w:r>
            <w:r w:rsidRPr="005F4143">
              <w:t xml:space="preserve"> notified to the DH</w:t>
            </w:r>
            <w:r w:rsidR="007134DF" w:rsidRPr="005F4143">
              <w:t xml:space="preserve"> diagnosed within Victoria</w:t>
            </w:r>
          </w:p>
        </w:tc>
        <w:tc>
          <w:tcPr>
            <w:tcW w:w="1439" w:type="dxa"/>
          </w:tcPr>
          <w:p w14:paraId="2D2D8758" w14:textId="77777777" w:rsidR="009261A0" w:rsidRPr="005F4143" w:rsidRDefault="009261A0">
            <w:pPr>
              <w:pStyle w:val="Tablebullet2"/>
              <w:numPr>
                <w:ilvl w:val="0"/>
                <w:numId w:val="0"/>
              </w:numPr>
            </w:pPr>
            <w:r w:rsidRPr="005F4143">
              <w:t>PHESS</w:t>
            </w:r>
          </w:p>
        </w:tc>
        <w:tc>
          <w:tcPr>
            <w:tcW w:w="1701" w:type="dxa"/>
          </w:tcPr>
          <w:p w14:paraId="46AE0EAA" w14:textId="77777777" w:rsidR="009261A0" w:rsidRPr="005F4143" w:rsidRDefault="009261A0">
            <w:pPr>
              <w:pStyle w:val="Tablebullet2"/>
              <w:numPr>
                <w:ilvl w:val="0"/>
                <w:numId w:val="0"/>
              </w:numPr>
            </w:pPr>
            <w:r w:rsidRPr="005F4143">
              <w:t>DH</w:t>
            </w:r>
          </w:p>
        </w:tc>
        <w:tc>
          <w:tcPr>
            <w:tcW w:w="1984" w:type="dxa"/>
          </w:tcPr>
          <w:p w14:paraId="1E75657A" w14:textId="77777777" w:rsidR="009261A0" w:rsidRPr="005F4143" w:rsidRDefault="009261A0">
            <w:pPr>
              <w:pStyle w:val="Tablebullet1"/>
              <w:numPr>
                <w:ilvl w:val="0"/>
                <w:numId w:val="0"/>
              </w:numPr>
              <w:ind w:left="227" w:hanging="227"/>
            </w:pPr>
            <w:r w:rsidRPr="005F4143">
              <w:t>Quarterly</w:t>
            </w:r>
          </w:p>
        </w:tc>
      </w:tr>
      <w:tr w:rsidR="009261A0" w:rsidRPr="005F4143" w14:paraId="4249E730" w14:textId="77777777">
        <w:tc>
          <w:tcPr>
            <w:tcW w:w="1419" w:type="dxa"/>
          </w:tcPr>
          <w:p w14:paraId="0400AB05" w14:textId="77777777" w:rsidR="009261A0" w:rsidRPr="005F4143" w:rsidRDefault="009261A0">
            <w:r w:rsidRPr="005F4143">
              <w:t>Denominator</w:t>
            </w:r>
          </w:p>
        </w:tc>
        <w:tc>
          <w:tcPr>
            <w:tcW w:w="3233" w:type="dxa"/>
          </w:tcPr>
          <w:p w14:paraId="28AD9870" w14:textId="77777777" w:rsidR="009261A0" w:rsidRPr="005F4143" w:rsidRDefault="009261A0">
            <w:r w:rsidRPr="005F4143">
              <w:t>Victorian ERP</w:t>
            </w:r>
          </w:p>
        </w:tc>
        <w:tc>
          <w:tcPr>
            <w:tcW w:w="1439" w:type="dxa"/>
          </w:tcPr>
          <w:p w14:paraId="26BDCE51" w14:textId="5DDF6FC7" w:rsidR="009261A0" w:rsidRPr="005F4143" w:rsidRDefault="009261A0">
            <w:pPr>
              <w:pStyle w:val="Tablebullet1"/>
              <w:numPr>
                <w:ilvl w:val="0"/>
                <w:numId w:val="0"/>
              </w:numPr>
            </w:pPr>
            <w:r w:rsidRPr="005F4143">
              <w:t>ABS</w:t>
            </w:r>
          </w:p>
        </w:tc>
        <w:tc>
          <w:tcPr>
            <w:tcW w:w="1701" w:type="dxa"/>
          </w:tcPr>
          <w:p w14:paraId="5AA0B3CB" w14:textId="77777777" w:rsidR="009261A0" w:rsidRPr="005F4143" w:rsidRDefault="009261A0">
            <w:pPr>
              <w:pStyle w:val="Tablebullet1"/>
              <w:numPr>
                <w:ilvl w:val="0"/>
                <w:numId w:val="0"/>
              </w:numPr>
              <w:ind w:left="227" w:hanging="227"/>
            </w:pPr>
            <w:r w:rsidRPr="005F4143">
              <w:t>ABS</w:t>
            </w:r>
          </w:p>
        </w:tc>
        <w:tc>
          <w:tcPr>
            <w:tcW w:w="1984" w:type="dxa"/>
          </w:tcPr>
          <w:p w14:paraId="621E5FB1" w14:textId="77777777" w:rsidR="009261A0" w:rsidRPr="005F4143" w:rsidRDefault="009261A0">
            <w:pPr>
              <w:pStyle w:val="Tablebullet1"/>
              <w:numPr>
                <w:ilvl w:val="0"/>
                <w:numId w:val="0"/>
              </w:numPr>
              <w:ind w:left="227" w:hanging="227"/>
            </w:pPr>
            <w:r w:rsidRPr="005F4143">
              <w:t>Quarterly</w:t>
            </w:r>
          </w:p>
        </w:tc>
      </w:tr>
    </w:tbl>
    <w:p w14:paraId="5D3FCE3C" w14:textId="77777777" w:rsidR="009261A0" w:rsidRPr="005F4143" w:rsidRDefault="009261A0" w:rsidP="009261A0">
      <w:pPr>
        <w:pStyle w:val="Body"/>
      </w:pPr>
    </w:p>
    <w:p w14:paraId="687131D2" w14:textId="78B7B1A9" w:rsidR="00513E48" w:rsidRPr="005F4143" w:rsidRDefault="004C7B1B" w:rsidP="00513E48">
      <w:pPr>
        <w:pStyle w:val="Tablecaption"/>
      </w:pPr>
      <w:r w:rsidRPr="005F4143">
        <w:fldChar w:fldCharType="begin"/>
      </w:r>
      <w:r w:rsidRPr="005F4143">
        <w:instrText>SEQ Table \* ARABIC</w:instrText>
      </w:r>
      <w:r w:rsidRPr="005F4143">
        <w:fldChar w:fldCharType="separate"/>
      </w:r>
      <w:bookmarkStart w:id="27" w:name="_Toc214457306"/>
      <w:r w:rsidR="00670632">
        <w:rPr>
          <w:noProof/>
        </w:rPr>
        <w:t>7</w:t>
      </w:r>
      <w:r w:rsidRPr="005F4143">
        <w:fldChar w:fldCharType="end"/>
      </w:r>
      <w:r w:rsidR="00513E48" w:rsidRPr="005F4143">
        <w:t xml:space="preserve">. </w:t>
      </w:r>
      <w:r w:rsidR="006155D1" w:rsidRPr="005F4143">
        <w:t>Number of people using PrEP</w:t>
      </w:r>
      <w:bookmarkEnd w:id="27"/>
    </w:p>
    <w:tbl>
      <w:tblPr>
        <w:tblStyle w:val="TableGrid"/>
        <w:tblW w:w="9776" w:type="dxa"/>
        <w:tblLook w:val="06A0" w:firstRow="1" w:lastRow="0" w:firstColumn="1" w:lastColumn="0" w:noHBand="1" w:noVBand="1"/>
      </w:tblPr>
      <w:tblGrid>
        <w:gridCol w:w="1419"/>
        <w:gridCol w:w="3233"/>
        <w:gridCol w:w="1439"/>
        <w:gridCol w:w="1701"/>
        <w:gridCol w:w="1984"/>
      </w:tblGrid>
      <w:tr w:rsidR="00513E48" w:rsidRPr="005F4143" w14:paraId="3FAA9072" w14:textId="77777777">
        <w:trPr>
          <w:tblHeader/>
        </w:trPr>
        <w:tc>
          <w:tcPr>
            <w:tcW w:w="1419" w:type="dxa"/>
          </w:tcPr>
          <w:p w14:paraId="599131A2" w14:textId="77777777" w:rsidR="00513E48" w:rsidRPr="005F4143" w:rsidRDefault="00513E48">
            <w:pPr>
              <w:pStyle w:val="Tablecolhead"/>
            </w:pPr>
            <w:r w:rsidRPr="005F4143">
              <w:t>Component</w:t>
            </w:r>
          </w:p>
        </w:tc>
        <w:tc>
          <w:tcPr>
            <w:tcW w:w="3233" w:type="dxa"/>
            <w:tcBorders>
              <w:bottom w:val="single" w:sz="4" w:space="0" w:color="auto"/>
            </w:tcBorders>
          </w:tcPr>
          <w:p w14:paraId="322A06B8" w14:textId="77777777" w:rsidR="00513E48" w:rsidRPr="005F4143" w:rsidRDefault="00513E48">
            <w:pPr>
              <w:pStyle w:val="Tablecolhead"/>
            </w:pPr>
            <w:r w:rsidRPr="005F4143">
              <w:t>Description</w:t>
            </w:r>
          </w:p>
        </w:tc>
        <w:tc>
          <w:tcPr>
            <w:tcW w:w="1439" w:type="dxa"/>
          </w:tcPr>
          <w:p w14:paraId="115085C8" w14:textId="77777777" w:rsidR="00513E48" w:rsidRPr="005F4143" w:rsidRDefault="00513E48">
            <w:pPr>
              <w:pStyle w:val="Tablecolhead"/>
            </w:pPr>
            <w:r w:rsidRPr="005F4143">
              <w:t>Source</w:t>
            </w:r>
          </w:p>
        </w:tc>
        <w:tc>
          <w:tcPr>
            <w:tcW w:w="1701" w:type="dxa"/>
          </w:tcPr>
          <w:p w14:paraId="59290154" w14:textId="77777777" w:rsidR="00513E48" w:rsidRPr="005F4143" w:rsidRDefault="00513E48">
            <w:pPr>
              <w:pStyle w:val="Tablecolhead"/>
            </w:pPr>
            <w:r w:rsidRPr="005F4143">
              <w:t>Custodian</w:t>
            </w:r>
          </w:p>
        </w:tc>
        <w:tc>
          <w:tcPr>
            <w:tcW w:w="1984" w:type="dxa"/>
          </w:tcPr>
          <w:p w14:paraId="1524CBC9" w14:textId="77777777" w:rsidR="00513E48" w:rsidRPr="005F4143" w:rsidRDefault="00513E48">
            <w:pPr>
              <w:pStyle w:val="Tablecolhead"/>
            </w:pPr>
            <w:r w:rsidRPr="005F4143">
              <w:t>Availability</w:t>
            </w:r>
          </w:p>
        </w:tc>
      </w:tr>
      <w:tr w:rsidR="00625EA4" w:rsidRPr="005F4143" w14:paraId="098AEB7D" w14:textId="77777777">
        <w:tc>
          <w:tcPr>
            <w:tcW w:w="1419" w:type="dxa"/>
          </w:tcPr>
          <w:p w14:paraId="0D74489F" w14:textId="1CCE20AA" w:rsidR="00625EA4" w:rsidRPr="005F4143" w:rsidRDefault="00625EA4" w:rsidP="00625EA4">
            <w:pPr>
              <w:pStyle w:val="Tabletext"/>
            </w:pPr>
            <w:r w:rsidRPr="005F4143">
              <w:t>Single measure</w:t>
            </w:r>
          </w:p>
        </w:tc>
        <w:tc>
          <w:tcPr>
            <w:tcW w:w="3233" w:type="dxa"/>
          </w:tcPr>
          <w:p w14:paraId="4112C21F" w14:textId="4DBD4C9B" w:rsidR="00625EA4" w:rsidRPr="005F4143" w:rsidRDefault="00625EA4" w:rsidP="00625EA4">
            <w:pPr>
              <w:pStyle w:val="Tabletext"/>
            </w:pPr>
            <w:r w:rsidRPr="005F4143">
              <w:t>Number of people accessing PrEP overall and in each priority population</w:t>
            </w:r>
          </w:p>
        </w:tc>
        <w:tc>
          <w:tcPr>
            <w:tcW w:w="1439" w:type="dxa"/>
          </w:tcPr>
          <w:p w14:paraId="07ADE83F" w14:textId="0731FBDF" w:rsidR="00625EA4" w:rsidRPr="005F4143" w:rsidRDefault="70E3D265" w:rsidP="00227486">
            <w:pPr>
              <w:pStyle w:val="Tablebullet2"/>
              <w:numPr>
                <w:ilvl w:val="1"/>
                <w:numId w:val="0"/>
              </w:numPr>
              <w:spacing w:line="259" w:lineRule="auto"/>
            </w:pPr>
            <w:r w:rsidRPr="005F4143">
              <w:t>ACCESS</w:t>
            </w:r>
          </w:p>
        </w:tc>
        <w:tc>
          <w:tcPr>
            <w:tcW w:w="1701" w:type="dxa"/>
          </w:tcPr>
          <w:p w14:paraId="35B36937" w14:textId="6691347E" w:rsidR="00625EA4" w:rsidRPr="005F4143" w:rsidRDefault="7448B0AC" w:rsidP="00227486">
            <w:pPr>
              <w:pStyle w:val="Tablebullet2"/>
              <w:numPr>
                <w:ilvl w:val="1"/>
                <w:numId w:val="0"/>
              </w:numPr>
              <w:spacing w:line="259" w:lineRule="auto"/>
            </w:pPr>
            <w:r w:rsidRPr="005F4143">
              <w:t>Burnet Institute</w:t>
            </w:r>
          </w:p>
        </w:tc>
        <w:tc>
          <w:tcPr>
            <w:tcW w:w="1984" w:type="dxa"/>
          </w:tcPr>
          <w:p w14:paraId="3ED842E4" w14:textId="3B8BDA06" w:rsidR="00625EA4" w:rsidRPr="005F4143" w:rsidRDefault="00625EA4" w:rsidP="00625EA4">
            <w:pPr>
              <w:pStyle w:val="Tablebullet1"/>
              <w:numPr>
                <w:ilvl w:val="0"/>
                <w:numId w:val="0"/>
              </w:numPr>
              <w:ind w:left="227" w:hanging="227"/>
            </w:pPr>
            <w:r w:rsidRPr="005F4143">
              <w:t>Annually</w:t>
            </w:r>
          </w:p>
        </w:tc>
      </w:tr>
    </w:tbl>
    <w:p w14:paraId="545FC5E1" w14:textId="4EBEF41B" w:rsidR="0001403C" w:rsidRPr="00AC51F3" w:rsidRDefault="004C7B1B" w:rsidP="0001403C">
      <w:pPr>
        <w:pStyle w:val="Tablecaption"/>
      </w:pPr>
      <w:r w:rsidRPr="00AC51F3">
        <w:fldChar w:fldCharType="begin"/>
      </w:r>
      <w:r w:rsidRPr="00AC51F3">
        <w:instrText>SEQ Table \* ARABIC</w:instrText>
      </w:r>
      <w:r w:rsidRPr="00AC51F3">
        <w:fldChar w:fldCharType="separate"/>
      </w:r>
      <w:bookmarkStart w:id="28" w:name="_Toc214457307"/>
      <w:r w:rsidR="00670632">
        <w:rPr>
          <w:noProof/>
        </w:rPr>
        <w:t>8</w:t>
      </w:r>
      <w:r w:rsidRPr="00AC51F3">
        <w:fldChar w:fldCharType="end"/>
      </w:r>
      <w:r w:rsidR="0001403C" w:rsidRPr="00AC51F3">
        <w:t xml:space="preserve">. </w:t>
      </w:r>
      <w:r w:rsidR="0078063A" w:rsidRPr="00AC51F3">
        <w:t>Proportion of people using PrEP</w:t>
      </w:r>
      <w:bookmarkEnd w:id="28"/>
      <w:r w:rsidR="0001403C" w:rsidRPr="00AC51F3">
        <w:tab/>
      </w:r>
    </w:p>
    <w:tbl>
      <w:tblPr>
        <w:tblStyle w:val="TableGrid"/>
        <w:tblW w:w="9776" w:type="dxa"/>
        <w:tblLook w:val="06A0" w:firstRow="1" w:lastRow="0" w:firstColumn="1" w:lastColumn="0" w:noHBand="1" w:noVBand="1"/>
      </w:tblPr>
      <w:tblGrid>
        <w:gridCol w:w="1419"/>
        <w:gridCol w:w="3233"/>
        <w:gridCol w:w="1439"/>
        <w:gridCol w:w="1701"/>
        <w:gridCol w:w="1984"/>
      </w:tblGrid>
      <w:tr w:rsidR="0001403C" w:rsidRPr="00AC51F3" w14:paraId="7BDA6F53" w14:textId="77777777">
        <w:trPr>
          <w:tblHeader/>
        </w:trPr>
        <w:tc>
          <w:tcPr>
            <w:tcW w:w="1419" w:type="dxa"/>
          </w:tcPr>
          <w:p w14:paraId="7937274B" w14:textId="77777777" w:rsidR="0001403C" w:rsidRPr="00AC51F3" w:rsidRDefault="0001403C">
            <w:pPr>
              <w:pStyle w:val="Tablecolhead"/>
            </w:pPr>
            <w:r w:rsidRPr="00AC51F3">
              <w:t>Component</w:t>
            </w:r>
          </w:p>
        </w:tc>
        <w:tc>
          <w:tcPr>
            <w:tcW w:w="3233" w:type="dxa"/>
            <w:tcBorders>
              <w:bottom w:val="single" w:sz="4" w:space="0" w:color="auto"/>
            </w:tcBorders>
          </w:tcPr>
          <w:p w14:paraId="53EB714A" w14:textId="77777777" w:rsidR="0001403C" w:rsidRPr="00AC51F3" w:rsidRDefault="0001403C">
            <w:pPr>
              <w:pStyle w:val="Tablecolhead"/>
            </w:pPr>
            <w:r w:rsidRPr="00AC51F3">
              <w:t>Description</w:t>
            </w:r>
          </w:p>
        </w:tc>
        <w:tc>
          <w:tcPr>
            <w:tcW w:w="1439" w:type="dxa"/>
          </w:tcPr>
          <w:p w14:paraId="0A660644" w14:textId="77777777" w:rsidR="0001403C" w:rsidRPr="00AC51F3" w:rsidRDefault="0001403C">
            <w:pPr>
              <w:pStyle w:val="Tablecolhead"/>
            </w:pPr>
            <w:r w:rsidRPr="00AC51F3">
              <w:t>Source</w:t>
            </w:r>
          </w:p>
        </w:tc>
        <w:tc>
          <w:tcPr>
            <w:tcW w:w="1701" w:type="dxa"/>
          </w:tcPr>
          <w:p w14:paraId="070B2524" w14:textId="77777777" w:rsidR="0001403C" w:rsidRPr="00AC51F3" w:rsidRDefault="0001403C">
            <w:pPr>
              <w:pStyle w:val="Tablecolhead"/>
            </w:pPr>
            <w:r w:rsidRPr="00AC51F3">
              <w:t>Custodian</w:t>
            </w:r>
          </w:p>
        </w:tc>
        <w:tc>
          <w:tcPr>
            <w:tcW w:w="1984" w:type="dxa"/>
          </w:tcPr>
          <w:p w14:paraId="519C7FAA" w14:textId="77777777" w:rsidR="0001403C" w:rsidRPr="00AC51F3" w:rsidRDefault="0001403C">
            <w:pPr>
              <w:pStyle w:val="Tablecolhead"/>
            </w:pPr>
            <w:r w:rsidRPr="00AC51F3">
              <w:t>Availability</w:t>
            </w:r>
          </w:p>
        </w:tc>
      </w:tr>
      <w:tr w:rsidR="00DE1840" w:rsidRPr="00AC51F3" w14:paraId="31C5F593" w14:textId="77777777">
        <w:tc>
          <w:tcPr>
            <w:tcW w:w="1419" w:type="dxa"/>
          </w:tcPr>
          <w:p w14:paraId="05EDC9CD" w14:textId="77777777" w:rsidR="00DE1840" w:rsidRPr="00AC51F3" w:rsidRDefault="00DE1840" w:rsidP="00DE1840">
            <w:pPr>
              <w:pStyle w:val="Tabletext"/>
            </w:pPr>
            <w:r w:rsidRPr="00AC51F3">
              <w:t>Numerator</w:t>
            </w:r>
          </w:p>
        </w:tc>
        <w:tc>
          <w:tcPr>
            <w:tcW w:w="3233" w:type="dxa"/>
          </w:tcPr>
          <w:p w14:paraId="0E6380B0" w14:textId="348D228B" w:rsidR="00DE1840" w:rsidRPr="00AC51F3" w:rsidRDefault="00DE1840" w:rsidP="00DE1840">
            <w:pPr>
              <w:pStyle w:val="Tabletext"/>
            </w:pPr>
            <w:r w:rsidRPr="00AC51F3">
              <w:t>Number of people overall and in each priority population in ACCESS clinical network prescribed PrEP</w:t>
            </w:r>
          </w:p>
        </w:tc>
        <w:tc>
          <w:tcPr>
            <w:tcW w:w="1439" w:type="dxa"/>
          </w:tcPr>
          <w:p w14:paraId="1A4C90CB" w14:textId="6CE4BBE0" w:rsidR="00DE1840" w:rsidRPr="00AC51F3" w:rsidRDefault="00DE1840" w:rsidP="00DE1840">
            <w:pPr>
              <w:pStyle w:val="Tablebullet2"/>
              <w:numPr>
                <w:ilvl w:val="0"/>
                <w:numId w:val="0"/>
              </w:numPr>
            </w:pPr>
            <w:r w:rsidRPr="00AC51F3">
              <w:t xml:space="preserve">ACCESS </w:t>
            </w:r>
          </w:p>
        </w:tc>
        <w:tc>
          <w:tcPr>
            <w:tcW w:w="1701" w:type="dxa"/>
          </w:tcPr>
          <w:p w14:paraId="065B7FB6" w14:textId="688F961B" w:rsidR="00DE1840" w:rsidRPr="00AC51F3" w:rsidRDefault="00DE1840" w:rsidP="00DE1840">
            <w:pPr>
              <w:pStyle w:val="Tablebullet2"/>
              <w:numPr>
                <w:ilvl w:val="0"/>
                <w:numId w:val="0"/>
              </w:numPr>
            </w:pPr>
            <w:r w:rsidRPr="00AC51F3">
              <w:t>Burnet Institute</w:t>
            </w:r>
          </w:p>
        </w:tc>
        <w:tc>
          <w:tcPr>
            <w:tcW w:w="1984" w:type="dxa"/>
          </w:tcPr>
          <w:p w14:paraId="7F3F12EC" w14:textId="3C0FBFA9" w:rsidR="00DE1840" w:rsidRPr="00AC51F3" w:rsidRDefault="00DE1840" w:rsidP="00DE1840">
            <w:pPr>
              <w:pStyle w:val="Tablebullet1"/>
              <w:numPr>
                <w:ilvl w:val="0"/>
                <w:numId w:val="0"/>
              </w:numPr>
              <w:ind w:left="227" w:hanging="227"/>
            </w:pPr>
            <w:r w:rsidRPr="00AC51F3">
              <w:t>Annual</w:t>
            </w:r>
            <w:r w:rsidR="00FD411B" w:rsidRPr="00AC51F3">
              <w:t>ly</w:t>
            </w:r>
          </w:p>
        </w:tc>
      </w:tr>
      <w:tr w:rsidR="00DE1840" w:rsidRPr="005F4143" w14:paraId="5D708DB3" w14:textId="77777777">
        <w:tc>
          <w:tcPr>
            <w:tcW w:w="1419" w:type="dxa"/>
          </w:tcPr>
          <w:p w14:paraId="126ADC66" w14:textId="77777777" w:rsidR="00DE1840" w:rsidRPr="00AC51F3" w:rsidRDefault="00DE1840" w:rsidP="00DE1840">
            <w:pPr>
              <w:pStyle w:val="Tabletext"/>
            </w:pPr>
            <w:r w:rsidRPr="00AC51F3">
              <w:t>Denominator</w:t>
            </w:r>
          </w:p>
        </w:tc>
        <w:tc>
          <w:tcPr>
            <w:tcW w:w="3233" w:type="dxa"/>
          </w:tcPr>
          <w:p w14:paraId="28960049" w14:textId="7C9585DA" w:rsidR="00DE1840" w:rsidRPr="00AC51F3" w:rsidRDefault="00DE1840" w:rsidP="00DE1840">
            <w:pPr>
              <w:pStyle w:val="Tabletext"/>
            </w:pPr>
            <w:r w:rsidRPr="00AC51F3">
              <w:t>Number of people overall and in each priority population in ACCESS clinical network</w:t>
            </w:r>
          </w:p>
        </w:tc>
        <w:tc>
          <w:tcPr>
            <w:tcW w:w="1439" w:type="dxa"/>
          </w:tcPr>
          <w:p w14:paraId="1D95B216" w14:textId="4A71054A" w:rsidR="00DE1840" w:rsidRPr="00AC51F3" w:rsidRDefault="00DE1840" w:rsidP="00DE1840">
            <w:pPr>
              <w:pStyle w:val="Tablebullet2"/>
              <w:numPr>
                <w:ilvl w:val="0"/>
                <w:numId w:val="0"/>
              </w:numPr>
            </w:pPr>
            <w:r w:rsidRPr="00AC51F3">
              <w:t xml:space="preserve">ACCESS </w:t>
            </w:r>
          </w:p>
        </w:tc>
        <w:tc>
          <w:tcPr>
            <w:tcW w:w="1701" w:type="dxa"/>
          </w:tcPr>
          <w:p w14:paraId="12DDA700" w14:textId="26B1C221" w:rsidR="00DE1840" w:rsidRPr="00AC51F3" w:rsidRDefault="00DE1840" w:rsidP="00DE1840">
            <w:pPr>
              <w:pStyle w:val="Tablebullet2"/>
              <w:numPr>
                <w:ilvl w:val="0"/>
                <w:numId w:val="0"/>
              </w:numPr>
            </w:pPr>
            <w:r w:rsidRPr="00AC51F3">
              <w:t>Burnet Institute</w:t>
            </w:r>
          </w:p>
        </w:tc>
        <w:tc>
          <w:tcPr>
            <w:tcW w:w="1984" w:type="dxa"/>
          </w:tcPr>
          <w:p w14:paraId="5C5C5688" w14:textId="6CE8151F" w:rsidR="00DE1840" w:rsidRPr="005F4143" w:rsidRDefault="00DE1840" w:rsidP="00DE1840">
            <w:pPr>
              <w:pStyle w:val="Tablebullet1"/>
              <w:numPr>
                <w:ilvl w:val="0"/>
                <w:numId w:val="0"/>
              </w:numPr>
              <w:ind w:left="227" w:hanging="227"/>
            </w:pPr>
            <w:r w:rsidRPr="00AC51F3">
              <w:t>Annual</w:t>
            </w:r>
            <w:r w:rsidR="00FD411B" w:rsidRPr="00AC51F3">
              <w:t>ly</w:t>
            </w:r>
          </w:p>
        </w:tc>
      </w:tr>
    </w:tbl>
    <w:p w14:paraId="18B7918B" w14:textId="77777777" w:rsidR="002E523D" w:rsidRPr="005F4143" w:rsidRDefault="002E523D" w:rsidP="002E523D">
      <w:pPr>
        <w:pStyle w:val="Body"/>
      </w:pPr>
    </w:p>
    <w:p w14:paraId="78A24F35" w14:textId="77777777" w:rsidR="00EC23B1" w:rsidRPr="005F4143" w:rsidRDefault="00EC23B1">
      <w:pPr>
        <w:spacing w:after="0" w:line="240" w:lineRule="auto"/>
        <w:rPr>
          <w:rFonts w:eastAsia="MS Gothic"/>
          <w:b/>
          <w:bCs/>
          <w:color w:val="53565A"/>
          <w:sz w:val="30"/>
          <w:szCs w:val="26"/>
        </w:rPr>
      </w:pPr>
      <w:r w:rsidRPr="005F4143">
        <w:br w:type="page"/>
      </w:r>
    </w:p>
    <w:p w14:paraId="5AE46A96" w14:textId="48BE6CD5" w:rsidR="009261A0" w:rsidRPr="005F4143" w:rsidRDefault="009261A0" w:rsidP="009261A0">
      <w:pPr>
        <w:pStyle w:val="Heading3"/>
        <w:rPr>
          <w:lang w:val="en-AU"/>
        </w:rPr>
      </w:pPr>
      <w:bookmarkStart w:id="29" w:name="_Toc214457277"/>
      <w:r w:rsidRPr="005F4143">
        <w:rPr>
          <w:lang w:val="en-AU"/>
        </w:rPr>
        <w:lastRenderedPageBreak/>
        <w:t>Focus Area 2: Test</w:t>
      </w:r>
      <w:bookmarkEnd w:id="29"/>
    </w:p>
    <w:p w14:paraId="07D9DA15" w14:textId="467040B9" w:rsidR="009261A0" w:rsidRPr="005F4143" w:rsidRDefault="009261A0" w:rsidP="009261A0">
      <w:pPr>
        <w:pStyle w:val="Body"/>
        <w:rPr>
          <w:b/>
          <w:bCs/>
        </w:rPr>
      </w:pPr>
      <w:r w:rsidRPr="005F4143">
        <w:rPr>
          <w:b/>
          <w:bCs/>
        </w:rPr>
        <w:t xml:space="preserve">Goal: Victorians living with </w:t>
      </w:r>
      <w:r w:rsidR="00EC23B1" w:rsidRPr="005F4143">
        <w:rPr>
          <w:b/>
          <w:bCs/>
        </w:rPr>
        <w:t>HIV</w:t>
      </w:r>
      <w:r w:rsidRPr="005F4143">
        <w:rPr>
          <w:b/>
          <w:bCs/>
        </w:rPr>
        <w:t xml:space="preserve"> know their status</w:t>
      </w:r>
    </w:p>
    <w:p w14:paraId="4B900616" w14:textId="77777777" w:rsidR="009261A0" w:rsidRPr="005F4143" w:rsidRDefault="009261A0" w:rsidP="009261A0">
      <w:pPr>
        <w:pStyle w:val="Body"/>
        <w:rPr>
          <w:b/>
          <w:bCs/>
          <w:u w:val="single"/>
        </w:rPr>
      </w:pPr>
      <w:r w:rsidRPr="005F4143">
        <w:rPr>
          <w:b/>
          <w:bCs/>
          <w:u w:val="single"/>
        </w:rPr>
        <w:t>Objectives (by 2030):</w:t>
      </w:r>
    </w:p>
    <w:p w14:paraId="68B2FD33" w14:textId="77777777" w:rsidR="001E0131" w:rsidRPr="005F4143" w:rsidRDefault="001E0131" w:rsidP="006F505E">
      <w:pPr>
        <w:pStyle w:val="Body"/>
        <w:numPr>
          <w:ilvl w:val="1"/>
          <w:numId w:val="9"/>
        </w:numPr>
      </w:pPr>
      <w:r w:rsidRPr="005F4143">
        <w:t>Victorians with HIV know their serostatus, are diagnosed early and are supported to do so</w:t>
      </w:r>
    </w:p>
    <w:p w14:paraId="35A87142" w14:textId="77777777" w:rsidR="001E0131" w:rsidRPr="005F4143" w:rsidRDefault="001E0131" w:rsidP="006F505E">
      <w:pPr>
        <w:pStyle w:val="Body"/>
        <w:numPr>
          <w:ilvl w:val="1"/>
          <w:numId w:val="9"/>
        </w:numPr>
      </w:pPr>
      <w:r w:rsidRPr="005F4143">
        <w:t>Victorians at risk of HIV infection understand the need for regular testing</w:t>
      </w:r>
    </w:p>
    <w:p w14:paraId="1A0DC1C0" w14:textId="53BE44B2" w:rsidR="001E0131" w:rsidRPr="005F4143" w:rsidRDefault="001E0131" w:rsidP="006F505E">
      <w:pPr>
        <w:pStyle w:val="Body"/>
        <w:numPr>
          <w:ilvl w:val="1"/>
          <w:numId w:val="9"/>
        </w:numPr>
      </w:pPr>
      <w:r w:rsidRPr="005F4143">
        <w:t>Regular HIV testing is normalised within priority populations and is available across diverse health settings</w:t>
      </w:r>
    </w:p>
    <w:p w14:paraId="1CCEB540" w14:textId="77777777" w:rsidR="001E0131" w:rsidRPr="005F4143" w:rsidRDefault="001E0131" w:rsidP="006F505E">
      <w:pPr>
        <w:pStyle w:val="Body"/>
        <w:numPr>
          <w:ilvl w:val="1"/>
          <w:numId w:val="9"/>
        </w:numPr>
      </w:pPr>
      <w:r w:rsidRPr="005F4143">
        <w:t>Testing services meet the needs of priority populations</w:t>
      </w:r>
    </w:p>
    <w:p w14:paraId="6B0441EB" w14:textId="77777777" w:rsidR="009261A0" w:rsidRPr="005F4143" w:rsidRDefault="009261A0" w:rsidP="009261A0">
      <w:pPr>
        <w:pStyle w:val="Body"/>
      </w:pPr>
      <w:r w:rsidRPr="005F4143">
        <w:rPr>
          <w:b/>
          <w:bCs/>
          <w:u w:val="single"/>
        </w:rPr>
        <w:t>Targets for 2025:</w:t>
      </w:r>
    </w:p>
    <w:p w14:paraId="1D61CDD6" w14:textId="1B9A6375" w:rsidR="009261A0" w:rsidRPr="005F4143" w:rsidRDefault="00F1565D" w:rsidP="006F505E">
      <w:pPr>
        <w:pStyle w:val="Body"/>
        <w:numPr>
          <w:ilvl w:val="1"/>
          <w:numId w:val="9"/>
        </w:numPr>
      </w:pPr>
      <w:r w:rsidRPr="005F4143">
        <w:t>The proportion of all people living with HIV who are diagnosed will be 95%</w:t>
      </w:r>
    </w:p>
    <w:p w14:paraId="05EF04A9" w14:textId="77777777" w:rsidR="009261A0" w:rsidRPr="005F4143" w:rsidRDefault="009261A0" w:rsidP="009261A0">
      <w:pPr>
        <w:pStyle w:val="Body"/>
        <w:rPr>
          <w:b/>
          <w:bCs/>
          <w:u w:val="single"/>
        </w:rPr>
      </w:pPr>
      <w:r w:rsidRPr="005F4143">
        <w:rPr>
          <w:b/>
          <w:bCs/>
          <w:u w:val="single"/>
        </w:rPr>
        <w:t>Indicators:</w:t>
      </w:r>
    </w:p>
    <w:p w14:paraId="77878367" w14:textId="77777777" w:rsidR="00187D0B" w:rsidRDefault="006F0C85" w:rsidP="006F505E">
      <w:pPr>
        <w:pStyle w:val="Body"/>
        <w:numPr>
          <w:ilvl w:val="1"/>
          <w:numId w:val="9"/>
        </w:numPr>
      </w:pPr>
      <w:r w:rsidRPr="005F4143">
        <w:t>Number of HIV tests performed</w:t>
      </w:r>
    </w:p>
    <w:p w14:paraId="1B996983" w14:textId="77777777" w:rsidR="00187D0B" w:rsidRDefault="006F0C85" w:rsidP="006F505E">
      <w:pPr>
        <w:pStyle w:val="Body"/>
        <w:numPr>
          <w:ilvl w:val="1"/>
          <w:numId w:val="9"/>
        </w:numPr>
      </w:pPr>
      <w:r w:rsidRPr="005F4143">
        <w:t>Proportion of HIV tests performed that are positive</w:t>
      </w:r>
    </w:p>
    <w:p w14:paraId="66B01BC3" w14:textId="6096FDF4" w:rsidR="006F0C85" w:rsidRPr="005F4143" w:rsidRDefault="006F0C85" w:rsidP="006F505E">
      <w:pPr>
        <w:pStyle w:val="Body"/>
        <w:numPr>
          <w:ilvl w:val="1"/>
          <w:numId w:val="9"/>
        </w:numPr>
      </w:pPr>
      <w:r w:rsidRPr="005F4143">
        <w:t>Proportion of people who have been tested</w:t>
      </w:r>
      <w:r w:rsidR="00F746E8" w:rsidRPr="005F4143">
        <w:t xml:space="preserve"> for HIV</w:t>
      </w:r>
    </w:p>
    <w:p w14:paraId="1B2C1277" w14:textId="77777777" w:rsidR="009261A0" w:rsidRPr="005F4143" w:rsidRDefault="009261A0" w:rsidP="009261A0">
      <w:pPr>
        <w:pStyle w:val="Body"/>
      </w:pPr>
    </w:p>
    <w:p w14:paraId="04CD199B" w14:textId="38C10AF0" w:rsidR="009261A0" w:rsidRPr="005F4143" w:rsidRDefault="009261A0" w:rsidP="009261A0">
      <w:pPr>
        <w:pStyle w:val="Body"/>
      </w:pPr>
      <w:r w:rsidRPr="005F4143">
        <w:rPr>
          <w:b/>
          <w:bCs/>
        </w:rPr>
        <w:t xml:space="preserve">Indicator </w:t>
      </w:r>
      <w:r w:rsidR="000B76EA" w:rsidRPr="005F4143">
        <w:rPr>
          <w:b/>
          <w:bCs/>
        </w:rPr>
        <w:t>n</w:t>
      </w:r>
      <w:r w:rsidRPr="005F4143">
        <w:rPr>
          <w:b/>
          <w:bCs/>
        </w:rPr>
        <w:t>otes</w:t>
      </w:r>
    </w:p>
    <w:p w14:paraId="538C7846" w14:textId="5E5EEDB3" w:rsidR="00405E06" w:rsidRPr="005F4143" w:rsidRDefault="003D41C7" w:rsidP="00405E06">
      <w:pPr>
        <w:pStyle w:val="Body"/>
      </w:pPr>
      <w:r w:rsidRPr="005F4143">
        <w:t>T</w:t>
      </w:r>
      <w:r w:rsidR="00405E06" w:rsidRPr="005F4143">
        <w:t xml:space="preserve">esting is a vital step in the cascade of HIV care. The overall proportion of </w:t>
      </w:r>
      <w:r w:rsidR="004B32CB" w:rsidRPr="005F4143">
        <w:t>PLHIV</w:t>
      </w:r>
      <w:r w:rsidR="00405E06" w:rsidRPr="005F4143">
        <w:t xml:space="preserve"> who have been diagnosed is modelled by the Kirby Institute. As stated in the introduction, where possible throughout the indicators, calculations will be disaggregated by priority population. In this case, this is possible through use of ACCESS clinical data. </w:t>
      </w:r>
      <w:r w:rsidR="004170DC">
        <w:t xml:space="preserve">The </w:t>
      </w:r>
      <w:r w:rsidR="00405E06" w:rsidRPr="005F4143">
        <w:t>ACCESS clinical network is designed to include high caseload clinics that people at higher risk of HIV attend, which can be used to calculate the proportion of each priority population who are diagnosed. However, ACCESS cannot model the number of PLHIV.</w:t>
      </w:r>
    </w:p>
    <w:p w14:paraId="4EEEFCD5" w14:textId="70332476" w:rsidR="00405E06" w:rsidRPr="005F4143" w:rsidRDefault="00405E06" w:rsidP="00405E06">
      <w:pPr>
        <w:pStyle w:val="Body"/>
      </w:pPr>
      <w:r w:rsidRPr="005F4143">
        <w:t xml:space="preserve">An increasing proportion of new HIV diagnoses are made in low caseload GP clinics and there is currently no way to know how many tests are done in these settings. In the future, if legislation change allows this to be reported to </w:t>
      </w:r>
      <w:r w:rsidR="00353A00" w:rsidRPr="005F4143">
        <w:t>the department</w:t>
      </w:r>
      <w:r w:rsidRPr="005F4143">
        <w:t>, it will be included in the indicators.</w:t>
      </w:r>
    </w:p>
    <w:p w14:paraId="0B583943" w14:textId="77777777" w:rsidR="00405E06" w:rsidRPr="005F4143" w:rsidRDefault="00405E06" w:rsidP="00405E06">
      <w:pPr>
        <w:pStyle w:val="Body"/>
      </w:pPr>
      <w:r w:rsidRPr="005F4143">
        <w:t>CD4+ cell count is an indicator of the damage HIV has inflicted on the immune system. Levels below 200cells/</w:t>
      </w:r>
      <w:proofErr w:type="spellStart"/>
      <w:r w:rsidRPr="005F4143">
        <w:t>uL</w:t>
      </w:r>
      <w:proofErr w:type="spellEnd"/>
      <w:r w:rsidRPr="005F4143">
        <w:t xml:space="preserve"> place the person at risk of opportunistic infections; levels over 350cells/</w:t>
      </w:r>
      <w:proofErr w:type="spellStart"/>
      <w:r w:rsidRPr="005F4143">
        <w:t>uL</w:t>
      </w:r>
      <w:proofErr w:type="spellEnd"/>
      <w:r w:rsidRPr="005F4143">
        <w:t xml:space="preserve"> are considered normal. On a population level, a higher median CD4+ count, indicates earlier diagnosis of HIV. This indicator will be able to be disaggregated by population and diagnosis setting (high caseload / low caseload).</w:t>
      </w:r>
    </w:p>
    <w:p w14:paraId="00692158" w14:textId="77777777" w:rsidR="002A6A90" w:rsidRPr="005F4143" w:rsidRDefault="00405E06" w:rsidP="00405E06">
      <w:pPr>
        <w:pStyle w:val="Body"/>
      </w:pPr>
      <w:r w:rsidRPr="005F4143">
        <w:t>This section contains many indicators that will need to be interpreted together to give an idea of the proportion diagnosed overall and in priority populations.</w:t>
      </w:r>
    </w:p>
    <w:p w14:paraId="3984948E" w14:textId="77777777" w:rsidR="00FA261E" w:rsidRPr="005F4143" w:rsidRDefault="00FA261E">
      <w:pPr>
        <w:spacing w:after="0" w:line="240" w:lineRule="auto"/>
        <w:rPr>
          <w:rFonts w:eastAsia="Times"/>
          <w:b/>
          <w:bCs/>
        </w:rPr>
      </w:pPr>
      <w:r w:rsidRPr="005F4143">
        <w:rPr>
          <w:b/>
          <w:bCs/>
        </w:rPr>
        <w:br w:type="page"/>
      </w:r>
    </w:p>
    <w:p w14:paraId="3B67D3CA" w14:textId="7E771599" w:rsidR="009261A0" w:rsidRPr="005F4143" w:rsidRDefault="009261A0" w:rsidP="00405E06">
      <w:pPr>
        <w:pStyle w:val="Body"/>
        <w:rPr>
          <w:b/>
          <w:bCs/>
        </w:rPr>
      </w:pPr>
      <w:r w:rsidRPr="005F4143">
        <w:rPr>
          <w:b/>
          <w:bCs/>
        </w:rPr>
        <w:lastRenderedPageBreak/>
        <w:t>Reporting against indicators</w:t>
      </w:r>
    </w:p>
    <w:p w14:paraId="4781218A" w14:textId="70A53DF4" w:rsidR="009261A0" w:rsidRPr="005F4143" w:rsidRDefault="004C7B1B" w:rsidP="009261A0">
      <w:pPr>
        <w:pStyle w:val="Tablecaption"/>
      </w:pPr>
      <w:r w:rsidRPr="005F4143">
        <w:fldChar w:fldCharType="begin"/>
      </w:r>
      <w:r w:rsidRPr="005F4143">
        <w:instrText>SEQ Table \* ARABIC</w:instrText>
      </w:r>
      <w:r w:rsidRPr="005F4143">
        <w:fldChar w:fldCharType="separate"/>
      </w:r>
      <w:bookmarkStart w:id="30" w:name="_Toc214457308"/>
      <w:r w:rsidR="00670632">
        <w:rPr>
          <w:noProof/>
        </w:rPr>
        <w:t>9</w:t>
      </w:r>
      <w:r w:rsidRPr="005F4143">
        <w:fldChar w:fldCharType="end"/>
      </w:r>
      <w:r w:rsidR="009261A0" w:rsidRPr="005F4143">
        <w:t xml:space="preserve">. </w:t>
      </w:r>
      <w:r w:rsidR="00B2608D" w:rsidRPr="005F4143">
        <w:t>Proportion of HIV tests performed that are positive</w:t>
      </w:r>
      <w:bookmarkEnd w:id="30"/>
    </w:p>
    <w:tbl>
      <w:tblPr>
        <w:tblStyle w:val="TableGrid"/>
        <w:tblW w:w="9776" w:type="dxa"/>
        <w:tblLook w:val="06A0" w:firstRow="1" w:lastRow="0" w:firstColumn="1" w:lastColumn="0" w:noHBand="1" w:noVBand="1"/>
      </w:tblPr>
      <w:tblGrid>
        <w:gridCol w:w="1419"/>
        <w:gridCol w:w="3233"/>
        <w:gridCol w:w="1439"/>
        <w:gridCol w:w="1701"/>
        <w:gridCol w:w="1984"/>
      </w:tblGrid>
      <w:tr w:rsidR="009261A0" w:rsidRPr="005F4143" w14:paraId="2ACAA512" w14:textId="77777777">
        <w:trPr>
          <w:tblHeader/>
        </w:trPr>
        <w:tc>
          <w:tcPr>
            <w:tcW w:w="1419" w:type="dxa"/>
          </w:tcPr>
          <w:p w14:paraId="3FF096F4" w14:textId="77777777" w:rsidR="009261A0" w:rsidRPr="005F4143" w:rsidRDefault="009261A0">
            <w:pPr>
              <w:pStyle w:val="Tablecolhead"/>
            </w:pPr>
            <w:r w:rsidRPr="005F4143">
              <w:t>Component</w:t>
            </w:r>
          </w:p>
        </w:tc>
        <w:tc>
          <w:tcPr>
            <w:tcW w:w="3233" w:type="dxa"/>
            <w:tcBorders>
              <w:bottom w:val="single" w:sz="4" w:space="0" w:color="auto"/>
            </w:tcBorders>
          </w:tcPr>
          <w:p w14:paraId="0BDBF718" w14:textId="77777777" w:rsidR="009261A0" w:rsidRPr="005F4143" w:rsidRDefault="009261A0">
            <w:pPr>
              <w:pStyle w:val="Tablecolhead"/>
            </w:pPr>
            <w:r w:rsidRPr="005F4143">
              <w:t>Description</w:t>
            </w:r>
          </w:p>
        </w:tc>
        <w:tc>
          <w:tcPr>
            <w:tcW w:w="1439" w:type="dxa"/>
          </w:tcPr>
          <w:p w14:paraId="10A30F24" w14:textId="77777777" w:rsidR="009261A0" w:rsidRPr="005F4143" w:rsidRDefault="009261A0">
            <w:pPr>
              <w:pStyle w:val="Tablecolhead"/>
            </w:pPr>
            <w:r w:rsidRPr="005F4143">
              <w:t>Source</w:t>
            </w:r>
          </w:p>
        </w:tc>
        <w:tc>
          <w:tcPr>
            <w:tcW w:w="1701" w:type="dxa"/>
          </w:tcPr>
          <w:p w14:paraId="5A888D20" w14:textId="77777777" w:rsidR="009261A0" w:rsidRPr="005F4143" w:rsidRDefault="009261A0">
            <w:pPr>
              <w:pStyle w:val="Tablecolhead"/>
            </w:pPr>
            <w:r w:rsidRPr="005F4143">
              <w:t>Custodian</w:t>
            </w:r>
          </w:p>
        </w:tc>
        <w:tc>
          <w:tcPr>
            <w:tcW w:w="1984" w:type="dxa"/>
          </w:tcPr>
          <w:p w14:paraId="439AF58B" w14:textId="77777777" w:rsidR="009261A0" w:rsidRPr="005F4143" w:rsidRDefault="009261A0">
            <w:pPr>
              <w:pStyle w:val="Tablecolhead"/>
            </w:pPr>
            <w:r w:rsidRPr="005F4143">
              <w:t>Availability</w:t>
            </w:r>
          </w:p>
        </w:tc>
      </w:tr>
      <w:tr w:rsidR="00647998" w:rsidRPr="005F4143" w14:paraId="49A7327C" w14:textId="77777777">
        <w:tc>
          <w:tcPr>
            <w:tcW w:w="1419" w:type="dxa"/>
          </w:tcPr>
          <w:p w14:paraId="3B2B79A2" w14:textId="37384900" w:rsidR="00647998" w:rsidRPr="005F4143" w:rsidRDefault="00647998" w:rsidP="00647998">
            <w:pPr>
              <w:pStyle w:val="Tabletext"/>
            </w:pPr>
            <w:r w:rsidRPr="005F4143">
              <w:t>Numerator</w:t>
            </w:r>
          </w:p>
        </w:tc>
        <w:tc>
          <w:tcPr>
            <w:tcW w:w="3233" w:type="dxa"/>
          </w:tcPr>
          <w:p w14:paraId="0DE60A61" w14:textId="43FFA13E" w:rsidR="00647998" w:rsidRPr="005F4143" w:rsidRDefault="00647998" w:rsidP="00647998">
            <w:pPr>
              <w:pStyle w:val="Tabletext"/>
            </w:pPr>
            <w:r w:rsidRPr="005F4143">
              <w:t>Number of positive HIV tests in the ACCESS clinical network</w:t>
            </w:r>
          </w:p>
        </w:tc>
        <w:tc>
          <w:tcPr>
            <w:tcW w:w="1439" w:type="dxa"/>
          </w:tcPr>
          <w:p w14:paraId="4D28EC80" w14:textId="287CEC07" w:rsidR="00647998" w:rsidRPr="005F4143" w:rsidRDefault="00647998" w:rsidP="00647998">
            <w:pPr>
              <w:pStyle w:val="Tablebullet2"/>
              <w:numPr>
                <w:ilvl w:val="0"/>
                <w:numId w:val="0"/>
              </w:numPr>
            </w:pPr>
            <w:r w:rsidRPr="005F4143">
              <w:t xml:space="preserve">ACCESS </w:t>
            </w:r>
          </w:p>
        </w:tc>
        <w:tc>
          <w:tcPr>
            <w:tcW w:w="1701" w:type="dxa"/>
          </w:tcPr>
          <w:p w14:paraId="3605CC5B" w14:textId="79AF857E" w:rsidR="00647998" w:rsidRPr="005F4143" w:rsidRDefault="00647998" w:rsidP="00647998">
            <w:pPr>
              <w:pStyle w:val="Tablebullet2"/>
              <w:numPr>
                <w:ilvl w:val="0"/>
                <w:numId w:val="0"/>
              </w:numPr>
            </w:pPr>
            <w:r w:rsidRPr="005F4143">
              <w:t>Burnet Institute</w:t>
            </w:r>
          </w:p>
        </w:tc>
        <w:tc>
          <w:tcPr>
            <w:tcW w:w="1984" w:type="dxa"/>
          </w:tcPr>
          <w:p w14:paraId="177DA171" w14:textId="2E8E2225" w:rsidR="00647998" w:rsidRPr="005F4143" w:rsidRDefault="00647998" w:rsidP="00647998">
            <w:pPr>
              <w:pStyle w:val="Tablebullet1"/>
              <w:numPr>
                <w:ilvl w:val="0"/>
                <w:numId w:val="0"/>
              </w:numPr>
              <w:ind w:left="227" w:hanging="227"/>
            </w:pPr>
            <w:r w:rsidRPr="005F4143">
              <w:t>Annually</w:t>
            </w:r>
          </w:p>
        </w:tc>
      </w:tr>
      <w:tr w:rsidR="00647998" w:rsidRPr="005F4143" w14:paraId="3F67B382" w14:textId="77777777">
        <w:tc>
          <w:tcPr>
            <w:tcW w:w="1419" w:type="dxa"/>
          </w:tcPr>
          <w:p w14:paraId="2E488EFF" w14:textId="2D69C223" w:rsidR="00647998" w:rsidRPr="005F4143" w:rsidRDefault="00647998" w:rsidP="00647998">
            <w:pPr>
              <w:pStyle w:val="Tabletext"/>
            </w:pPr>
            <w:r w:rsidRPr="005F4143">
              <w:t>Denominator</w:t>
            </w:r>
          </w:p>
        </w:tc>
        <w:tc>
          <w:tcPr>
            <w:tcW w:w="3233" w:type="dxa"/>
          </w:tcPr>
          <w:p w14:paraId="30A29F35" w14:textId="465EA599" w:rsidR="00647998" w:rsidRPr="005F4143" w:rsidRDefault="00647998" w:rsidP="00647998">
            <w:pPr>
              <w:pStyle w:val="Tabletext"/>
            </w:pPr>
            <w:r w:rsidRPr="005F4143">
              <w:t>Number of who had an HIV test in the ACCESS clinical network</w:t>
            </w:r>
          </w:p>
        </w:tc>
        <w:tc>
          <w:tcPr>
            <w:tcW w:w="1439" w:type="dxa"/>
          </w:tcPr>
          <w:p w14:paraId="69C29489" w14:textId="5B778742" w:rsidR="00647998" w:rsidRPr="005F4143" w:rsidRDefault="00647998" w:rsidP="00647998">
            <w:pPr>
              <w:pStyle w:val="Tabletext"/>
            </w:pPr>
            <w:r w:rsidRPr="005F4143">
              <w:t xml:space="preserve">ACCESS </w:t>
            </w:r>
          </w:p>
        </w:tc>
        <w:tc>
          <w:tcPr>
            <w:tcW w:w="1701" w:type="dxa"/>
          </w:tcPr>
          <w:p w14:paraId="68C93544" w14:textId="3D860A21" w:rsidR="00647998" w:rsidRPr="005F4143" w:rsidRDefault="00647998" w:rsidP="00647998">
            <w:pPr>
              <w:pStyle w:val="Tabletext"/>
            </w:pPr>
            <w:r w:rsidRPr="005F4143">
              <w:t>Burnet Institute</w:t>
            </w:r>
          </w:p>
        </w:tc>
        <w:tc>
          <w:tcPr>
            <w:tcW w:w="1984" w:type="dxa"/>
          </w:tcPr>
          <w:p w14:paraId="0A0D6851" w14:textId="3115E3F3" w:rsidR="00647998" w:rsidRPr="005F4143" w:rsidRDefault="00647998" w:rsidP="00647998">
            <w:pPr>
              <w:pStyle w:val="Tabletext"/>
            </w:pPr>
            <w:r w:rsidRPr="005F4143">
              <w:t>Annually</w:t>
            </w:r>
          </w:p>
        </w:tc>
      </w:tr>
    </w:tbl>
    <w:p w14:paraId="1FE6110E" w14:textId="77777777" w:rsidR="00647998" w:rsidRPr="005F4143" w:rsidRDefault="00647998" w:rsidP="00647998">
      <w:pPr>
        <w:pStyle w:val="Body"/>
      </w:pPr>
    </w:p>
    <w:p w14:paraId="5829150F" w14:textId="52B77185" w:rsidR="00647998" w:rsidRPr="005F4143" w:rsidRDefault="004C7B1B" w:rsidP="00647998">
      <w:pPr>
        <w:pStyle w:val="Tablecaption"/>
      </w:pPr>
      <w:r w:rsidRPr="005F4143">
        <w:fldChar w:fldCharType="begin"/>
      </w:r>
      <w:r w:rsidRPr="005F4143">
        <w:instrText>SEQ Table \* ARABIC</w:instrText>
      </w:r>
      <w:r w:rsidRPr="005F4143">
        <w:fldChar w:fldCharType="separate"/>
      </w:r>
      <w:bookmarkStart w:id="31" w:name="_Toc214457309"/>
      <w:r w:rsidR="00670632">
        <w:rPr>
          <w:noProof/>
        </w:rPr>
        <w:t>10</w:t>
      </w:r>
      <w:r w:rsidRPr="005F4143">
        <w:fldChar w:fldCharType="end"/>
      </w:r>
      <w:r w:rsidR="00647998" w:rsidRPr="005F4143">
        <w:t xml:space="preserve">. </w:t>
      </w:r>
      <w:r w:rsidR="00BD2A78" w:rsidRPr="005F4143">
        <w:t xml:space="preserve">Proportion </w:t>
      </w:r>
      <w:r w:rsidR="006F0C85" w:rsidRPr="005F4143">
        <w:t xml:space="preserve">of </w:t>
      </w:r>
      <w:r w:rsidR="00BD2A78" w:rsidRPr="005F4143">
        <w:t>people who have been tested</w:t>
      </w:r>
      <w:bookmarkEnd w:id="31"/>
    </w:p>
    <w:tbl>
      <w:tblPr>
        <w:tblStyle w:val="TableGrid"/>
        <w:tblW w:w="9776" w:type="dxa"/>
        <w:tblLook w:val="06A0" w:firstRow="1" w:lastRow="0" w:firstColumn="1" w:lastColumn="0" w:noHBand="1" w:noVBand="1"/>
      </w:tblPr>
      <w:tblGrid>
        <w:gridCol w:w="1419"/>
        <w:gridCol w:w="3233"/>
        <w:gridCol w:w="1439"/>
        <w:gridCol w:w="1701"/>
        <w:gridCol w:w="1984"/>
      </w:tblGrid>
      <w:tr w:rsidR="00647998" w:rsidRPr="005F4143" w14:paraId="6D27DFFE" w14:textId="77777777">
        <w:trPr>
          <w:tblHeader/>
        </w:trPr>
        <w:tc>
          <w:tcPr>
            <w:tcW w:w="1419" w:type="dxa"/>
          </w:tcPr>
          <w:p w14:paraId="3B19CB86" w14:textId="77777777" w:rsidR="00647998" w:rsidRPr="005F4143" w:rsidRDefault="00647998">
            <w:pPr>
              <w:pStyle w:val="Tablecolhead"/>
            </w:pPr>
            <w:r w:rsidRPr="005F4143">
              <w:t>Component</w:t>
            </w:r>
          </w:p>
        </w:tc>
        <w:tc>
          <w:tcPr>
            <w:tcW w:w="3233" w:type="dxa"/>
            <w:tcBorders>
              <w:bottom w:val="single" w:sz="4" w:space="0" w:color="auto"/>
            </w:tcBorders>
          </w:tcPr>
          <w:p w14:paraId="67A19CCF" w14:textId="77777777" w:rsidR="00647998" w:rsidRPr="005F4143" w:rsidRDefault="00647998">
            <w:pPr>
              <w:pStyle w:val="Tablecolhead"/>
            </w:pPr>
            <w:r w:rsidRPr="005F4143">
              <w:t>Description</w:t>
            </w:r>
          </w:p>
        </w:tc>
        <w:tc>
          <w:tcPr>
            <w:tcW w:w="1439" w:type="dxa"/>
          </w:tcPr>
          <w:p w14:paraId="3E0995D4" w14:textId="77777777" w:rsidR="00647998" w:rsidRPr="005F4143" w:rsidRDefault="00647998">
            <w:pPr>
              <w:pStyle w:val="Tablecolhead"/>
            </w:pPr>
            <w:r w:rsidRPr="005F4143">
              <w:t>Source</w:t>
            </w:r>
          </w:p>
        </w:tc>
        <w:tc>
          <w:tcPr>
            <w:tcW w:w="1701" w:type="dxa"/>
          </w:tcPr>
          <w:p w14:paraId="10C5BDAF" w14:textId="77777777" w:rsidR="00647998" w:rsidRPr="005F4143" w:rsidRDefault="00647998">
            <w:pPr>
              <w:pStyle w:val="Tablecolhead"/>
            </w:pPr>
            <w:r w:rsidRPr="005F4143">
              <w:t>Custodian</w:t>
            </w:r>
          </w:p>
        </w:tc>
        <w:tc>
          <w:tcPr>
            <w:tcW w:w="1984" w:type="dxa"/>
          </w:tcPr>
          <w:p w14:paraId="0D0AA9FC" w14:textId="77777777" w:rsidR="00647998" w:rsidRPr="005F4143" w:rsidRDefault="00647998">
            <w:pPr>
              <w:pStyle w:val="Tablecolhead"/>
            </w:pPr>
            <w:r w:rsidRPr="005F4143">
              <w:t>Availability</w:t>
            </w:r>
          </w:p>
        </w:tc>
      </w:tr>
      <w:tr w:rsidR="00920E0E" w:rsidRPr="005F4143" w14:paraId="5089E442" w14:textId="77777777">
        <w:tc>
          <w:tcPr>
            <w:tcW w:w="1419" w:type="dxa"/>
          </w:tcPr>
          <w:p w14:paraId="2DC8FD00" w14:textId="77777777" w:rsidR="00920E0E" w:rsidRPr="005F4143" w:rsidRDefault="00920E0E" w:rsidP="00920E0E">
            <w:pPr>
              <w:pStyle w:val="Tabletext"/>
            </w:pPr>
            <w:r w:rsidRPr="005F4143">
              <w:t>Numerator</w:t>
            </w:r>
          </w:p>
        </w:tc>
        <w:tc>
          <w:tcPr>
            <w:tcW w:w="3233" w:type="dxa"/>
          </w:tcPr>
          <w:p w14:paraId="129EA7DE" w14:textId="2A3C456B" w:rsidR="00920E0E" w:rsidRPr="005F4143" w:rsidRDefault="00920E0E" w:rsidP="00920E0E">
            <w:pPr>
              <w:pStyle w:val="Tabletext"/>
            </w:pPr>
            <w:r w:rsidRPr="005F4143">
              <w:t>Number of Victorians (in each priority population) who had an HIV test in the ACCESS clinical network</w:t>
            </w:r>
            <w:r w:rsidR="00EF434F" w:rsidRPr="005F4143">
              <w:t xml:space="preserve"> in calendar year</w:t>
            </w:r>
          </w:p>
        </w:tc>
        <w:tc>
          <w:tcPr>
            <w:tcW w:w="1439" w:type="dxa"/>
          </w:tcPr>
          <w:p w14:paraId="6B9AB255" w14:textId="77777777" w:rsidR="00920E0E" w:rsidRPr="005F4143" w:rsidRDefault="00920E0E" w:rsidP="00920E0E">
            <w:pPr>
              <w:pStyle w:val="Tablebullet2"/>
              <w:numPr>
                <w:ilvl w:val="0"/>
                <w:numId w:val="0"/>
              </w:numPr>
            </w:pPr>
            <w:r w:rsidRPr="005F4143">
              <w:t xml:space="preserve">ACCESS </w:t>
            </w:r>
          </w:p>
        </w:tc>
        <w:tc>
          <w:tcPr>
            <w:tcW w:w="1701" w:type="dxa"/>
          </w:tcPr>
          <w:p w14:paraId="28B85A0C" w14:textId="77777777" w:rsidR="00920E0E" w:rsidRPr="005F4143" w:rsidRDefault="00920E0E" w:rsidP="00920E0E">
            <w:pPr>
              <w:pStyle w:val="Tablebullet2"/>
              <w:numPr>
                <w:ilvl w:val="0"/>
                <w:numId w:val="0"/>
              </w:numPr>
            </w:pPr>
            <w:r w:rsidRPr="005F4143">
              <w:t>Burnet Institute</w:t>
            </w:r>
          </w:p>
        </w:tc>
        <w:tc>
          <w:tcPr>
            <w:tcW w:w="1984" w:type="dxa"/>
          </w:tcPr>
          <w:p w14:paraId="436338E1" w14:textId="77777777" w:rsidR="00920E0E" w:rsidRPr="005F4143" w:rsidRDefault="00920E0E" w:rsidP="00920E0E">
            <w:pPr>
              <w:pStyle w:val="Tablebullet1"/>
              <w:numPr>
                <w:ilvl w:val="0"/>
                <w:numId w:val="0"/>
              </w:numPr>
              <w:ind w:left="227" w:hanging="227"/>
            </w:pPr>
            <w:r w:rsidRPr="005F4143">
              <w:t>Annually</w:t>
            </w:r>
          </w:p>
        </w:tc>
      </w:tr>
      <w:tr w:rsidR="00920E0E" w:rsidRPr="005F4143" w14:paraId="34485D49" w14:textId="77777777">
        <w:tc>
          <w:tcPr>
            <w:tcW w:w="1419" w:type="dxa"/>
          </w:tcPr>
          <w:p w14:paraId="7773D7D6" w14:textId="77777777" w:rsidR="00920E0E" w:rsidRPr="005F4143" w:rsidRDefault="00920E0E" w:rsidP="00920E0E">
            <w:pPr>
              <w:pStyle w:val="Tabletext"/>
            </w:pPr>
            <w:r w:rsidRPr="005F4143">
              <w:t>Denominator</w:t>
            </w:r>
          </w:p>
        </w:tc>
        <w:tc>
          <w:tcPr>
            <w:tcW w:w="3233" w:type="dxa"/>
          </w:tcPr>
          <w:p w14:paraId="322C2D18" w14:textId="20DBED9E" w:rsidR="00920E0E" w:rsidRPr="005F4143" w:rsidRDefault="00920E0E" w:rsidP="00920E0E">
            <w:pPr>
              <w:pStyle w:val="Tabletext"/>
            </w:pPr>
            <w:r w:rsidRPr="005F4143">
              <w:t>Number of Victorians (in each priority population) in the ACCESS clinical network</w:t>
            </w:r>
            <w:r w:rsidR="00EF434F" w:rsidRPr="005F4143">
              <w:t xml:space="preserve"> in calendar year</w:t>
            </w:r>
          </w:p>
        </w:tc>
        <w:tc>
          <w:tcPr>
            <w:tcW w:w="1439" w:type="dxa"/>
          </w:tcPr>
          <w:p w14:paraId="63CAD166" w14:textId="77777777" w:rsidR="00920E0E" w:rsidRPr="005F4143" w:rsidRDefault="00920E0E" w:rsidP="00920E0E">
            <w:pPr>
              <w:pStyle w:val="Tabletext"/>
            </w:pPr>
            <w:r w:rsidRPr="005F4143">
              <w:t xml:space="preserve">ACCESS </w:t>
            </w:r>
          </w:p>
        </w:tc>
        <w:tc>
          <w:tcPr>
            <w:tcW w:w="1701" w:type="dxa"/>
          </w:tcPr>
          <w:p w14:paraId="76D03488" w14:textId="77777777" w:rsidR="00920E0E" w:rsidRPr="005F4143" w:rsidRDefault="00920E0E" w:rsidP="00920E0E">
            <w:pPr>
              <w:pStyle w:val="Tabletext"/>
            </w:pPr>
            <w:r w:rsidRPr="005F4143">
              <w:t>Burnet Institute</w:t>
            </w:r>
          </w:p>
        </w:tc>
        <w:tc>
          <w:tcPr>
            <w:tcW w:w="1984" w:type="dxa"/>
          </w:tcPr>
          <w:p w14:paraId="2C7C36A0" w14:textId="77777777" w:rsidR="00920E0E" w:rsidRPr="005F4143" w:rsidRDefault="00920E0E" w:rsidP="00920E0E">
            <w:pPr>
              <w:pStyle w:val="Tabletext"/>
            </w:pPr>
            <w:r w:rsidRPr="005F4143">
              <w:t>Annually</w:t>
            </w:r>
          </w:p>
        </w:tc>
      </w:tr>
    </w:tbl>
    <w:p w14:paraId="257D9B2E" w14:textId="77777777" w:rsidR="009261A0" w:rsidRPr="005F4143" w:rsidRDefault="009261A0" w:rsidP="009261A0">
      <w:pPr>
        <w:spacing w:after="0" w:line="240" w:lineRule="auto"/>
        <w:rPr>
          <w:rFonts w:eastAsia="Times"/>
        </w:rPr>
      </w:pPr>
      <w:r w:rsidRPr="005F4143">
        <w:br w:type="page"/>
      </w:r>
    </w:p>
    <w:p w14:paraId="5EB6F5DF" w14:textId="453FAD5D" w:rsidR="009261A0" w:rsidRPr="005F4143" w:rsidRDefault="009261A0" w:rsidP="009261A0">
      <w:pPr>
        <w:pStyle w:val="Heading3"/>
        <w:rPr>
          <w:lang w:val="en-AU"/>
        </w:rPr>
      </w:pPr>
      <w:bookmarkStart w:id="32" w:name="_Toc214457278"/>
      <w:r w:rsidRPr="005F4143">
        <w:rPr>
          <w:lang w:val="en-AU"/>
        </w:rPr>
        <w:lastRenderedPageBreak/>
        <w:t>Focus Area 3: Treat and care</w:t>
      </w:r>
      <w:bookmarkEnd w:id="32"/>
    </w:p>
    <w:p w14:paraId="642A6AE6" w14:textId="58263543" w:rsidR="00951522" w:rsidRPr="005F4143" w:rsidRDefault="00951522" w:rsidP="000B4CAC">
      <w:pPr>
        <w:pStyle w:val="Body"/>
        <w:ind w:left="720" w:hanging="720"/>
        <w:rPr>
          <w:b/>
          <w:bCs/>
        </w:rPr>
      </w:pPr>
      <w:r w:rsidRPr="005F4143">
        <w:rPr>
          <w:b/>
          <w:bCs/>
        </w:rPr>
        <w:t xml:space="preserve">Goal: </w:t>
      </w:r>
      <w:r w:rsidR="000B4CAC" w:rsidRPr="005F4143">
        <w:rPr>
          <w:b/>
          <w:bCs/>
        </w:rPr>
        <w:t>Victorians living with HIV have access to the best practice evidence-based treatment and care</w:t>
      </w:r>
    </w:p>
    <w:p w14:paraId="1BD04136" w14:textId="77777777" w:rsidR="009261A0" w:rsidRPr="005F4143" w:rsidRDefault="009261A0" w:rsidP="009261A0">
      <w:pPr>
        <w:pStyle w:val="Body"/>
        <w:rPr>
          <w:b/>
          <w:bCs/>
          <w:u w:val="single"/>
        </w:rPr>
      </w:pPr>
      <w:r w:rsidRPr="005F4143">
        <w:rPr>
          <w:b/>
          <w:bCs/>
          <w:u w:val="single"/>
        </w:rPr>
        <w:t>Objectives (by 2030):</w:t>
      </w:r>
    </w:p>
    <w:p w14:paraId="182A4C84" w14:textId="77777777" w:rsidR="008C005A" w:rsidRPr="005F4143" w:rsidRDefault="008C005A" w:rsidP="006F505E">
      <w:pPr>
        <w:pStyle w:val="Body"/>
        <w:numPr>
          <w:ilvl w:val="1"/>
          <w:numId w:val="9"/>
        </w:numPr>
      </w:pPr>
      <w:r w:rsidRPr="005F4143">
        <w:t>Victorians living with HIV are aware of the long-term consequences of untreated HIV infection and know how to access appropriate treatment and support</w:t>
      </w:r>
    </w:p>
    <w:p w14:paraId="29C62D3C" w14:textId="77777777" w:rsidR="008C005A" w:rsidRPr="005F4143" w:rsidRDefault="008C005A" w:rsidP="006F505E">
      <w:pPr>
        <w:pStyle w:val="Body"/>
        <w:numPr>
          <w:ilvl w:val="1"/>
          <w:numId w:val="9"/>
        </w:numPr>
      </w:pPr>
      <w:r w:rsidRPr="005F4143">
        <w:t>All Victorians diagnosed with HIV are linked into rapid treatment initiation and are supported to stay on treatment</w:t>
      </w:r>
    </w:p>
    <w:p w14:paraId="32C22300" w14:textId="77777777" w:rsidR="008C005A" w:rsidRPr="005F4143" w:rsidRDefault="008C005A" w:rsidP="006F505E">
      <w:pPr>
        <w:pStyle w:val="Body"/>
        <w:numPr>
          <w:ilvl w:val="1"/>
          <w:numId w:val="9"/>
        </w:numPr>
      </w:pPr>
      <w:r w:rsidRPr="005F4143">
        <w:t>People living with HIV receive the treatment, care and support they need, including monitoring, viral load testing and antiretroviral therapy</w:t>
      </w:r>
    </w:p>
    <w:p w14:paraId="5CC5866C" w14:textId="77777777" w:rsidR="008C005A" w:rsidRPr="005F4143" w:rsidRDefault="008C005A" w:rsidP="006F505E">
      <w:pPr>
        <w:pStyle w:val="Body"/>
        <w:numPr>
          <w:ilvl w:val="1"/>
          <w:numId w:val="9"/>
        </w:numPr>
      </w:pPr>
      <w:r w:rsidRPr="005F4143">
        <w:t>People living with HIV can easily access affordable care and medications in local primary and community health settings.</w:t>
      </w:r>
    </w:p>
    <w:p w14:paraId="452FF5C2" w14:textId="0BA95EE6" w:rsidR="001F23A9" w:rsidRPr="005F4143" w:rsidRDefault="0014647C" w:rsidP="001F23A9">
      <w:pPr>
        <w:pStyle w:val="Heading4"/>
      </w:pPr>
      <w:bookmarkStart w:id="33" w:name="_Toc214457279"/>
      <w:r w:rsidRPr="005F4143">
        <w:t xml:space="preserve">Group </w:t>
      </w:r>
      <w:r w:rsidR="001F23A9" w:rsidRPr="005F4143">
        <w:t>1: Increase access and u</w:t>
      </w:r>
      <w:r w:rsidR="00514905" w:rsidRPr="005F4143">
        <w:t xml:space="preserve">ptake of </w:t>
      </w:r>
      <w:r w:rsidR="000B323B" w:rsidRPr="005F4143">
        <w:t xml:space="preserve">appropriate </w:t>
      </w:r>
      <w:r w:rsidR="00514905" w:rsidRPr="005F4143">
        <w:t>treatment</w:t>
      </w:r>
      <w:bookmarkEnd w:id="33"/>
    </w:p>
    <w:p w14:paraId="6AEAD2BA" w14:textId="77777777" w:rsidR="009261A0" w:rsidRPr="005F4143" w:rsidRDefault="009261A0" w:rsidP="009261A0">
      <w:pPr>
        <w:pStyle w:val="Body"/>
      </w:pPr>
      <w:r w:rsidRPr="005F4143">
        <w:rPr>
          <w:b/>
          <w:bCs/>
          <w:u w:val="single"/>
        </w:rPr>
        <w:t>Targets for 2025:</w:t>
      </w:r>
    </w:p>
    <w:p w14:paraId="71BE9CD7" w14:textId="77777777" w:rsidR="00CF598A" w:rsidRPr="005F4143" w:rsidRDefault="00CF598A" w:rsidP="006F505E">
      <w:pPr>
        <w:pStyle w:val="Body"/>
        <w:numPr>
          <w:ilvl w:val="1"/>
          <w:numId w:val="9"/>
        </w:numPr>
      </w:pPr>
      <w:r w:rsidRPr="005F4143">
        <w:t>The proportion of all people living with HIV who are accessing appropriate treatment will be 98%</w:t>
      </w:r>
    </w:p>
    <w:p w14:paraId="457C6793" w14:textId="77777777" w:rsidR="009261A0" w:rsidRPr="005F4143" w:rsidRDefault="009261A0" w:rsidP="009261A0">
      <w:pPr>
        <w:pStyle w:val="Body"/>
        <w:rPr>
          <w:b/>
          <w:bCs/>
          <w:u w:val="single"/>
        </w:rPr>
      </w:pPr>
      <w:r w:rsidRPr="005F4143">
        <w:rPr>
          <w:b/>
          <w:bCs/>
          <w:u w:val="single"/>
        </w:rPr>
        <w:t>Indicators:</w:t>
      </w:r>
    </w:p>
    <w:p w14:paraId="4D31E98C" w14:textId="6056345D" w:rsidR="004C12F3" w:rsidRPr="005F4143" w:rsidRDefault="004C12F3" w:rsidP="006F505E">
      <w:pPr>
        <w:pStyle w:val="Body"/>
        <w:numPr>
          <w:ilvl w:val="1"/>
          <w:numId w:val="9"/>
        </w:numPr>
      </w:pPr>
      <w:r w:rsidRPr="005F4143">
        <w:t xml:space="preserve">Proportion of people (including in identifiable priority populations) diagnosed with HIV who are prescribed </w:t>
      </w:r>
      <w:r w:rsidR="00804C90" w:rsidRPr="005F4143">
        <w:t>ART</w:t>
      </w:r>
    </w:p>
    <w:p w14:paraId="0ED98A69" w14:textId="77777777" w:rsidR="004C12F3" w:rsidRPr="005F4143" w:rsidRDefault="004C12F3" w:rsidP="006F505E">
      <w:pPr>
        <w:pStyle w:val="Body"/>
        <w:numPr>
          <w:ilvl w:val="1"/>
          <w:numId w:val="9"/>
        </w:numPr>
      </w:pPr>
      <w:r w:rsidRPr="005F4143">
        <w:t>Proportion of people (including in identifiable priority populations) diagnosed with HIV who are prescribed ART within 6 months of diagnosis</w:t>
      </w:r>
    </w:p>
    <w:p w14:paraId="7413C3F8" w14:textId="77777777" w:rsidR="004C12F3" w:rsidRPr="005F4143" w:rsidRDefault="004C12F3" w:rsidP="004C12F3">
      <w:pPr>
        <w:pStyle w:val="Body"/>
        <w:ind w:left="720"/>
      </w:pPr>
    </w:p>
    <w:p w14:paraId="23EFF93B" w14:textId="1C24D6DA" w:rsidR="009261A0" w:rsidRPr="005F4143" w:rsidRDefault="009261A0" w:rsidP="009261A0">
      <w:pPr>
        <w:pStyle w:val="Body"/>
      </w:pPr>
      <w:r w:rsidRPr="005F4143">
        <w:rPr>
          <w:b/>
          <w:bCs/>
        </w:rPr>
        <w:t xml:space="preserve">Indicator </w:t>
      </w:r>
      <w:r w:rsidR="005402A1" w:rsidRPr="005F4143">
        <w:rPr>
          <w:b/>
          <w:bCs/>
        </w:rPr>
        <w:t>n</w:t>
      </w:r>
      <w:r w:rsidRPr="005F4143">
        <w:rPr>
          <w:b/>
          <w:bCs/>
        </w:rPr>
        <w:t>otes</w:t>
      </w:r>
    </w:p>
    <w:p w14:paraId="306A8540" w14:textId="534DC54D" w:rsidR="002C6A7C" w:rsidRPr="005F4143" w:rsidRDefault="002C6A7C" w:rsidP="002C6A7C">
      <w:pPr>
        <w:pStyle w:val="Body"/>
      </w:pPr>
      <w:r w:rsidRPr="005F4143">
        <w:t>The different data sources used in these indicators each have various, complementary abilities to calculate the proportion of PLHIV prescribed medication. At present the mainstay of Victoria’s ability to report this indicator is the ACCESS clinical network. Because many people diagnosed in low caseload GP clinics that are not part of the ACCESS clinical network are referred to high caseload clinics for HIV care, the ACCESS clinical network represents a high proportion of people in care for HIV</w:t>
      </w:r>
      <w:r w:rsidR="00B60F4C" w:rsidRPr="005F4143">
        <w:t>. ACCESS is continuing to recruit new services that form part of the Victorian Sexual Health Network</w:t>
      </w:r>
      <w:r w:rsidR="0025625E" w:rsidRPr="005F4143">
        <w:t xml:space="preserve"> to improve representativeness across the state.</w:t>
      </w:r>
    </w:p>
    <w:p w14:paraId="0186C1A5" w14:textId="77777777" w:rsidR="002C6A7C" w:rsidRPr="005F4143" w:rsidRDefault="002C6A7C" w:rsidP="002C6A7C">
      <w:pPr>
        <w:pStyle w:val="Body"/>
      </w:pPr>
      <w:r w:rsidRPr="005F4143">
        <w:t>Although the ACCESS clinical network can identify when someone moves care to another clinic in the network, it cannot differentiate between people who have moved care to a non-ACCESS site and people who have dropped out of care.</w:t>
      </w:r>
    </w:p>
    <w:p w14:paraId="29BF7ECE" w14:textId="77777777" w:rsidR="002C6A7C" w:rsidRPr="005F4143" w:rsidRDefault="002C6A7C" w:rsidP="002C6A7C">
      <w:pPr>
        <w:pStyle w:val="Body"/>
      </w:pPr>
      <w:r w:rsidRPr="005F4143">
        <w:t>ACCESS continues to work to link its lab network to PBS data, which will provide another source of information on prescriptions issued to PLHIV that extends to people not in the clinical network.</w:t>
      </w:r>
    </w:p>
    <w:p w14:paraId="1E9C2856" w14:textId="674EF33D" w:rsidR="002C6A7C" w:rsidRPr="005F4143" w:rsidRDefault="002C6A7C" w:rsidP="002C6A7C">
      <w:pPr>
        <w:pStyle w:val="Body"/>
      </w:pPr>
      <w:r w:rsidRPr="005F4143">
        <w:t xml:space="preserve">Fast commencement on ART stops damage to the immune system and improves individual health as well as being a crucial step in minimising the time during which a person can transmit the virus. </w:t>
      </w:r>
      <w:r w:rsidR="009562A4" w:rsidRPr="005F4143">
        <w:t>Data from the ACCESS clinical network can provide estimates on the time from diagnosis to treatment initiation</w:t>
      </w:r>
      <w:r w:rsidR="000C6A39" w:rsidRPr="005F4143">
        <w:t>.</w:t>
      </w:r>
    </w:p>
    <w:p w14:paraId="5A358DF5" w14:textId="77777777" w:rsidR="00495FCD" w:rsidRPr="005F4143" w:rsidRDefault="00495FCD" w:rsidP="002C6A7C">
      <w:pPr>
        <w:pStyle w:val="Body"/>
      </w:pPr>
    </w:p>
    <w:p w14:paraId="62398734" w14:textId="63EFC6BA" w:rsidR="009261A0" w:rsidRPr="005F4143" w:rsidRDefault="009261A0" w:rsidP="002C6A7C">
      <w:pPr>
        <w:pStyle w:val="Body"/>
        <w:rPr>
          <w:b/>
          <w:bCs/>
        </w:rPr>
      </w:pPr>
      <w:r w:rsidRPr="005F4143">
        <w:rPr>
          <w:b/>
          <w:bCs/>
        </w:rPr>
        <w:t>Reporting against indicators</w:t>
      </w:r>
    </w:p>
    <w:p w14:paraId="5404CE4D" w14:textId="4D7F9223" w:rsidR="009261A0" w:rsidRPr="005F4143" w:rsidRDefault="004C7B1B" w:rsidP="009261A0">
      <w:pPr>
        <w:pStyle w:val="Tablecaption"/>
      </w:pPr>
      <w:r w:rsidRPr="005F4143">
        <w:lastRenderedPageBreak/>
        <w:fldChar w:fldCharType="begin"/>
      </w:r>
      <w:r w:rsidRPr="005F4143">
        <w:instrText>SEQ Table \* ARABIC</w:instrText>
      </w:r>
      <w:r w:rsidRPr="005F4143">
        <w:fldChar w:fldCharType="separate"/>
      </w:r>
      <w:bookmarkStart w:id="34" w:name="_Toc214457310"/>
      <w:r w:rsidR="00670632">
        <w:rPr>
          <w:noProof/>
        </w:rPr>
        <w:t>11</w:t>
      </w:r>
      <w:r w:rsidRPr="005F4143">
        <w:fldChar w:fldCharType="end"/>
      </w:r>
      <w:r w:rsidR="009261A0" w:rsidRPr="005F4143">
        <w:t xml:space="preserve">. </w:t>
      </w:r>
      <w:r w:rsidR="00B32513" w:rsidRPr="005F4143">
        <w:rPr>
          <w:bCs/>
        </w:rPr>
        <w:t>Proportion of people diagnosed with HIV who are prescribed ART</w:t>
      </w:r>
      <w:bookmarkEnd w:id="34"/>
    </w:p>
    <w:tbl>
      <w:tblPr>
        <w:tblStyle w:val="TableGrid"/>
        <w:tblW w:w="9776" w:type="dxa"/>
        <w:tblLook w:val="06A0" w:firstRow="1" w:lastRow="0" w:firstColumn="1" w:lastColumn="0" w:noHBand="1" w:noVBand="1"/>
      </w:tblPr>
      <w:tblGrid>
        <w:gridCol w:w="1419"/>
        <w:gridCol w:w="3233"/>
        <w:gridCol w:w="1439"/>
        <w:gridCol w:w="1701"/>
        <w:gridCol w:w="1984"/>
      </w:tblGrid>
      <w:tr w:rsidR="009261A0" w:rsidRPr="005F4143" w14:paraId="28496EE8" w14:textId="77777777">
        <w:trPr>
          <w:tblHeader/>
        </w:trPr>
        <w:tc>
          <w:tcPr>
            <w:tcW w:w="1419" w:type="dxa"/>
          </w:tcPr>
          <w:p w14:paraId="576B35D7" w14:textId="77777777" w:rsidR="009261A0" w:rsidRPr="005F4143" w:rsidRDefault="009261A0">
            <w:pPr>
              <w:pStyle w:val="Tablecolhead"/>
            </w:pPr>
            <w:r w:rsidRPr="005F4143">
              <w:t>Component</w:t>
            </w:r>
          </w:p>
        </w:tc>
        <w:tc>
          <w:tcPr>
            <w:tcW w:w="3233" w:type="dxa"/>
            <w:tcBorders>
              <w:bottom w:val="single" w:sz="4" w:space="0" w:color="auto"/>
            </w:tcBorders>
          </w:tcPr>
          <w:p w14:paraId="46FD5917" w14:textId="77777777" w:rsidR="009261A0" w:rsidRPr="005F4143" w:rsidRDefault="009261A0">
            <w:pPr>
              <w:pStyle w:val="Tablecolhead"/>
            </w:pPr>
            <w:r w:rsidRPr="005F4143">
              <w:t>Description</w:t>
            </w:r>
          </w:p>
        </w:tc>
        <w:tc>
          <w:tcPr>
            <w:tcW w:w="1439" w:type="dxa"/>
          </w:tcPr>
          <w:p w14:paraId="004F94FC" w14:textId="77777777" w:rsidR="009261A0" w:rsidRPr="005F4143" w:rsidRDefault="009261A0">
            <w:pPr>
              <w:pStyle w:val="Tablecolhead"/>
            </w:pPr>
            <w:r w:rsidRPr="005F4143">
              <w:t>Source</w:t>
            </w:r>
          </w:p>
        </w:tc>
        <w:tc>
          <w:tcPr>
            <w:tcW w:w="1701" w:type="dxa"/>
          </w:tcPr>
          <w:p w14:paraId="081341EB" w14:textId="77777777" w:rsidR="009261A0" w:rsidRPr="005F4143" w:rsidRDefault="009261A0">
            <w:pPr>
              <w:pStyle w:val="Tablecolhead"/>
            </w:pPr>
            <w:r w:rsidRPr="005F4143">
              <w:t>Custodian</w:t>
            </w:r>
          </w:p>
        </w:tc>
        <w:tc>
          <w:tcPr>
            <w:tcW w:w="1984" w:type="dxa"/>
          </w:tcPr>
          <w:p w14:paraId="65D49AF4" w14:textId="77777777" w:rsidR="009261A0" w:rsidRPr="005F4143" w:rsidRDefault="009261A0">
            <w:pPr>
              <w:pStyle w:val="Tablecolhead"/>
            </w:pPr>
            <w:r w:rsidRPr="005F4143">
              <w:t>Availability</w:t>
            </w:r>
          </w:p>
        </w:tc>
      </w:tr>
      <w:tr w:rsidR="005F65FD" w:rsidRPr="005F4143" w14:paraId="1DFC88EE" w14:textId="77777777">
        <w:tc>
          <w:tcPr>
            <w:tcW w:w="1419" w:type="dxa"/>
          </w:tcPr>
          <w:p w14:paraId="24307088" w14:textId="77777777" w:rsidR="005F65FD" w:rsidRPr="005F4143" w:rsidRDefault="005F65FD" w:rsidP="005F65FD">
            <w:pPr>
              <w:pStyle w:val="Tabletext"/>
            </w:pPr>
            <w:r w:rsidRPr="005F4143">
              <w:t>Numerator</w:t>
            </w:r>
          </w:p>
        </w:tc>
        <w:tc>
          <w:tcPr>
            <w:tcW w:w="3233" w:type="dxa"/>
          </w:tcPr>
          <w:p w14:paraId="7159D85C" w14:textId="5017A5EC" w:rsidR="005F65FD" w:rsidRPr="005F4143" w:rsidRDefault="005F65FD" w:rsidP="005F65FD">
            <w:pPr>
              <w:pStyle w:val="Tabletext"/>
            </w:pPr>
            <w:r w:rsidRPr="005F4143">
              <w:t>Number of Victorians in ACCESS clinical network diagnosed with HIV who are prescribed ART</w:t>
            </w:r>
          </w:p>
        </w:tc>
        <w:tc>
          <w:tcPr>
            <w:tcW w:w="1439" w:type="dxa"/>
          </w:tcPr>
          <w:p w14:paraId="1ECE4227" w14:textId="58896DE8" w:rsidR="005F65FD" w:rsidRPr="005F4143" w:rsidRDefault="00C31819" w:rsidP="005F65FD">
            <w:pPr>
              <w:pStyle w:val="Tablebullet2"/>
              <w:numPr>
                <w:ilvl w:val="0"/>
                <w:numId w:val="0"/>
              </w:numPr>
            </w:pPr>
            <w:r w:rsidRPr="005F4143">
              <w:t>ACCESS</w:t>
            </w:r>
          </w:p>
        </w:tc>
        <w:tc>
          <w:tcPr>
            <w:tcW w:w="1701" w:type="dxa"/>
          </w:tcPr>
          <w:p w14:paraId="69CC880A" w14:textId="4983AA69" w:rsidR="005F65FD" w:rsidRPr="005F4143" w:rsidRDefault="00C31819" w:rsidP="005F65FD">
            <w:pPr>
              <w:pStyle w:val="Tablebullet2"/>
              <w:numPr>
                <w:ilvl w:val="0"/>
                <w:numId w:val="0"/>
              </w:numPr>
            </w:pPr>
            <w:r w:rsidRPr="005F4143">
              <w:t>Burnet Institute</w:t>
            </w:r>
          </w:p>
        </w:tc>
        <w:tc>
          <w:tcPr>
            <w:tcW w:w="1984" w:type="dxa"/>
          </w:tcPr>
          <w:p w14:paraId="668BD879" w14:textId="77777777" w:rsidR="005F65FD" w:rsidRPr="005F4143" w:rsidRDefault="005F65FD" w:rsidP="005F65FD">
            <w:r w:rsidRPr="005F4143">
              <w:t>Annually</w:t>
            </w:r>
          </w:p>
        </w:tc>
      </w:tr>
      <w:tr w:rsidR="00C31819" w:rsidRPr="005F4143" w14:paraId="08B41301" w14:textId="77777777">
        <w:tc>
          <w:tcPr>
            <w:tcW w:w="1419" w:type="dxa"/>
          </w:tcPr>
          <w:p w14:paraId="7C1DC64F" w14:textId="77777777" w:rsidR="00C31819" w:rsidRPr="005F4143" w:rsidRDefault="00C31819" w:rsidP="00C31819">
            <w:pPr>
              <w:pStyle w:val="Tabletext"/>
            </w:pPr>
            <w:r w:rsidRPr="005F4143">
              <w:t>Denominator</w:t>
            </w:r>
          </w:p>
        </w:tc>
        <w:tc>
          <w:tcPr>
            <w:tcW w:w="3233" w:type="dxa"/>
          </w:tcPr>
          <w:p w14:paraId="1D4DB937" w14:textId="4A6549AF" w:rsidR="00C31819" w:rsidRPr="005F4143" w:rsidRDefault="00C31819" w:rsidP="00C31819">
            <w:pPr>
              <w:pStyle w:val="Tabletext"/>
            </w:pPr>
            <w:r w:rsidRPr="005F4143">
              <w:t>Number of Victorians in ACCESS clinical network diagnosed with HIV</w:t>
            </w:r>
          </w:p>
        </w:tc>
        <w:tc>
          <w:tcPr>
            <w:tcW w:w="1439" w:type="dxa"/>
          </w:tcPr>
          <w:p w14:paraId="49C737D7" w14:textId="0923BBAF" w:rsidR="00C31819" w:rsidRPr="005F4143" w:rsidRDefault="00C31819" w:rsidP="00C31819">
            <w:pPr>
              <w:pStyle w:val="Tablebullet2"/>
              <w:numPr>
                <w:ilvl w:val="0"/>
                <w:numId w:val="0"/>
              </w:numPr>
            </w:pPr>
            <w:r w:rsidRPr="005F4143">
              <w:t>ACCESS</w:t>
            </w:r>
          </w:p>
        </w:tc>
        <w:tc>
          <w:tcPr>
            <w:tcW w:w="1701" w:type="dxa"/>
          </w:tcPr>
          <w:p w14:paraId="7AB60A2B" w14:textId="556BEEA4" w:rsidR="00C31819" w:rsidRPr="005F4143" w:rsidRDefault="00C31819" w:rsidP="00C31819">
            <w:pPr>
              <w:pStyle w:val="Tablebullet2"/>
              <w:numPr>
                <w:ilvl w:val="0"/>
                <w:numId w:val="0"/>
              </w:numPr>
            </w:pPr>
            <w:r w:rsidRPr="005F4143">
              <w:t>Burnet Institute</w:t>
            </w:r>
          </w:p>
        </w:tc>
        <w:tc>
          <w:tcPr>
            <w:tcW w:w="1984" w:type="dxa"/>
          </w:tcPr>
          <w:p w14:paraId="34B1165F" w14:textId="580F74C6" w:rsidR="00C31819" w:rsidRPr="005F4143" w:rsidRDefault="00C31819" w:rsidP="00C31819">
            <w:pPr>
              <w:pStyle w:val="Tablebullet1"/>
              <w:numPr>
                <w:ilvl w:val="0"/>
                <w:numId w:val="0"/>
              </w:numPr>
              <w:ind w:left="227" w:hanging="227"/>
            </w:pPr>
            <w:r w:rsidRPr="005F4143">
              <w:t>Annually</w:t>
            </w:r>
          </w:p>
        </w:tc>
      </w:tr>
    </w:tbl>
    <w:p w14:paraId="7F49D4B1" w14:textId="77777777" w:rsidR="009261A0" w:rsidRPr="005F4143" w:rsidRDefault="009261A0" w:rsidP="009261A0">
      <w:pPr>
        <w:pStyle w:val="Body"/>
      </w:pPr>
    </w:p>
    <w:p w14:paraId="4E718781" w14:textId="7367FDF6" w:rsidR="009261A0" w:rsidRPr="005F4143" w:rsidRDefault="004C7B1B" w:rsidP="009261A0">
      <w:pPr>
        <w:pStyle w:val="Tablecaption"/>
      </w:pPr>
      <w:r w:rsidRPr="005F4143">
        <w:fldChar w:fldCharType="begin"/>
      </w:r>
      <w:r w:rsidRPr="005F4143">
        <w:instrText>SEQ Table \* ARABIC</w:instrText>
      </w:r>
      <w:r w:rsidRPr="005F4143">
        <w:fldChar w:fldCharType="separate"/>
      </w:r>
      <w:bookmarkStart w:id="35" w:name="_Toc214457311"/>
      <w:r w:rsidR="00670632">
        <w:rPr>
          <w:noProof/>
        </w:rPr>
        <w:t>12</w:t>
      </w:r>
      <w:r w:rsidRPr="005F4143">
        <w:fldChar w:fldCharType="end"/>
      </w:r>
      <w:r w:rsidR="009261A0" w:rsidRPr="005F4143">
        <w:t xml:space="preserve">. </w:t>
      </w:r>
      <w:r w:rsidR="00111679" w:rsidRPr="005F4143">
        <w:rPr>
          <w:spacing w:val="-1"/>
        </w:rPr>
        <w:t>Proportion of people diagnosed with HIV who are prescribed ART within 6 months of diagnosis</w:t>
      </w:r>
      <w:bookmarkEnd w:id="35"/>
    </w:p>
    <w:tbl>
      <w:tblPr>
        <w:tblStyle w:val="TableGrid"/>
        <w:tblW w:w="9776" w:type="dxa"/>
        <w:tblLook w:val="06A0" w:firstRow="1" w:lastRow="0" w:firstColumn="1" w:lastColumn="0" w:noHBand="1" w:noVBand="1"/>
      </w:tblPr>
      <w:tblGrid>
        <w:gridCol w:w="1419"/>
        <w:gridCol w:w="3121"/>
        <w:gridCol w:w="1617"/>
        <w:gridCol w:w="1674"/>
        <w:gridCol w:w="1945"/>
      </w:tblGrid>
      <w:tr w:rsidR="009261A0" w:rsidRPr="005F4143" w14:paraId="6A383C0D" w14:textId="6BDD9F4B">
        <w:trPr>
          <w:tblHeader/>
        </w:trPr>
        <w:tc>
          <w:tcPr>
            <w:tcW w:w="1419" w:type="dxa"/>
          </w:tcPr>
          <w:p w14:paraId="74684DC8" w14:textId="65BDA20B" w:rsidR="009261A0" w:rsidRPr="005F4143" w:rsidRDefault="009261A0">
            <w:pPr>
              <w:pStyle w:val="Tablecolhead"/>
            </w:pPr>
            <w:r w:rsidRPr="005F4143">
              <w:t>Component</w:t>
            </w:r>
          </w:p>
        </w:tc>
        <w:tc>
          <w:tcPr>
            <w:tcW w:w="3121" w:type="dxa"/>
            <w:tcBorders>
              <w:bottom w:val="single" w:sz="4" w:space="0" w:color="auto"/>
            </w:tcBorders>
          </w:tcPr>
          <w:p w14:paraId="607CDD67" w14:textId="57A0CEB7" w:rsidR="009261A0" w:rsidRPr="005F4143" w:rsidRDefault="009261A0">
            <w:pPr>
              <w:pStyle w:val="Tablecolhead"/>
            </w:pPr>
            <w:r w:rsidRPr="005F4143">
              <w:t>Description</w:t>
            </w:r>
          </w:p>
        </w:tc>
        <w:tc>
          <w:tcPr>
            <w:tcW w:w="1617" w:type="dxa"/>
          </w:tcPr>
          <w:p w14:paraId="31469A0D" w14:textId="2A11ABFD" w:rsidR="009261A0" w:rsidRPr="005F4143" w:rsidRDefault="009261A0">
            <w:pPr>
              <w:pStyle w:val="Tablecolhead"/>
            </w:pPr>
            <w:r w:rsidRPr="005F4143">
              <w:t>Source</w:t>
            </w:r>
          </w:p>
        </w:tc>
        <w:tc>
          <w:tcPr>
            <w:tcW w:w="1674" w:type="dxa"/>
          </w:tcPr>
          <w:p w14:paraId="7C90B232" w14:textId="2C37E21B" w:rsidR="009261A0" w:rsidRPr="005F4143" w:rsidRDefault="009261A0">
            <w:pPr>
              <w:pStyle w:val="Tablecolhead"/>
            </w:pPr>
            <w:r w:rsidRPr="005F4143">
              <w:t>Custodian</w:t>
            </w:r>
          </w:p>
        </w:tc>
        <w:tc>
          <w:tcPr>
            <w:tcW w:w="1945" w:type="dxa"/>
          </w:tcPr>
          <w:p w14:paraId="56112152" w14:textId="091E5633" w:rsidR="009261A0" w:rsidRPr="005F4143" w:rsidRDefault="009261A0">
            <w:pPr>
              <w:pStyle w:val="Tablecolhead"/>
            </w:pPr>
            <w:r w:rsidRPr="005F4143">
              <w:t>Availability</w:t>
            </w:r>
          </w:p>
        </w:tc>
      </w:tr>
      <w:tr w:rsidR="009261A0" w:rsidRPr="005F4143" w14:paraId="5D20C080" w14:textId="0B62911E">
        <w:tc>
          <w:tcPr>
            <w:tcW w:w="1419" w:type="dxa"/>
          </w:tcPr>
          <w:p w14:paraId="0A64A2D5" w14:textId="78685B3F" w:rsidR="009261A0" w:rsidRPr="005F4143" w:rsidRDefault="009261A0">
            <w:pPr>
              <w:pStyle w:val="Tabletext"/>
            </w:pPr>
            <w:r w:rsidRPr="005F4143">
              <w:t>Numerator</w:t>
            </w:r>
          </w:p>
        </w:tc>
        <w:tc>
          <w:tcPr>
            <w:tcW w:w="3121" w:type="dxa"/>
          </w:tcPr>
          <w:p w14:paraId="51C76C44" w14:textId="00B81405" w:rsidR="009261A0" w:rsidRPr="005F4143" w:rsidRDefault="00BC674B">
            <w:pPr>
              <w:pStyle w:val="Tabletext"/>
            </w:pPr>
            <w:r w:rsidRPr="005F4143">
              <w:t>Number of Victorians diagnosed with HIV who have started ART within 6</w:t>
            </w:r>
            <w:r w:rsidR="00B01F96" w:rsidRPr="005F4143">
              <w:t xml:space="preserve"> </w:t>
            </w:r>
            <w:r w:rsidRPr="005F4143">
              <w:t>months of diagnosis</w:t>
            </w:r>
          </w:p>
        </w:tc>
        <w:tc>
          <w:tcPr>
            <w:tcW w:w="1617" w:type="dxa"/>
          </w:tcPr>
          <w:p w14:paraId="6A9150F4" w14:textId="50BA7108" w:rsidR="009261A0" w:rsidRPr="005F4143" w:rsidRDefault="004D695E">
            <w:pPr>
              <w:pStyle w:val="Tablebullet2"/>
              <w:numPr>
                <w:ilvl w:val="0"/>
                <w:numId w:val="0"/>
              </w:numPr>
            </w:pPr>
            <w:r w:rsidRPr="005F4143">
              <w:t>PHESS</w:t>
            </w:r>
          </w:p>
        </w:tc>
        <w:tc>
          <w:tcPr>
            <w:tcW w:w="1674" w:type="dxa"/>
          </w:tcPr>
          <w:p w14:paraId="63DBA231" w14:textId="5CFC6906" w:rsidR="009261A0" w:rsidRPr="005F4143" w:rsidRDefault="004D695E">
            <w:pPr>
              <w:pStyle w:val="Tablebullet2"/>
              <w:numPr>
                <w:ilvl w:val="0"/>
                <w:numId w:val="0"/>
              </w:numPr>
            </w:pPr>
            <w:r w:rsidRPr="005F4143">
              <w:t>DH</w:t>
            </w:r>
          </w:p>
        </w:tc>
        <w:tc>
          <w:tcPr>
            <w:tcW w:w="1945" w:type="dxa"/>
          </w:tcPr>
          <w:p w14:paraId="7BEA0DCF" w14:textId="2CD53BC4" w:rsidR="009261A0" w:rsidRPr="005F4143" w:rsidRDefault="004D695E">
            <w:pPr>
              <w:pStyle w:val="Tablebullet1"/>
              <w:numPr>
                <w:ilvl w:val="0"/>
                <w:numId w:val="0"/>
              </w:numPr>
              <w:ind w:left="227" w:hanging="227"/>
            </w:pPr>
            <w:r w:rsidRPr="005F4143">
              <w:t>Not yet available</w:t>
            </w:r>
          </w:p>
        </w:tc>
      </w:tr>
      <w:tr w:rsidR="00874969" w:rsidRPr="005F4143" w14:paraId="1CE7978A" w14:textId="05838ADC">
        <w:tc>
          <w:tcPr>
            <w:tcW w:w="1419" w:type="dxa"/>
          </w:tcPr>
          <w:p w14:paraId="4C85C38B" w14:textId="636509F7" w:rsidR="00874969" w:rsidRPr="005F4143" w:rsidRDefault="00874969" w:rsidP="00874969">
            <w:pPr>
              <w:pStyle w:val="Tabletext"/>
            </w:pPr>
            <w:r w:rsidRPr="005F4143">
              <w:t>Denominator</w:t>
            </w:r>
          </w:p>
        </w:tc>
        <w:tc>
          <w:tcPr>
            <w:tcW w:w="3121" w:type="dxa"/>
          </w:tcPr>
          <w:p w14:paraId="42AB8B8E" w14:textId="401A7DC4" w:rsidR="00874969" w:rsidRPr="005F4143" w:rsidRDefault="00874969" w:rsidP="00874969">
            <w:pPr>
              <w:pStyle w:val="Tabletext"/>
            </w:pPr>
            <w:r w:rsidRPr="005F4143">
              <w:t>Number of Victorians diagnosed with HIV</w:t>
            </w:r>
          </w:p>
        </w:tc>
        <w:tc>
          <w:tcPr>
            <w:tcW w:w="1617" w:type="dxa"/>
          </w:tcPr>
          <w:p w14:paraId="4A159B2E" w14:textId="63E7B20E" w:rsidR="00874969" w:rsidRPr="005F4143" w:rsidRDefault="00874969" w:rsidP="00874969">
            <w:pPr>
              <w:pStyle w:val="Tabletext"/>
            </w:pPr>
            <w:r w:rsidRPr="005F4143">
              <w:t>PHESS</w:t>
            </w:r>
          </w:p>
        </w:tc>
        <w:tc>
          <w:tcPr>
            <w:tcW w:w="1674" w:type="dxa"/>
          </w:tcPr>
          <w:p w14:paraId="39EF1053" w14:textId="76A80D34" w:rsidR="00874969" w:rsidRPr="005F4143" w:rsidRDefault="00874969" w:rsidP="00874969">
            <w:pPr>
              <w:pStyle w:val="Tabletext"/>
            </w:pPr>
            <w:r w:rsidRPr="005F4143">
              <w:t>DH</w:t>
            </w:r>
          </w:p>
        </w:tc>
        <w:tc>
          <w:tcPr>
            <w:tcW w:w="1945" w:type="dxa"/>
          </w:tcPr>
          <w:p w14:paraId="2352071D" w14:textId="75C44477" w:rsidR="00874969" w:rsidRPr="005F4143" w:rsidRDefault="00874969" w:rsidP="00874969">
            <w:pPr>
              <w:pStyle w:val="Tabletext"/>
            </w:pPr>
            <w:r w:rsidRPr="005F4143">
              <w:t>Annually</w:t>
            </w:r>
          </w:p>
        </w:tc>
      </w:tr>
    </w:tbl>
    <w:p w14:paraId="0FAC22AD" w14:textId="2272D6B1" w:rsidR="008B5EA1" w:rsidRPr="005F4143" w:rsidRDefault="008B5EA1" w:rsidP="008B5EA1">
      <w:pPr>
        <w:pStyle w:val="Body"/>
      </w:pPr>
    </w:p>
    <w:p w14:paraId="5A9D90DA" w14:textId="02383C74" w:rsidR="00514905" w:rsidRPr="005F4143" w:rsidRDefault="0014647C" w:rsidP="00514905">
      <w:pPr>
        <w:pStyle w:val="Heading4"/>
      </w:pPr>
      <w:bookmarkStart w:id="36" w:name="_Toc214457280"/>
      <w:r w:rsidRPr="005F4143">
        <w:t xml:space="preserve">Group </w:t>
      </w:r>
      <w:r w:rsidR="00514905" w:rsidRPr="005F4143">
        <w:t xml:space="preserve">2: </w:t>
      </w:r>
      <w:r w:rsidR="004C429F" w:rsidRPr="005F4143">
        <w:t>Achieve and maintain high levels of viral suppression</w:t>
      </w:r>
      <w:bookmarkEnd w:id="36"/>
    </w:p>
    <w:p w14:paraId="09E8690C" w14:textId="77777777" w:rsidR="001E1986" w:rsidRPr="005F4143" w:rsidRDefault="001E1986" w:rsidP="001E1986">
      <w:pPr>
        <w:pStyle w:val="Body"/>
      </w:pPr>
      <w:r w:rsidRPr="005F4143">
        <w:rPr>
          <w:b/>
          <w:bCs/>
          <w:u w:val="single"/>
        </w:rPr>
        <w:t>Targets for 2025:</w:t>
      </w:r>
    </w:p>
    <w:p w14:paraId="3412B0AD" w14:textId="2447128B" w:rsidR="001E1986" w:rsidRPr="005F4143" w:rsidRDefault="00793FD0" w:rsidP="006F505E">
      <w:pPr>
        <w:pStyle w:val="Body"/>
        <w:numPr>
          <w:ilvl w:val="1"/>
          <w:numId w:val="9"/>
        </w:numPr>
      </w:pPr>
      <w:r w:rsidRPr="005F4143">
        <w:t>The proportion of all people living with HIV on treatment with an undetectable viral load will be 98%</w:t>
      </w:r>
    </w:p>
    <w:p w14:paraId="4C10A2FB" w14:textId="77777777" w:rsidR="001E1986" w:rsidRPr="005F4143" w:rsidRDefault="001E1986" w:rsidP="001E1986">
      <w:pPr>
        <w:pStyle w:val="Body"/>
        <w:rPr>
          <w:b/>
          <w:bCs/>
          <w:u w:val="single"/>
        </w:rPr>
      </w:pPr>
      <w:r w:rsidRPr="005F4143">
        <w:rPr>
          <w:b/>
          <w:bCs/>
          <w:u w:val="single"/>
        </w:rPr>
        <w:t>Indicators:</w:t>
      </w:r>
    </w:p>
    <w:p w14:paraId="1823AD63" w14:textId="5A56A1BB" w:rsidR="00583F49" w:rsidRPr="005F4143" w:rsidRDefault="00583F49" w:rsidP="006F505E">
      <w:pPr>
        <w:pStyle w:val="Body"/>
        <w:numPr>
          <w:ilvl w:val="1"/>
          <w:numId w:val="9"/>
        </w:numPr>
      </w:pPr>
      <w:r w:rsidRPr="005F4143">
        <w:t>Proportion of PLHIV prescribed ART with viral load &lt;</w:t>
      </w:r>
      <w:r w:rsidR="00BE1ABE" w:rsidRPr="005F4143">
        <w:t>2</w:t>
      </w:r>
      <w:r w:rsidRPr="005F4143">
        <w:t>00copies/mL</w:t>
      </w:r>
    </w:p>
    <w:p w14:paraId="7D919486" w14:textId="6E906A0F" w:rsidR="00D35DB7" w:rsidRPr="005F4143" w:rsidRDefault="00D35DB7" w:rsidP="006F505E">
      <w:pPr>
        <w:pStyle w:val="Body"/>
        <w:numPr>
          <w:ilvl w:val="1"/>
          <w:numId w:val="9"/>
        </w:numPr>
      </w:pPr>
      <w:r w:rsidRPr="005F4143">
        <w:t>Proportion of PLHIV prescribed ART with viral load &lt;</w:t>
      </w:r>
      <w:r w:rsidR="00BE1ABE" w:rsidRPr="005F4143">
        <w:t>5</w:t>
      </w:r>
      <w:r w:rsidRPr="005F4143">
        <w:t>0copies/mL</w:t>
      </w:r>
    </w:p>
    <w:p w14:paraId="650276CF" w14:textId="0D6F6C73" w:rsidR="001E1986" w:rsidRPr="005F4143" w:rsidRDefault="001E1986" w:rsidP="001E1986">
      <w:pPr>
        <w:pStyle w:val="Body"/>
      </w:pPr>
      <w:r w:rsidRPr="005F4143">
        <w:rPr>
          <w:b/>
          <w:bCs/>
        </w:rPr>
        <w:t xml:space="preserve">Indicator </w:t>
      </w:r>
      <w:r w:rsidR="000E78AE" w:rsidRPr="005F4143">
        <w:rPr>
          <w:b/>
          <w:bCs/>
        </w:rPr>
        <w:t>n</w:t>
      </w:r>
      <w:r w:rsidRPr="005F4143">
        <w:rPr>
          <w:b/>
          <w:bCs/>
        </w:rPr>
        <w:t>otes</w:t>
      </w:r>
    </w:p>
    <w:p w14:paraId="2AAF499A" w14:textId="77777777" w:rsidR="00187D0B" w:rsidRDefault="008C0F28" w:rsidP="008C0F28">
      <w:pPr>
        <w:pStyle w:val="Body"/>
      </w:pPr>
      <w:r w:rsidRPr="005F4143">
        <w:t xml:space="preserve">When ART is used to reduce HIV viral load to undetectable levels, not only is disease progression stopped and individual health improved, but transmission is effectively eliminated. Successful treatment of HIV therefore is essential for both individual and public health. “Undetectable” viral load means that so little HIV </w:t>
      </w:r>
      <w:r w:rsidR="00E306BA" w:rsidRPr="005F4143">
        <w:t xml:space="preserve">is </w:t>
      </w:r>
      <w:r w:rsidRPr="005F4143">
        <w:t xml:space="preserve">present in the sample that the lab </w:t>
      </w:r>
      <w:r w:rsidR="00271190" w:rsidRPr="005F4143">
        <w:t>cannot</w:t>
      </w:r>
      <w:r w:rsidRPr="005F4143">
        <w:t xml:space="preserve"> detect it; it is dependent on both the viral load and the lab test. As tests evolve, detection is possible at lower levels. </w:t>
      </w:r>
      <w:r w:rsidR="00A445A8" w:rsidRPr="005F4143">
        <w:t xml:space="preserve">Reporting of viral suppression at the globally accepted threshold for prevention at &lt;200 copies/mL will be reported. Proportion with viral loads &lt;50 copies/mL </w:t>
      </w:r>
      <w:r w:rsidR="00FE16B3" w:rsidRPr="005F4143">
        <w:t>as a reflection of clinical benefit to the individuals.</w:t>
      </w:r>
    </w:p>
    <w:p w14:paraId="736A8FE2" w14:textId="0569109F" w:rsidR="008C0F28" w:rsidRPr="005F4143" w:rsidRDefault="008C0F28" w:rsidP="008C0F28">
      <w:pPr>
        <w:pStyle w:val="Body"/>
        <w:rPr>
          <w:b/>
          <w:bCs/>
        </w:rPr>
      </w:pPr>
      <w:r w:rsidRPr="005F4143">
        <w:rPr>
          <w:b/>
          <w:bCs/>
        </w:rPr>
        <w:t>Reporting against indicators</w:t>
      </w:r>
    </w:p>
    <w:p w14:paraId="67CCCAE4" w14:textId="77777777" w:rsidR="00FE16B3" w:rsidRPr="005F4143" w:rsidRDefault="00FE16B3" w:rsidP="00C15D1E">
      <w:pPr>
        <w:pStyle w:val="Tablecaption"/>
      </w:pPr>
    </w:p>
    <w:p w14:paraId="7A5A2DD8" w14:textId="41388467" w:rsidR="00C15D1E" w:rsidRPr="005F4143" w:rsidRDefault="004C7B1B" w:rsidP="00C15D1E">
      <w:pPr>
        <w:pStyle w:val="Tablecaption"/>
      </w:pPr>
      <w:r w:rsidRPr="005F4143">
        <w:fldChar w:fldCharType="begin"/>
      </w:r>
      <w:r w:rsidRPr="005F4143">
        <w:instrText>SEQ Table \* ARABIC</w:instrText>
      </w:r>
      <w:r w:rsidRPr="005F4143">
        <w:fldChar w:fldCharType="separate"/>
      </w:r>
      <w:bookmarkStart w:id="37" w:name="_Toc214457312"/>
      <w:r w:rsidR="00670632">
        <w:rPr>
          <w:noProof/>
        </w:rPr>
        <w:t>13</w:t>
      </w:r>
      <w:r w:rsidRPr="005F4143">
        <w:fldChar w:fldCharType="end"/>
      </w:r>
      <w:r w:rsidR="00C15D1E" w:rsidRPr="005F4143">
        <w:t xml:space="preserve">. </w:t>
      </w:r>
      <w:r w:rsidR="00C15D1E" w:rsidRPr="005F4143">
        <w:rPr>
          <w:bCs/>
        </w:rPr>
        <w:t>Proportion of PLHIV with viral load of &lt;</w:t>
      </w:r>
      <w:r w:rsidR="00BE1ABE" w:rsidRPr="005F4143">
        <w:rPr>
          <w:bCs/>
        </w:rPr>
        <w:t>2</w:t>
      </w:r>
      <w:r w:rsidR="00C15D1E" w:rsidRPr="005F4143">
        <w:rPr>
          <w:bCs/>
        </w:rPr>
        <w:t>00copies/mL</w:t>
      </w:r>
      <w:bookmarkEnd w:id="37"/>
    </w:p>
    <w:tbl>
      <w:tblPr>
        <w:tblStyle w:val="TableGrid"/>
        <w:tblW w:w="9776" w:type="dxa"/>
        <w:tblLook w:val="06A0" w:firstRow="1" w:lastRow="0" w:firstColumn="1" w:lastColumn="0" w:noHBand="1" w:noVBand="1"/>
      </w:tblPr>
      <w:tblGrid>
        <w:gridCol w:w="1419"/>
        <w:gridCol w:w="3233"/>
        <w:gridCol w:w="1439"/>
        <w:gridCol w:w="1701"/>
        <w:gridCol w:w="1984"/>
      </w:tblGrid>
      <w:tr w:rsidR="00C15D1E" w:rsidRPr="005F4143" w14:paraId="73B5F5BF" w14:textId="77777777">
        <w:trPr>
          <w:tblHeader/>
        </w:trPr>
        <w:tc>
          <w:tcPr>
            <w:tcW w:w="1419" w:type="dxa"/>
          </w:tcPr>
          <w:p w14:paraId="709DA71C" w14:textId="77777777" w:rsidR="00C15D1E" w:rsidRPr="005F4143" w:rsidRDefault="00C15D1E">
            <w:pPr>
              <w:pStyle w:val="Tablecolhead"/>
            </w:pPr>
            <w:r w:rsidRPr="005F4143">
              <w:t>Component</w:t>
            </w:r>
          </w:p>
        </w:tc>
        <w:tc>
          <w:tcPr>
            <w:tcW w:w="3233" w:type="dxa"/>
            <w:tcBorders>
              <w:bottom w:val="single" w:sz="4" w:space="0" w:color="auto"/>
            </w:tcBorders>
          </w:tcPr>
          <w:p w14:paraId="6B20CFE3" w14:textId="77777777" w:rsidR="00C15D1E" w:rsidRPr="005F4143" w:rsidRDefault="00C15D1E">
            <w:pPr>
              <w:pStyle w:val="Tablecolhead"/>
            </w:pPr>
            <w:r w:rsidRPr="005F4143">
              <w:t>Description</w:t>
            </w:r>
          </w:p>
        </w:tc>
        <w:tc>
          <w:tcPr>
            <w:tcW w:w="1439" w:type="dxa"/>
          </w:tcPr>
          <w:p w14:paraId="64D414E6" w14:textId="77777777" w:rsidR="00C15D1E" w:rsidRPr="005F4143" w:rsidRDefault="00C15D1E">
            <w:pPr>
              <w:pStyle w:val="Tablecolhead"/>
            </w:pPr>
            <w:r w:rsidRPr="005F4143">
              <w:t>Source</w:t>
            </w:r>
          </w:p>
        </w:tc>
        <w:tc>
          <w:tcPr>
            <w:tcW w:w="1701" w:type="dxa"/>
          </w:tcPr>
          <w:p w14:paraId="3732A8E0" w14:textId="77777777" w:rsidR="00C15D1E" w:rsidRPr="005F4143" w:rsidRDefault="00C15D1E">
            <w:pPr>
              <w:pStyle w:val="Tablecolhead"/>
            </w:pPr>
            <w:r w:rsidRPr="005F4143">
              <w:t>Custodian</w:t>
            </w:r>
          </w:p>
        </w:tc>
        <w:tc>
          <w:tcPr>
            <w:tcW w:w="1984" w:type="dxa"/>
          </w:tcPr>
          <w:p w14:paraId="2D8573BD" w14:textId="77777777" w:rsidR="00C15D1E" w:rsidRPr="005F4143" w:rsidRDefault="00C15D1E">
            <w:pPr>
              <w:pStyle w:val="Tablecolhead"/>
            </w:pPr>
            <w:r w:rsidRPr="005F4143">
              <w:t>Availability</w:t>
            </w:r>
          </w:p>
        </w:tc>
      </w:tr>
      <w:tr w:rsidR="00C15D1E" w:rsidRPr="005F4143" w14:paraId="3C5E5461" w14:textId="77777777">
        <w:tc>
          <w:tcPr>
            <w:tcW w:w="1419" w:type="dxa"/>
          </w:tcPr>
          <w:p w14:paraId="26A1834B" w14:textId="77777777" w:rsidR="00C15D1E" w:rsidRPr="005F4143" w:rsidRDefault="00C15D1E">
            <w:pPr>
              <w:pStyle w:val="Tabletext"/>
            </w:pPr>
            <w:r w:rsidRPr="005F4143">
              <w:t>Numerator</w:t>
            </w:r>
          </w:p>
        </w:tc>
        <w:tc>
          <w:tcPr>
            <w:tcW w:w="3233" w:type="dxa"/>
          </w:tcPr>
          <w:p w14:paraId="1D36A519" w14:textId="2C5D5937" w:rsidR="00C15D1E" w:rsidRPr="005F4143" w:rsidRDefault="00C15D1E">
            <w:pPr>
              <w:pStyle w:val="Tabletext"/>
            </w:pPr>
            <w:r w:rsidRPr="005F4143">
              <w:t>Number of Victorians diagnosed with HIV in ACCESS clinical network prescribed ART whose last viral load (taken within 12 months of analysis) was &lt;</w:t>
            </w:r>
            <w:r w:rsidR="00BE1ABE" w:rsidRPr="005F4143">
              <w:t>2</w:t>
            </w:r>
            <w:r w:rsidRPr="005F4143">
              <w:t>00copies/mL</w:t>
            </w:r>
          </w:p>
        </w:tc>
        <w:tc>
          <w:tcPr>
            <w:tcW w:w="1439" w:type="dxa"/>
          </w:tcPr>
          <w:p w14:paraId="5468632F" w14:textId="77777777" w:rsidR="00C15D1E" w:rsidRPr="005F4143" w:rsidRDefault="00C15D1E">
            <w:pPr>
              <w:pStyle w:val="Tablebullet2"/>
              <w:numPr>
                <w:ilvl w:val="0"/>
                <w:numId w:val="0"/>
              </w:numPr>
            </w:pPr>
            <w:r w:rsidRPr="005F4143">
              <w:t>ACCESS</w:t>
            </w:r>
          </w:p>
        </w:tc>
        <w:tc>
          <w:tcPr>
            <w:tcW w:w="1701" w:type="dxa"/>
          </w:tcPr>
          <w:p w14:paraId="43B1D745" w14:textId="77777777" w:rsidR="00C15D1E" w:rsidRPr="005F4143" w:rsidRDefault="00C15D1E">
            <w:pPr>
              <w:pStyle w:val="Tablebullet2"/>
              <w:numPr>
                <w:ilvl w:val="0"/>
                <w:numId w:val="0"/>
              </w:numPr>
            </w:pPr>
            <w:r w:rsidRPr="005F4143">
              <w:t>Burnet Institute</w:t>
            </w:r>
          </w:p>
        </w:tc>
        <w:tc>
          <w:tcPr>
            <w:tcW w:w="1984" w:type="dxa"/>
          </w:tcPr>
          <w:p w14:paraId="189C39B3" w14:textId="77777777" w:rsidR="00C15D1E" w:rsidRPr="005F4143" w:rsidRDefault="00C15D1E">
            <w:r w:rsidRPr="005F4143">
              <w:t>Annually</w:t>
            </w:r>
          </w:p>
        </w:tc>
      </w:tr>
      <w:tr w:rsidR="00C15D1E" w:rsidRPr="005F4143" w14:paraId="764DE69F" w14:textId="77777777">
        <w:tc>
          <w:tcPr>
            <w:tcW w:w="1419" w:type="dxa"/>
          </w:tcPr>
          <w:p w14:paraId="09D7EA9A" w14:textId="77777777" w:rsidR="00C15D1E" w:rsidRPr="005F4143" w:rsidRDefault="00C15D1E">
            <w:pPr>
              <w:pStyle w:val="Tabletext"/>
            </w:pPr>
            <w:r w:rsidRPr="005F4143">
              <w:t>Denominator</w:t>
            </w:r>
          </w:p>
        </w:tc>
        <w:tc>
          <w:tcPr>
            <w:tcW w:w="3233" w:type="dxa"/>
          </w:tcPr>
          <w:p w14:paraId="3B4FD5DC" w14:textId="77777777" w:rsidR="00C15D1E" w:rsidRPr="005F4143" w:rsidRDefault="00C15D1E">
            <w:pPr>
              <w:pStyle w:val="Tabletext"/>
            </w:pPr>
            <w:r w:rsidRPr="005F4143">
              <w:t>Number of Victorians diagnosed with HIV in ACCESS clinical network prescribed ART</w:t>
            </w:r>
          </w:p>
        </w:tc>
        <w:tc>
          <w:tcPr>
            <w:tcW w:w="1439" w:type="dxa"/>
          </w:tcPr>
          <w:p w14:paraId="00CC3071" w14:textId="77777777" w:rsidR="00C15D1E" w:rsidRPr="005F4143" w:rsidRDefault="00C15D1E">
            <w:pPr>
              <w:pStyle w:val="Tablebullet2"/>
              <w:numPr>
                <w:ilvl w:val="0"/>
                <w:numId w:val="0"/>
              </w:numPr>
            </w:pPr>
            <w:r w:rsidRPr="005F4143">
              <w:t>ACCESS</w:t>
            </w:r>
          </w:p>
        </w:tc>
        <w:tc>
          <w:tcPr>
            <w:tcW w:w="1701" w:type="dxa"/>
          </w:tcPr>
          <w:p w14:paraId="346B1886" w14:textId="77777777" w:rsidR="00C15D1E" w:rsidRPr="005F4143" w:rsidRDefault="00C15D1E">
            <w:pPr>
              <w:pStyle w:val="Tablebullet2"/>
              <w:numPr>
                <w:ilvl w:val="0"/>
                <w:numId w:val="0"/>
              </w:numPr>
            </w:pPr>
            <w:r w:rsidRPr="005F4143">
              <w:t>Burnet Institute</w:t>
            </w:r>
          </w:p>
        </w:tc>
        <w:tc>
          <w:tcPr>
            <w:tcW w:w="1984" w:type="dxa"/>
          </w:tcPr>
          <w:p w14:paraId="0B988C60" w14:textId="77777777" w:rsidR="00C15D1E" w:rsidRPr="005F4143" w:rsidRDefault="00C15D1E">
            <w:pPr>
              <w:pStyle w:val="Tablebullet1"/>
              <w:numPr>
                <w:ilvl w:val="0"/>
                <w:numId w:val="0"/>
              </w:numPr>
              <w:ind w:left="227" w:hanging="227"/>
            </w:pPr>
            <w:r w:rsidRPr="005F4143">
              <w:t>Annually</w:t>
            </w:r>
          </w:p>
        </w:tc>
      </w:tr>
    </w:tbl>
    <w:p w14:paraId="0FEFB75D" w14:textId="77777777" w:rsidR="00C15D1E" w:rsidRPr="005F4143" w:rsidRDefault="00C15D1E" w:rsidP="008C0F28">
      <w:pPr>
        <w:pStyle w:val="Body"/>
        <w:rPr>
          <w:b/>
          <w:bCs/>
        </w:rPr>
      </w:pPr>
    </w:p>
    <w:p w14:paraId="5A1EBB59" w14:textId="543C995C" w:rsidR="008C0F28" w:rsidRPr="005F4143" w:rsidRDefault="004C7B1B" w:rsidP="008C0F28">
      <w:pPr>
        <w:pStyle w:val="Tablecaption"/>
      </w:pPr>
      <w:r w:rsidRPr="005F4143">
        <w:fldChar w:fldCharType="begin"/>
      </w:r>
      <w:r w:rsidRPr="005F4143">
        <w:instrText>SEQ Table \* ARABIC</w:instrText>
      </w:r>
      <w:r w:rsidRPr="005F4143">
        <w:fldChar w:fldCharType="separate"/>
      </w:r>
      <w:bookmarkStart w:id="38" w:name="_Toc214457313"/>
      <w:r w:rsidR="00670632">
        <w:rPr>
          <w:noProof/>
        </w:rPr>
        <w:t>14</w:t>
      </w:r>
      <w:r w:rsidRPr="005F4143">
        <w:fldChar w:fldCharType="end"/>
      </w:r>
      <w:r w:rsidR="008C0F28" w:rsidRPr="005F4143">
        <w:t xml:space="preserve">. </w:t>
      </w:r>
      <w:r w:rsidR="00040B75" w:rsidRPr="005F4143">
        <w:rPr>
          <w:bCs/>
        </w:rPr>
        <w:t xml:space="preserve">Proportion of </w:t>
      </w:r>
      <w:r w:rsidR="000D63B6" w:rsidRPr="005F4143">
        <w:rPr>
          <w:bCs/>
        </w:rPr>
        <w:t>PLHIV</w:t>
      </w:r>
      <w:r w:rsidR="00040B75" w:rsidRPr="005F4143">
        <w:rPr>
          <w:bCs/>
        </w:rPr>
        <w:t xml:space="preserve"> with viral load </w:t>
      </w:r>
      <w:r w:rsidR="00725737" w:rsidRPr="005F4143">
        <w:rPr>
          <w:bCs/>
        </w:rPr>
        <w:t xml:space="preserve">of </w:t>
      </w:r>
      <w:r w:rsidR="00040B75" w:rsidRPr="005F4143">
        <w:rPr>
          <w:bCs/>
        </w:rPr>
        <w:t>&lt;</w:t>
      </w:r>
      <w:r w:rsidR="00BE1ABE" w:rsidRPr="005F4143">
        <w:rPr>
          <w:bCs/>
        </w:rPr>
        <w:t>5</w:t>
      </w:r>
      <w:r w:rsidR="00040B75" w:rsidRPr="005F4143">
        <w:rPr>
          <w:bCs/>
        </w:rPr>
        <w:t>0copies/mL</w:t>
      </w:r>
      <w:bookmarkEnd w:id="38"/>
    </w:p>
    <w:tbl>
      <w:tblPr>
        <w:tblStyle w:val="TableGrid"/>
        <w:tblW w:w="9776" w:type="dxa"/>
        <w:tblLook w:val="06A0" w:firstRow="1" w:lastRow="0" w:firstColumn="1" w:lastColumn="0" w:noHBand="1" w:noVBand="1"/>
      </w:tblPr>
      <w:tblGrid>
        <w:gridCol w:w="1419"/>
        <w:gridCol w:w="3233"/>
        <w:gridCol w:w="1439"/>
        <w:gridCol w:w="1701"/>
        <w:gridCol w:w="1984"/>
      </w:tblGrid>
      <w:tr w:rsidR="008C0F28" w:rsidRPr="005F4143" w14:paraId="1A77716C" w14:textId="77777777">
        <w:trPr>
          <w:tblHeader/>
        </w:trPr>
        <w:tc>
          <w:tcPr>
            <w:tcW w:w="1419" w:type="dxa"/>
          </w:tcPr>
          <w:p w14:paraId="6806350C" w14:textId="77777777" w:rsidR="008C0F28" w:rsidRPr="005F4143" w:rsidRDefault="008C0F28">
            <w:pPr>
              <w:pStyle w:val="Tablecolhead"/>
            </w:pPr>
            <w:r w:rsidRPr="005F4143">
              <w:t>Component</w:t>
            </w:r>
          </w:p>
        </w:tc>
        <w:tc>
          <w:tcPr>
            <w:tcW w:w="3233" w:type="dxa"/>
            <w:tcBorders>
              <w:bottom w:val="single" w:sz="4" w:space="0" w:color="auto"/>
            </w:tcBorders>
          </w:tcPr>
          <w:p w14:paraId="512E06E4" w14:textId="77777777" w:rsidR="008C0F28" w:rsidRPr="005F4143" w:rsidRDefault="008C0F28">
            <w:pPr>
              <w:pStyle w:val="Tablecolhead"/>
            </w:pPr>
            <w:r w:rsidRPr="005F4143">
              <w:t>Description</w:t>
            </w:r>
          </w:p>
        </w:tc>
        <w:tc>
          <w:tcPr>
            <w:tcW w:w="1439" w:type="dxa"/>
          </w:tcPr>
          <w:p w14:paraId="6DCB4A7E" w14:textId="77777777" w:rsidR="008C0F28" w:rsidRPr="005F4143" w:rsidRDefault="008C0F28">
            <w:pPr>
              <w:pStyle w:val="Tablecolhead"/>
            </w:pPr>
            <w:r w:rsidRPr="005F4143">
              <w:t>Source</w:t>
            </w:r>
          </w:p>
        </w:tc>
        <w:tc>
          <w:tcPr>
            <w:tcW w:w="1701" w:type="dxa"/>
          </w:tcPr>
          <w:p w14:paraId="2AF5B2AB" w14:textId="77777777" w:rsidR="008C0F28" w:rsidRPr="005F4143" w:rsidRDefault="008C0F28">
            <w:pPr>
              <w:pStyle w:val="Tablecolhead"/>
            </w:pPr>
            <w:r w:rsidRPr="005F4143">
              <w:t>Custodian</w:t>
            </w:r>
          </w:p>
        </w:tc>
        <w:tc>
          <w:tcPr>
            <w:tcW w:w="1984" w:type="dxa"/>
          </w:tcPr>
          <w:p w14:paraId="2ED41D5E" w14:textId="77777777" w:rsidR="008C0F28" w:rsidRPr="005F4143" w:rsidRDefault="008C0F28">
            <w:pPr>
              <w:pStyle w:val="Tablecolhead"/>
            </w:pPr>
            <w:r w:rsidRPr="005F4143">
              <w:t>Availability</w:t>
            </w:r>
          </w:p>
        </w:tc>
      </w:tr>
      <w:tr w:rsidR="008C0F28" w:rsidRPr="005F4143" w14:paraId="3C125918" w14:textId="77777777">
        <w:tc>
          <w:tcPr>
            <w:tcW w:w="1419" w:type="dxa"/>
          </w:tcPr>
          <w:p w14:paraId="734700A4" w14:textId="77777777" w:rsidR="008C0F28" w:rsidRPr="005F4143" w:rsidRDefault="008C0F28">
            <w:pPr>
              <w:pStyle w:val="Tabletext"/>
            </w:pPr>
            <w:r w:rsidRPr="005F4143">
              <w:t>Numerator</w:t>
            </w:r>
          </w:p>
        </w:tc>
        <w:tc>
          <w:tcPr>
            <w:tcW w:w="3233" w:type="dxa"/>
          </w:tcPr>
          <w:p w14:paraId="05F08D91" w14:textId="02F05F65" w:rsidR="008C0F28" w:rsidRPr="005F4143" w:rsidRDefault="008B6A60">
            <w:pPr>
              <w:pStyle w:val="Tabletext"/>
            </w:pPr>
            <w:r w:rsidRPr="005F4143">
              <w:t>Number of Victorians diagnosed with HIV in ACCESS clinical network prescribed ART whose last viral load (taken within 12 months of analysis) was &lt;</w:t>
            </w:r>
            <w:r w:rsidR="00BE1ABE" w:rsidRPr="005F4143">
              <w:t>5</w:t>
            </w:r>
            <w:r w:rsidRPr="005F4143">
              <w:t>0copies/mL</w:t>
            </w:r>
          </w:p>
        </w:tc>
        <w:tc>
          <w:tcPr>
            <w:tcW w:w="1439" w:type="dxa"/>
          </w:tcPr>
          <w:p w14:paraId="78739C0F" w14:textId="77777777" w:rsidR="008C0F28" w:rsidRPr="005F4143" w:rsidRDefault="008C0F28">
            <w:pPr>
              <w:pStyle w:val="Tablebullet2"/>
              <w:numPr>
                <w:ilvl w:val="0"/>
                <w:numId w:val="0"/>
              </w:numPr>
            </w:pPr>
            <w:r w:rsidRPr="005F4143">
              <w:t>ACCESS</w:t>
            </w:r>
          </w:p>
        </w:tc>
        <w:tc>
          <w:tcPr>
            <w:tcW w:w="1701" w:type="dxa"/>
          </w:tcPr>
          <w:p w14:paraId="0636E7FC" w14:textId="77777777" w:rsidR="008C0F28" w:rsidRPr="005F4143" w:rsidRDefault="008C0F28">
            <w:pPr>
              <w:pStyle w:val="Tablebullet2"/>
              <w:numPr>
                <w:ilvl w:val="0"/>
                <w:numId w:val="0"/>
              </w:numPr>
            </w:pPr>
            <w:r w:rsidRPr="005F4143">
              <w:t>Burnet Institute</w:t>
            </w:r>
          </w:p>
        </w:tc>
        <w:tc>
          <w:tcPr>
            <w:tcW w:w="1984" w:type="dxa"/>
          </w:tcPr>
          <w:p w14:paraId="036E5DD5" w14:textId="77777777" w:rsidR="008C0F28" w:rsidRPr="005F4143" w:rsidRDefault="008C0F28">
            <w:r w:rsidRPr="005F4143">
              <w:t>Annually</w:t>
            </w:r>
          </w:p>
        </w:tc>
      </w:tr>
      <w:tr w:rsidR="008C0F28" w:rsidRPr="005F4143" w14:paraId="2E16A819" w14:textId="77777777">
        <w:tc>
          <w:tcPr>
            <w:tcW w:w="1419" w:type="dxa"/>
          </w:tcPr>
          <w:p w14:paraId="26F0C7B6" w14:textId="77777777" w:rsidR="008C0F28" w:rsidRPr="005F4143" w:rsidRDefault="008C0F28">
            <w:pPr>
              <w:pStyle w:val="Tabletext"/>
            </w:pPr>
            <w:r w:rsidRPr="005F4143">
              <w:t>Denominator</w:t>
            </w:r>
          </w:p>
        </w:tc>
        <w:tc>
          <w:tcPr>
            <w:tcW w:w="3233" w:type="dxa"/>
          </w:tcPr>
          <w:p w14:paraId="7E2A4A5C" w14:textId="3C8E3DC0" w:rsidR="008C0F28" w:rsidRPr="005F4143" w:rsidRDefault="000D63B6">
            <w:pPr>
              <w:pStyle w:val="Tabletext"/>
            </w:pPr>
            <w:r w:rsidRPr="005F4143">
              <w:t>Number of Victorians diagnosed with HIV in ACCESS clinical network prescribed ART</w:t>
            </w:r>
          </w:p>
        </w:tc>
        <w:tc>
          <w:tcPr>
            <w:tcW w:w="1439" w:type="dxa"/>
          </w:tcPr>
          <w:p w14:paraId="3773A2EF" w14:textId="77777777" w:rsidR="008C0F28" w:rsidRPr="005F4143" w:rsidRDefault="008C0F28">
            <w:pPr>
              <w:pStyle w:val="Tablebullet2"/>
              <w:numPr>
                <w:ilvl w:val="0"/>
                <w:numId w:val="0"/>
              </w:numPr>
            </w:pPr>
            <w:r w:rsidRPr="005F4143">
              <w:t>ACCESS</w:t>
            </w:r>
          </w:p>
        </w:tc>
        <w:tc>
          <w:tcPr>
            <w:tcW w:w="1701" w:type="dxa"/>
          </w:tcPr>
          <w:p w14:paraId="6A3E79DF" w14:textId="77777777" w:rsidR="008C0F28" w:rsidRPr="005F4143" w:rsidRDefault="008C0F28">
            <w:pPr>
              <w:pStyle w:val="Tablebullet2"/>
              <w:numPr>
                <w:ilvl w:val="0"/>
                <w:numId w:val="0"/>
              </w:numPr>
            </w:pPr>
            <w:r w:rsidRPr="005F4143">
              <w:t>Burnet Institute</w:t>
            </w:r>
          </w:p>
        </w:tc>
        <w:tc>
          <w:tcPr>
            <w:tcW w:w="1984" w:type="dxa"/>
          </w:tcPr>
          <w:p w14:paraId="79D6520D" w14:textId="77777777" w:rsidR="008C0F28" w:rsidRPr="005F4143" w:rsidRDefault="008C0F28">
            <w:pPr>
              <w:pStyle w:val="Tablebullet1"/>
              <w:numPr>
                <w:ilvl w:val="0"/>
                <w:numId w:val="0"/>
              </w:numPr>
              <w:ind w:left="227" w:hanging="227"/>
            </w:pPr>
            <w:r w:rsidRPr="005F4143">
              <w:t>Annually</w:t>
            </w:r>
          </w:p>
        </w:tc>
      </w:tr>
    </w:tbl>
    <w:p w14:paraId="363B85CC" w14:textId="77777777" w:rsidR="008C0F28" w:rsidRPr="005F4143" w:rsidRDefault="008C0F28" w:rsidP="008C0F28">
      <w:pPr>
        <w:pStyle w:val="Body"/>
      </w:pPr>
    </w:p>
    <w:p w14:paraId="1E5C8A54" w14:textId="6A464904" w:rsidR="00FF52D3" w:rsidRPr="005F4143" w:rsidRDefault="00FF52D3" w:rsidP="00DE2FD2"/>
    <w:p w14:paraId="476C971C" w14:textId="77777777" w:rsidR="00FF52D3" w:rsidRPr="005F4143" w:rsidRDefault="00FF52D3" w:rsidP="00FF52D3">
      <w:pPr>
        <w:spacing w:after="0" w:line="240" w:lineRule="auto"/>
        <w:rPr>
          <w:rFonts w:eastAsia="Times"/>
        </w:rPr>
      </w:pPr>
      <w:r w:rsidRPr="005F4143">
        <w:br w:type="page"/>
      </w:r>
    </w:p>
    <w:p w14:paraId="72E5D5F7" w14:textId="78467B97" w:rsidR="009221DB" w:rsidRPr="005F4143" w:rsidRDefault="00D12271" w:rsidP="00FF52D3">
      <w:pPr>
        <w:pStyle w:val="Heading1"/>
        <w:spacing w:before="0"/>
      </w:pPr>
      <w:bookmarkStart w:id="39" w:name="_Toc214457281"/>
      <w:r w:rsidRPr="005F4143">
        <w:lastRenderedPageBreak/>
        <w:t xml:space="preserve">Sexually </w:t>
      </w:r>
      <w:r w:rsidR="000B1F12" w:rsidRPr="005F4143">
        <w:rPr>
          <w:rFonts w:eastAsia="Arial"/>
          <w:bCs w:val="0"/>
        </w:rPr>
        <w:t>t</w:t>
      </w:r>
      <w:r w:rsidR="4B5CDEB0" w:rsidRPr="005F4143">
        <w:rPr>
          <w:rFonts w:eastAsia="Arial"/>
          <w:bCs w:val="0"/>
        </w:rPr>
        <w:t xml:space="preserve">ransmissible </w:t>
      </w:r>
      <w:r w:rsidR="000B1F12" w:rsidRPr="005F4143">
        <w:rPr>
          <w:rFonts w:eastAsia="Arial"/>
          <w:bCs w:val="0"/>
        </w:rPr>
        <w:t>i</w:t>
      </w:r>
      <w:r w:rsidR="4B5CDEB0" w:rsidRPr="005F4143">
        <w:rPr>
          <w:rFonts w:eastAsia="Arial"/>
          <w:bCs w:val="0"/>
        </w:rPr>
        <w:t>nfection</w:t>
      </w:r>
      <w:r w:rsidR="009E0562" w:rsidRPr="005F4143">
        <w:rPr>
          <w:rFonts w:eastAsia="Arial"/>
          <w:bCs w:val="0"/>
        </w:rPr>
        <w:t>s</w:t>
      </w:r>
      <w:r w:rsidR="4B5CDEB0" w:rsidRPr="005F4143">
        <w:rPr>
          <w:rFonts w:eastAsia="Arial"/>
          <w:bCs w:val="0"/>
        </w:rPr>
        <w:t xml:space="preserve"> </w:t>
      </w:r>
      <w:r w:rsidR="009E0562" w:rsidRPr="005F4143">
        <w:rPr>
          <w:rFonts w:eastAsia="Arial"/>
          <w:bCs w:val="0"/>
        </w:rPr>
        <w:t>p</w:t>
      </w:r>
      <w:r w:rsidR="4B5CDEB0" w:rsidRPr="005F4143">
        <w:rPr>
          <w:rFonts w:eastAsia="Arial"/>
          <w:bCs w:val="0"/>
        </w:rPr>
        <w:t>lan</w:t>
      </w:r>
      <w:r w:rsidR="009221DB" w:rsidRPr="005F4143">
        <w:t xml:space="preserve"> 2022</w:t>
      </w:r>
      <w:r w:rsidR="006F2F91">
        <w:t>–</w:t>
      </w:r>
      <w:r w:rsidR="009221DB" w:rsidRPr="005F4143">
        <w:t>30</w:t>
      </w:r>
      <w:bookmarkEnd w:id="39"/>
    </w:p>
    <w:p w14:paraId="764E4A68" w14:textId="3904C1D8" w:rsidR="009221DB" w:rsidRPr="005F4143" w:rsidRDefault="009221DB" w:rsidP="009221DB">
      <w:pPr>
        <w:pStyle w:val="Heading2"/>
      </w:pPr>
      <w:bookmarkStart w:id="40" w:name="_Toc214457282"/>
      <w:r w:rsidRPr="005F4143">
        <w:t>Goals, targets and priority populations</w:t>
      </w:r>
      <w:bookmarkEnd w:id="40"/>
    </w:p>
    <w:p w14:paraId="3489645A" w14:textId="77777777" w:rsidR="009221DB" w:rsidRPr="005F4143" w:rsidRDefault="009221DB" w:rsidP="00A61DDC">
      <w:pPr>
        <w:pStyle w:val="Body"/>
        <w:rPr>
          <w:b/>
        </w:rPr>
      </w:pPr>
      <w:r w:rsidRPr="005F4143">
        <w:rPr>
          <w:b/>
          <w:bCs/>
        </w:rPr>
        <w:t>Goals:</w:t>
      </w:r>
    </w:p>
    <w:p w14:paraId="5DADDDBE" w14:textId="16C9214B" w:rsidR="00721FF7" w:rsidRPr="005F4143" w:rsidRDefault="00721FF7" w:rsidP="00A61DDC">
      <w:pPr>
        <w:pStyle w:val="Body"/>
        <w:numPr>
          <w:ilvl w:val="0"/>
          <w:numId w:val="8"/>
        </w:numPr>
      </w:pPr>
      <w:r w:rsidRPr="005F4143">
        <w:t>Systems support individuals and communities to enjoy positive sexual health and wellbeing</w:t>
      </w:r>
    </w:p>
    <w:p w14:paraId="7220A9CC" w14:textId="3D0F05D9" w:rsidR="00721FF7" w:rsidRPr="005F4143" w:rsidRDefault="00721FF7" w:rsidP="00A61DDC">
      <w:pPr>
        <w:pStyle w:val="Body"/>
        <w:numPr>
          <w:ilvl w:val="0"/>
          <w:numId w:val="8"/>
        </w:numPr>
      </w:pPr>
      <w:r w:rsidRPr="005F4143">
        <w:t>Victorians are supported to reduce their risk of acquiring an STI</w:t>
      </w:r>
    </w:p>
    <w:p w14:paraId="6A1EE6E6" w14:textId="04603A3D" w:rsidR="00721FF7" w:rsidRPr="005F4143" w:rsidRDefault="00721FF7" w:rsidP="00A61DDC">
      <w:pPr>
        <w:pStyle w:val="Body"/>
        <w:numPr>
          <w:ilvl w:val="0"/>
          <w:numId w:val="8"/>
        </w:numPr>
      </w:pPr>
      <w:r w:rsidRPr="005F4143">
        <w:t>Victorians with an STI know their status</w:t>
      </w:r>
    </w:p>
    <w:p w14:paraId="3E8D060F" w14:textId="7AA6F8EB" w:rsidR="00721FF7" w:rsidRPr="005F4143" w:rsidRDefault="00721FF7" w:rsidP="00A61DDC">
      <w:pPr>
        <w:pStyle w:val="Body"/>
        <w:numPr>
          <w:ilvl w:val="0"/>
          <w:numId w:val="8"/>
        </w:numPr>
      </w:pPr>
      <w:r w:rsidRPr="005F4143">
        <w:t>Victorians with an STI have access to best practice evidence-based treatment and care</w:t>
      </w:r>
    </w:p>
    <w:p w14:paraId="432E34A2" w14:textId="72A84980" w:rsidR="00721FF7" w:rsidRPr="005F4143" w:rsidRDefault="00721FF7" w:rsidP="00A61DDC">
      <w:pPr>
        <w:pStyle w:val="Body"/>
        <w:numPr>
          <w:ilvl w:val="0"/>
          <w:numId w:val="8"/>
        </w:numPr>
      </w:pPr>
      <w:r w:rsidRPr="005F4143">
        <w:t>The morbidity and mortality associated with STI among Victorians is minimised</w:t>
      </w:r>
    </w:p>
    <w:p w14:paraId="5EA5F3C1" w14:textId="3D18B6B3" w:rsidR="00721FF7" w:rsidRPr="005F4143" w:rsidRDefault="00721FF7" w:rsidP="00A61DDC">
      <w:pPr>
        <w:pStyle w:val="Body"/>
        <w:numPr>
          <w:ilvl w:val="0"/>
          <w:numId w:val="8"/>
        </w:numPr>
      </w:pPr>
      <w:r w:rsidRPr="005F4143">
        <w:t>Stigma, racism and discrimination are not a barrier to STI prevention, testing or treatment and care</w:t>
      </w:r>
    </w:p>
    <w:p w14:paraId="75D21A4A" w14:textId="076791C0" w:rsidR="009221DB" w:rsidRPr="005F4143" w:rsidRDefault="009221DB" w:rsidP="00187D0B">
      <w:pPr>
        <w:pStyle w:val="Body"/>
      </w:pPr>
    </w:p>
    <w:p w14:paraId="1855B40F" w14:textId="77777777" w:rsidR="009221DB" w:rsidRPr="005F4143" w:rsidRDefault="009221DB" w:rsidP="00A61DDC">
      <w:pPr>
        <w:pStyle w:val="Body"/>
        <w:rPr>
          <w:b/>
        </w:rPr>
      </w:pPr>
      <w:r w:rsidRPr="005F4143">
        <w:rPr>
          <w:b/>
          <w:bCs/>
        </w:rPr>
        <w:t>Targets for 2030:</w:t>
      </w:r>
    </w:p>
    <w:p w14:paraId="452B3DAC" w14:textId="77777777" w:rsidR="0062554D" w:rsidRPr="005F4143" w:rsidRDefault="0062554D" w:rsidP="00A61DDC">
      <w:pPr>
        <w:pStyle w:val="Body"/>
        <w:numPr>
          <w:ilvl w:val="0"/>
          <w:numId w:val="8"/>
        </w:numPr>
      </w:pPr>
      <w:r w:rsidRPr="005F4143">
        <w:t>Eliminate congenital syphilis</w:t>
      </w:r>
    </w:p>
    <w:p w14:paraId="737E1412" w14:textId="77777777" w:rsidR="0062554D" w:rsidRPr="005F4143" w:rsidRDefault="0062554D" w:rsidP="00A61DDC">
      <w:pPr>
        <w:pStyle w:val="Body"/>
        <w:numPr>
          <w:ilvl w:val="0"/>
          <w:numId w:val="8"/>
        </w:numPr>
      </w:pPr>
      <w:r w:rsidRPr="005F4143">
        <w:t>Increase STI testing coverage in priority populations (compared with 2019)</w:t>
      </w:r>
    </w:p>
    <w:p w14:paraId="46D4E030" w14:textId="67F767EA" w:rsidR="0062554D" w:rsidRPr="005F4143" w:rsidRDefault="0062554D" w:rsidP="00A61DDC">
      <w:pPr>
        <w:pStyle w:val="Body"/>
        <w:numPr>
          <w:ilvl w:val="0"/>
          <w:numId w:val="8"/>
        </w:numPr>
      </w:pPr>
      <w:r w:rsidRPr="005F4143">
        <w:t xml:space="preserve">Reduce the prevalence of chlamydia, </w:t>
      </w:r>
      <w:r w:rsidR="4B5CDEB0" w:rsidRPr="005F4143">
        <w:rPr>
          <w:rFonts w:eastAsia="Arial" w:cs="Arial"/>
          <w:szCs w:val="21"/>
        </w:rPr>
        <w:t>gonorrh</w:t>
      </w:r>
      <w:r w:rsidR="00C13037" w:rsidRPr="005F4143">
        <w:rPr>
          <w:rFonts w:eastAsia="Arial" w:cs="Arial"/>
          <w:szCs w:val="21"/>
        </w:rPr>
        <w:t>o</w:t>
      </w:r>
      <w:r w:rsidR="4B5CDEB0" w:rsidRPr="005F4143">
        <w:rPr>
          <w:rFonts w:eastAsia="Arial" w:cs="Arial"/>
          <w:szCs w:val="21"/>
        </w:rPr>
        <w:t>ea</w:t>
      </w:r>
      <w:r w:rsidRPr="005F4143">
        <w:t xml:space="preserve"> and infectious syphilis (compared with 2019)</w:t>
      </w:r>
    </w:p>
    <w:p w14:paraId="780B7167" w14:textId="30A51405" w:rsidR="009221DB" w:rsidRPr="005F4143" w:rsidRDefault="009221DB" w:rsidP="00A61DDC">
      <w:pPr>
        <w:pStyle w:val="Body"/>
        <w:rPr>
          <w:b/>
        </w:rPr>
      </w:pPr>
    </w:p>
    <w:p w14:paraId="6A0A65EA" w14:textId="2698D0E0" w:rsidR="009221DB" w:rsidRPr="005F4143" w:rsidRDefault="009221DB" w:rsidP="00A61DDC">
      <w:pPr>
        <w:pStyle w:val="Body"/>
        <w:rPr>
          <w:b/>
        </w:rPr>
      </w:pPr>
      <w:r w:rsidRPr="005F4143">
        <w:rPr>
          <w:b/>
          <w:bCs/>
        </w:rPr>
        <w:t xml:space="preserve">Priority </w:t>
      </w:r>
      <w:r w:rsidR="00E5209F" w:rsidRPr="005F4143">
        <w:rPr>
          <w:rFonts w:eastAsia="Arial" w:cs="Arial"/>
          <w:b/>
          <w:bCs/>
          <w:szCs w:val="21"/>
        </w:rPr>
        <w:t>p</w:t>
      </w:r>
      <w:r w:rsidR="4B5CDEB0" w:rsidRPr="005F4143">
        <w:rPr>
          <w:rFonts w:eastAsia="Arial" w:cs="Arial"/>
          <w:b/>
          <w:bCs/>
          <w:szCs w:val="21"/>
        </w:rPr>
        <w:t>opulations</w:t>
      </w:r>
    </w:p>
    <w:p w14:paraId="665B73D7" w14:textId="0FB7B3A0" w:rsidR="009221DB" w:rsidRPr="005F4143" w:rsidRDefault="0045132E" w:rsidP="00A61DDC">
      <w:pPr>
        <w:pStyle w:val="Body"/>
        <w:numPr>
          <w:ilvl w:val="0"/>
          <w:numId w:val="8"/>
        </w:numPr>
      </w:pPr>
      <w:r w:rsidRPr="005F4143">
        <w:t>Young people (15-29 years of age)</w:t>
      </w:r>
    </w:p>
    <w:p w14:paraId="5E091CB3" w14:textId="1DBC7076" w:rsidR="009221DB" w:rsidRPr="005F4143" w:rsidRDefault="0045132E" w:rsidP="00A61DDC">
      <w:pPr>
        <w:pStyle w:val="Body"/>
        <w:numPr>
          <w:ilvl w:val="0"/>
          <w:numId w:val="8"/>
        </w:numPr>
      </w:pPr>
      <w:r w:rsidRPr="005F4143">
        <w:t>A</w:t>
      </w:r>
      <w:r w:rsidR="009221DB" w:rsidRPr="005F4143">
        <w:t>boriginal people</w:t>
      </w:r>
    </w:p>
    <w:p w14:paraId="6012AE16" w14:textId="7E207201" w:rsidR="0045132E" w:rsidRPr="005F4143" w:rsidRDefault="0045132E" w:rsidP="00A61DDC">
      <w:pPr>
        <w:pStyle w:val="Body"/>
        <w:numPr>
          <w:ilvl w:val="0"/>
          <w:numId w:val="8"/>
        </w:numPr>
      </w:pPr>
      <w:r w:rsidRPr="005F4143">
        <w:t>Gay</w:t>
      </w:r>
      <w:r w:rsidR="00C3251B" w:rsidRPr="005F4143">
        <w:t xml:space="preserve">, </w:t>
      </w:r>
      <w:r w:rsidRPr="005F4143">
        <w:t>bisexual</w:t>
      </w:r>
      <w:r w:rsidR="00C3251B" w:rsidRPr="005F4143">
        <w:t xml:space="preserve"> and other men who have sex with</w:t>
      </w:r>
      <w:r w:rsidRPr="005F4143">
        <w:t xml:space="preserve"> men</w:t>
      </w:r>
    </w:p>
    <w:p w14:paraId="1E9EE78E" w14:textId="5B5599DC" w:rsidR="009221DB" w:rsidRPr="005F4143" w:rsidRDefault="00C3251B" w:rsidP="00A61DDC">
      <w:pPr>
        <w:pStyle w:val="Body"/>
        <w:numPr>
          <w:ilvl w:val="0"/>
          <w:numId w:val="8"/>
        </w:numPr>
      </w:pPr>
      <w:r w:rsidRPr="005F4143">
        <w:t>Women of reproductive age</w:t>
      </w:r>
    </w:p>
    <w:p w14:paraId="5125F4F9" w14:textId="2D309748" w:rsidR="009221DB" w:rsidRPr="005F4143" w:rsidRDefault="009221DB" w:rsidP="00A61DDC">
      <w:pPr>
        <w:pStyle w:val="Body"/>
        <w:numPr>
          <w:ilvl w:val="0"/>
          <w:numId w:val="8"/>
        </w:numPr>
      </w:pPr>
      <w:r w:rsidRPr="005F4143">
        <w:t xml:space="preserve">Culturally diverse </w:t>
      </w:r>
      <w:r w:rsidR="000D3971" w:rsidRPr="005F4143">
        <w:rPr>
          <w:rFonts w:eastAsia="Arial" w:cs="Arial"/>
          <w:szCs w:val="21"/>
        </w:rPr>
        <w:t>communities</w:t>
      </w:r>
    </w:p>
    <w:p w14:paraId="48A8EF4D" w14:textId="77777777" w:rsidR="00AA1CB8" w:rsidRPr="005F4143" w:rsidRDefault="00AA1CB8" w:rsidP="00A61DDC">
      <w:pPr>
        <w:pStyle w:val="Body"/>
        <w:numPr>
          <w:ilvl w:val="0"/>
          <w:numId w:val="8"/>
        </w:numPr>
      </w:pPr>
      <w:r w:rsidRPr="005F4143">
        <w:t>Trans and gender diverse people</w:t>
      </w:r>
    </w:p>
    <w:p w14:paraId="54579324" w14:textId="77777777" w:rsidR="00AA1CB8" w:rsidRPr="005F4143" w:rsidRDefault="009221DB" w:rsidP="00A61DDC">
      <w:pPr>
        <w:pStyle w:val="Body"/>
        <w:numPr>
          <w:ilvl w:val="0"/>
          <w:numId w:val="8"/>
        </w:numPr>
      </w:pPr>
      <w:r w:rsidRPr="005F4143">
        <w:t>Sex workers</w:t>
      </w:r>
    </w:p>
    <w:p w14:paraId="78854D8D" w14:textId="77777777" w:rsidR="00AA1CB8" w:rsidRPr="005F4143" w:rsidRDefault="00AA1CB8" w:rsidP="00A61DDC">
      <w:pPr>
        <w:pStyle w:val="Body"/>
        <w:numPr>
          <w:ilvl w:val="0"/>
          <w:numId w:val="8"/>
        </w:numPr>
      </w:pPr>
      <w:r w:rsidRPr="005F4143">
        <w:t>People living with HIV (PLHIV)</w:t>
      </w:r>
    </w:p>
    <w:p w14:paraId="0CEA8194" w14:textId="6F32AD5F" w:rsidR="00187D0B" w:rsidRPr="00187D0B" w:rsidRDefault="00AA1CB8" w:rsidP="00187D0B">
      <w:pPr>
        <w:pStyle w:val="ListParagraph"/>
        <w:numPr>
          <w:ilvl w:val="0"/>
          <w:numId w:val="12"/>
        </w:numPr>
        <w:spacing w:after="0" w:line="240" w:lineRule="auto"/>
        <w:rPr>
          <w:rFonts w:eastAsia="Arial" w:cs="Arial"/>
          <w:szCs w:val="21"/>
        </w:rPr>
      </w:pPr>
      <w:r w:rsidRPr="005F4143">
        <w:t>People in custodial settings</w:t>
      </w:r>
    </w:p>
    <w:p w14:paraId="361C4FAE" w14:textId="0C94ED53" w:rsidR="00F806A8" w:rsidRPr="005F4143" w:rsidRDefault="00F806A8">
      <w:pPr>
        <w:spacing w:after="0" w:line="240" w:lineRule="auto"/>
        <w:rPr>
          <w:rFonts w:eastAsia="MS Gothic"/>
          <w:b/>
          <w:bCs/>
          <w:color w:val="53565A"/>
          <w:sz w:val="30"/>
          <w:szCs w:val="26"/>
        </w:rPr>
      </w:pPr>
      <w:r w:rsidRPr="005F4143">
        <w:br w:type="page"/>
      </w:r>
    </w:p>
    <w:p w14:paraId="77299243" w14:textId="531F4959" w:rsidR="009221DB" w:rsidRPr="005F4143" w:rsidRDefault="009221DB" w:rsidP="009221DB">
      <w:pPr>
        <w:pStyle w:val="Heading3"/>
        <w:rPr>
          <w:lang w:val="en-AU"/>
        </w:rPr>
      </w:pPr>
      <w:bookmarkStart w:id="41" w:name="_Toc214457283"/>
      <w:r w:rsidRPr="005F4143">
        <w:rPr>
          <w:lang w:val="en-AU"/>
        </w:rPr>
        <w:lastRenderedPageBreak/>
        <w:t>Focus Area 1: Prevent</w:t>
      </w:r>
      <w:bookmarkEnd w:id="41"/>
    </w:p>
    <w:p w14:paraId="10DCFC32" w14:textId="597F1234" w:rsidR="009221DB" w:rsidRPr="005F4143" w:rsidRDefault="009221DB" w:rsidP="00A61DDC">
      <w:pPr>
        <w:pStyle w:val="Body"/>
        <w:rPr>
          <w:b/>
        </w:rPr>
      </w:pPr>
      <w:r w:rsidRPr="005F4143">
        <w:rPr>
          <w:b/>
          <w:bCs/>
        </w:rPr>
        <w:t xml:space="preserve">Goal: </w:t>
      </w:r>
      <w:r w:rsidR="00B2798C" w:rsidRPr="005F4143">
        <w:rPr>
          <w:b/>
          <w:bCs/>
        </w:rPr>
        <w:t xml:space="preserve">Victorians are supported to reduce their risk of acquiring </w:t>
      </w:r>
      <w:r w:rsidR="00AC3B4C" w:rsidRPr="005F4143">
        <w:rPr>
          <w:b/>
          <w:bCs/>
        </w:rPr>
        <w:t xml:space="preserve">an </w:t>
      </w:r>
      <w:r w:rsidR="00B2798C" w:rsidRPr="005F4143">
        <w:rPr>
          <w:b/>
          <w:bCs/>
        </w:rPr>
        <w:t>STI</w:t>
      </w:r>
    </w:p>
    <w:p w14:paraId="08C3B45A" w14:textId="77777777" w:rsidR="009221DB" w:rsidRPr="005F4143" w:rsidRDefault="009221DB" w:rsidP="00A61DDC">
      <w:pPr>
        <w:pStyle w:val="Body"/>
        <w:rPr>
          <w:b/>
          <w:u w:val="single"/>
        </w:rPr>
      </w:pPr>
      <w:r w:rsidRPr="005F4143">
        <w:rPr>
          <w:b/>
          <w:bCs/>
          <w:u w:val="single"/>
        </w:rPr>
        <w:t>Objectives (by 2030):</w:t>
      </w:r>
    </w:p>
    <w:p w14:paraId="2F51ED0C" w14:textId="6DA9CB5B" w:rsidR="003576A6" w:rsidRPr="005F4143" w:rsidRDefault="003576A6" w:rsidP="00C73A7A">
      <w:pPr>
        <w:pStyle w:val="Body"/>
        <w:numPr>
          <w:ilvl w:val="0"/>
          <w:numId w:val="8"/>
        </w:numPr>
      </w:pPr>
      <w:r w:rsidRPr="005F4143">
        <w:t>Victorians know how to prevent STI and reinfections and supported to do so</w:t>
      </w:r>
    </w:p>
    <w:p w14:paraId="74FFC484" w14:textId="25EB66C2" w:rsidR="003576A6" w:rsidRPr="005F4143" w:rsidRDefault="003576A6" w:rsidP="00C73A7A">
      <w:pPr>
        <w:pStyle w:val="Body"/>
        <w:numPr>
          <w:ilvl w:val="0"/>
          <w:numId w:val="8"/>
        </w:numPr>
      </w:pPr>
      <w:r w:rsidRPr="005F4143">
        <w:t>Victorians are supported to use safe sexual practices and harm reduction strategies to reduce infection risk</w:t>
      </w:r>
    </w:p>
    <w:p w14:paraId="1322F005" w14:textId="52D1EE54" w:rsidR="003576A6" w:rsidRPr="005F4143" w:rsidRDefault="003576A6" w:rsidP="00C73A7A">
      <w:pPr>
        <w:pStyle w:val="Body"/>
        <w:numPr>
          <w:ilvl w:val="0"/>
          <w:numId w:val="8"/>
        </w:numPr>
      </w:pPr>
      <w:r w:rsidRPr="005F4143">
        <w:t>Vaccination coverage of HPV among Victorian adolescents is as high as possible</w:t>
      </w:r>
    </w:p>
    <w:p w14:paraId="31C6A470" w14:textId="3E5EB13B" w:rsidR="009221DB" w:rsidRPr="005F4143" w:rsidRDefault="003576A6" w:rsidP="00C73A7A">
      <w:pPr>
        <w:pStyle w:val="Body"/>
        <w:numPr>
          <w:ilvl w:val="0"/>
          <w:numId w:val="8"/>
        </w:numPr>
      </w:pPr>
      <w:r w:rsidRPr="005F4143">
        <w:t>There is an overall and ongoing reduction in new STI cases</w:t>
      </w:r>
    </w:p>
    <w:p w14:paraId="0AB047E3" w14:textId="77777777" w:rsidR="009221DB" w:rsidRPr="005F4143" w:rsidRDefault="009221DB" w:rsidP="00A61DDC">
      <w:pPr>
        <w:pStyle w:val="Body"/>
        <w:rPr>
          <w:b/>
          <w:u w:val="single"/>
        </w:rPr>
      </w:pPr>
      <w:r w:rsidRPr="005F4143">
        <w:rPr>
          <w:b/>
          <w:bCs/>
          <w:u w:val="single"/>
        </w:rPr>
        <w:t>Targets for 2030:</w:t>
      </w:r>
    </w:p>
    <w:p w14:paraId="3BD43761" w14:textId="77777777" w:rsidR="00E807F3" w:rsidRPr="005F4143" w:rsidRDefault="00E807F3" w:rsidP="00C73A7A">
      <w:pPr>
        <w:pStyle w:val="Body"/>
        <w:numPr>
          <w:ilvl w:val="0"/>
          <w:numId w:val="8"/>
        </w:numPr>
      </w:pPr>
      <w:r w:rsidRPr="005F4143">
        <w:t>Eliminate congenital syphilis</w:t>
      </w:r>
    </w:p>
    <w:p w14:paraId="27C2893D" w14:textId="0FE9E117" w:rsidR="009221DB" w:rsidRPr="005F4143" w:rsidRDefault="00E807F3" w:rsidP="00C73A7A">
      <w:pPr>
        <w:pStyle w:val="Body"/>
        <w:numPr>
          <w:ilvl w:val="0"/>
          <w:numId w:val="8"/>
        </w:numPr>
      </w:pPr>
      <w:r w:rsidRPr="005F4143">
        <w:t>Reduce the prevalence of chlamydia, gonorrhoea and infectious syphilis (compared with 2019)</w:t>
      </w:r>
    </w:p>
    <w:p w14:paraId="6D179E5B" w14:textId="77777777" w:rsidR="009221DB" w:rsidRPr="005F4143" w:rsidRDefault="009221DB" w:rsidP="00A61DDC">
      <w:pPr>
        <w:pStyle w:val="Body"/>
        <w:rPr>
          <w:b/>
          <w:u w:val="single"/>
        </w:rPr>
      </w:pPr>
      <w:r w:rsidRPr="005F4143">
        <w:rPr>
          <w:b/>
          <w:bCs/>
          <w:u w:val="single"/>
        </w:rPr>
        <w:t>Indicators:</w:t>
      </w:r>
    </w:p>
    <w:p w14:paraId="400E0EC9" w14:textId="77777777" w:rsidR="004C482B" w:rsidRPr="005F4143" w:rsidRDefault="004C482B" w:rsidP="00A61DDC">
      <w:pPr>
        <w:pStyle w:val="Body"/>
        <w:numPr>
          <w:ilvl w:val="1"/>
          <w:numId w:val="9"/>
        </w:numPr>
      </w:pPr>
      <w:r w:rsidRPr="005F4143">
        <w:t>Number of cases of congenital syphilis</w:t>
      </w:r>
    </w:p>
    <w:p w14:paraId="74F68240" w14:textId="52814EA2" w:rsidR="004C482B" w:rsidRPr="005F4143" w:rsidRDefault="004C482B" w:rsidP="00A61DDC">
      <w:pPr>
        <w:pStyle w:val="Body"/>
        <w:numPr>
          <w:ilvl w:val="1"/>
          <w:numId w:val="9"/>
        </w:numPr>
      </w:pPr>
      <w:r w:rsidRPr="005F4143">
        <w:t xml:space="preserve">Number and notification rates of chlamydia, gonorrhoea and </w:t>
      </w:r>
      <w:r w:rsidR="00832E25" w:rsidRPr="005F4143">
        <w:t>infectious</w:t>
      </w:r>
      <w:r w:rsidRPr="005F4143">
        <w:t xml:space="preserve"> syphilis</w:t>
      </w:r>
    </w:p>
    <w:p w14:paraId="6B662FFA" w14:textId="77777777" w:rsidR="00187D0B" w:rsidRDefault="00EB0596" w:rsidP="00A61DDC">
      <w:pPr>
        <w:pStyle w:val="Body"/>
        <w:numPr>
          <w:ilvl w:val="1"/>
          <w:numId w:val="9"/>
        </w:numPr>
      </w:pPr>
      <w:r w:rsidRPr="005F4143">
        <w:t>Number and notification rates of chlamydia, gonorrhoea and infectious syphilis by sex and 10-year age groups</w:t>
      </w:r>
    </w:p>
    <w:p w14:paraId="5EF085A5" w14:textId="77777777" w:rsidR="00187D0B" w:rsidRDefault="00EB0596" w:rsidP="00A61DDC">
      <w:pPr>
        <w:pStyle w:val="Body"/>
        <w:numPr>
          <w:ilvl w:val="1"/>
          <w:numId w:val="9"/>
        </w:numPr>
      </w:pPr>
      <w:r w:rsidRPr="005F4143">
        <w:t>Number and notification rates of chlamydia, gonorrhoea and infectious syphilis among culturally diverse people</w:t>
      </w:r>
    </w:p>
    <w:p w14:paraId="033A4D02" w14:textId="1A34EBBE" w:rsidR="00EB0596" w:rsidRPr="005F4143" w:rsidRDefault="00EB0596" w:rsidP="00A61DDC">
      <w:pPr>
        <w:pStyle w:val="Body"/>
        <w:numPr>
          <w:ilvl w:val="1"/>
          <w:numId w:val="9"/>
        </w:numPr>
      </w:pPr>
      <w:r w:rsidRPr="005F4143">
        <w:t xml:space="preserve">Number and notification rates of gonorrhoea and infectious syphilis among Aboriginal </w:t>
      </w:r>
      <w:r w:rsidR="4B5CDEB0" w:rsidRPr="005F4143">
        <w:rPr>
          <w:rFonts w:eastAsia="Arial" w:cs="Arial"/>
        </w:rPr>
        <w:t>people</w:t>
      </w:r>
    </w:p>
    <w:p w14:paraId="02577B7F" w14:textId="08FDB10C" w:rsidR="009221DB" w:rsidRPr="005F4143" w:rsidRDefault="009221DB" w:rsidP="00A61DDC">
      <w:pPr>
        <w:pStyle w:val="Body"/>
      </w:pPr>
    </w:p>
    <w:p w14:paraId="71296A89" w14:textId="7CC7D8BC" w:rsidR="009221DB" w:rsidRPr="005F4143" w:rsidRDefault="009221DB" w:rsidP="00A61DDC">
      <w:pPr>
        <w:pStyle w:val="Body"/>
      </w:pPr>
      <w:r w:rsidRPr="005F4143">
        <w:rPr>
          <w:b/>
          <w:bCs/>
        </w:rPr>
        <w:t xml:space="preserve">Indicator </w:t>
      </w:r>
      <w:r w:rsidR="00396DC5" w:rsidRPr="005F4143">
        <w:rPr>
          <w:rFonts w:eastAsia="Arial" w:cs="Arial"/>
          <w:b/>
          <w:bCs/>
          <w:szCs w:val="21"/>
        </w:rPr>
        <w:t>n</w:t>
      </w:r>
      <w:r w:rsidR="4B5CDEB0" w:rsidRPr="005F4143">
        <w:rPr>
          <w:rFonts w:eastAsia="Arial" w:cs="Arial"/>
          <w:b/>
          <w:bCs/>
          <w:szCs w:val="21"/>
        </w:rPr>
        <w:t>otes</w:t>
      </w:r>
    </w:p>
    <w:p w14:paraId="1ACC6CC6" w14:textId="2E805102" w:rsidR="00AE146C" w:rsidRPr="005F4143" w:rsidRDefault="00AE146C" w:rsidP="00A61DDC">
      <w:pPr>
        <w:pStyle w:val="Body"/>
      </w:pPr>
      <w:r w:rsidRPr="005F4143">
        <w:t>Chlamydia, gonorrhoea and syphilis</w:t>
      </w:r>
      <w:r w:rsidR="006F5A61" w:rsidRPr="005F4143">
        <w:t xml:space="preserve"> (including infectious, late and congenital)</w:t>
      </w:r>
      <w:r w:rsidRPr="005F4143">
        <w:t xml:space="preserve"> are notifiable conditions under the Public Health and Wellbeing </w:t>
      </w:r>
      <w:r w:rsidR="005F3FAF" w:rsidRPr="005F4143">
        <w:rPr>
          <w:rFonts w:eastAsia="Arial" w:cs="Arial"/>
        </w:rPr>
        <w:t xml:space="preserve">Regulations </w:t>
      </w:r>
      <w:r w:rsidR="00AF3B95" w:rsidRPr="005F4143">
        <w:rPr>
          <w:rFonts w:eastAsia="Arial" w:cs="Arial"/>
        </w:rPr>
        <w:t>2019</w:t>
      </w:r>
      <w:r w:rsidR="005F3FAF" w:rsidRPr="005F4143">
        <w:rPr>
          <w:rFonts w:eastAsia="Arial" w:cs="Arial"/>
        </w:rPr>
        <w:t xml:space="preserve"> </w:t>
      </w:r>
      <w:r w:rsidRPr="005F4143">
        <w:t>legislation in Victoria. Notifications from diagnosing clinicians and laboratories are recorded in PHESS. Notification data is used to calculate rate per 100,00 population, where relevant. The population data will be obtained from the ABS.</w:t>
      </w:r>
    </w:p>
    <w:p w14:paraId="6610B258" w14:textId="6C9A4339" w:rsidR="00A16ECB" w:rsidRPr="005F4143" w:rsidRDefault="00A16ECB" w:rsidP="00A61DDC">
      <w:pPr>
        <w:pStyle w:val="Body"/>
      </w:pPr>
      <w:r w:rsidRPr="005F4143">
        <w:t>Due to the asymptomatic nature of many STI, it is important to note that notifications likely underestimate the total cases occurring in the</w:t>
      </w:r>
      <w:r w:rsidR="00FA4E62" w:rsidRPr="005F4143">
        <w:t xml:space="preserve"> population.</w:t>
      </w:r>
      <w:r w:rsidRPr="005F4143">
        <w:t xml:space="preserve"> </w:t>
      </w:r>
      <w:r w:rsidR="00FA4E62" w:rsidRPr="005F4143">
        <w:t>Th</w:t>
      </w:r>
      <w:r w:rsidRPr="005F4143">
        <w:t>e degree of under-representation of all cases is unknown; notification and testing data represent only a proportion of the total cases occurring in the community, that is, only those cases for which health care was sought, a test conducted, a diagnosis made, and notified to DH. For instance, with only about 20 per cent of cases being symptomatic, chlamydia notification rates will be considerably less than the actual rates.</w:t>
      </w:r>
    </w:p>
    <w:p w14:paraId="3087FF97" w14:textId="19D29F68" w:rsidR="008340A9" w:rsidRPr="005F4143" w:rsidRDefault="008340A9">
      <w:pPr>
        <w:spacing w:after="0" w:line="240" w:lineRule="auto"/>
        <w:rPr>
          <w:rFonts w:eastAsia="Times"/>
          <w:b/>
        </w:rPr>
      </w:pPr>
    </w:p>
    <w:p w14:paraId="2D678186" w14:textId="7D8D4B20" w:rsidR="009221DB" w:rsidRPr="005F4143" w:rsidRDefault="009221DB" w:rsidP="00A61DDC">
      <w:pPr>
        <w:pStyle w:val="Body"/>
        <w:rPr>
          <w:b/>
        </w:rPr>
      </w:pPr>
      <w:r w:rsidRPr="005F4143">
        <w:rPr>
          <w:b/>
          <w:bCs/>
        </w:rPr>
        <w:t>Reporting against indicators</w:t>
      </w:r>
    </w:p>
    <w:p w14:paraId="76E0B423" w14:textId="04AF37C7" w:rsidR="009221DB" w:rsidRPr="005F4143" w:rsidRDefault="004C7B1B" w:rsidP="00A61DDC">
      <w:pPr>
        <w:pStyle w:val="Tablecaption"/>
      </w:pPr>
      <w:r w:rsidRPr="005F4143">
        <w:lastRenderedPageBreak/>
        <w:fldChar w:fldCharType="begin"/>
      </w:r>
      <w:r w:rsidRPr="005F4143">
        <w:instrText>SEQ Table \* ARABIC</w:instrText>
      </w:r>
      <w:r w:rsidRPr="005F4143">
        <w:fldChar w:fldCharType="separate"/>
      </w:r>
      <w:bookmarkStart w:id="42" w:name="_Toc214457314"/>
      <w:r w:rsidR="00670632">
        <w:rPr>
          <w:noProof/>
        </w:rPr>
        <w:t>15</w:t>
      </w:r>
      <w:r w:rsidRPr="005F4143">
        <w:fldChar w:fldCharType="end"/>
      </w:r>
      <w:r w:rsidR="009221DB" w:rsidRPr="005F4143">
        <w:t xml:space="preserve">. </w:t>
      </w:r>
      <w:r w:rsidR="00CD5E54" w:rsidRPr="005F4143">
        <w:t>Number of cases of congenital syphilis</w:t>
      </w:r>
      <w:bookmarkEnd w:id="42"/>
    </w:p>
    <w:tbl>
      <w:tblPr>
        <w:tblStyle w:val="TableGrid"/>
        <w:tblW w:w="9776" w:type="dxa"/>
        <w:tblLook w:val="06A0" w:firstRow="1" w:lastRow="0" w:firstColumn="1" w:lastColumn="0" w:noHBand="1" w:noVBand="1"/>
      </w:tblPr>
      <w:tblGrid>
        <w:gridCol w:w="1419"/>
        <w:gridCol w:w="3233"/>
        <w:gridCol w:w="1439"/>
        <w:gridCol w:w="1701"/>
        <w:gridCol w:w="1984"/>
      </w:tblGrid>
      <w:tr w:rsidR="009221DB" w:rsidRPr="005F4143" w14:paraId="313376C8" w14:textId="77777777" w:rsidTr="00A61DDC">
        <w:trPr>
          <w:tblHeader/>
        </w:trPr>
        <w:tc>
          <w:tcPr>
            <w:tcW w:w="1419" w:type="dxa"/>
          </w:tcPr>
          <w:p w14:paraId="256BA757" w14:textId="77777777" w:rsidR="009221DB" w:rsidRPr="005F4143" w:rsidRDefault="009221DB" w:rsidP="00A61DDC">
            <w:pPr>
              <w:pStyle w:val="Tablecolhead"/>
            </w:pPr>
            <w:r w:rsidRPr="005F4143">
              <w:t>Component</w:t>
            </w:r>
          </w:p>
        </w:tc>
        <w:tc>
          <w:tcPr>
            <w:tcW w:w="3233" w:type="dxa"/>
            <w:tcBorders>
              <w:bottom w:val="single" w:sz="4" w:space="0" w:color="auto"/>
            </w:tcBorders>
          </w:tcPr>
          <w:p w14:paraId="2DFF7B90" w14:textId="77777777" w:rsidR="009221DB" w:rsidRPr="005F4143" w:rsidRDefault="009221DB" w:rsidP="00A61DDC">
            <w:pPr>
              <w:pStyle w:val="Tablecolhead"/>
            </w:pPr>
            <w:r w:rsidRPr="005F4143">
              <w:t>Description</w:t>
            </w:r>
          </w:p>
        </w:tc>
        <w:tc>
          <w:tcPr>
            <w:tcW w:w="1439" w:type="dxa"/>
          </w:tcPr>
          <w:p w14:paraId="3D341DAD" w14:textId="77777777" w:rsidR="009221DB" w:rsidRPr="005F4143" w:rsidRDefault="009221DB" w:rsidP="00A61DDC">
            <w:pPr>
              <w:pStyle w:val="Tablecolhead"/>
            </w:pPr>
            <w:r w:rsidRPr="005F4143">
              <w:t>Source</w:t>
            </w:r>
          </w:p>
        </w:tc>
        <w:tc>
          <w:tcPr>
            <w:tcW w:w="1701" w:type="dxa"/>
          </w:tcPr>
          <w:p w14:paraId="136351F0" w14:textId="77777777" w:rsidR="009221DB" w:rsidRPr="005F4143" w:rsidRDefault="009221DB" w:rsidP="00A61DDC">
            <w:pPr>
              <w:pStyle w:val="Tablecolhead"/>
            </w:pPr>
            <w:r w:rsidRPr="005F4143">
              <w:t>Custodian</w:t>
            </w:r>
          </w:p>
        </w:tc>
        <w:tc>
          <w:tcPr>
            <w:tcW w:w="1984" w:type="dxa"/>
          </w:tcPr>
          <w:p w14:paraId="644B20BA" w14:textId="77777777" w:rsidR="009221DB" w:rsidRPr="005F4143" w:rsidRDefault="009221DB" w:rsidP="00A61DDC">
            <w:pPr>
              <w:pStyle w:val="Tablecolhead"/>
            </w:pPr>
            <w:r w:rsidRPr="005F4143">
              <w:t>Availability</w:t>
            </w:r>
          </w:p>
        </w:tc>
      </w:tr>
      <w:tr w:rsidR="009221DB" w:rsidRPr="005F4143" w14:paraId="49CF500C" w14:textId="77777777" w:rsidTr="00A61DDC">
        <w:tc>
          <w:tcPr>
            <w:tcW w:w="1419" w:type="dxa"/>
          </w:tcPr>
          <w:p w14:paraId="1E60B01F" w14:textId="402C15F2" w:rsidR="009221DB" w:rsidRPr="005F4143" w:rsidRDefault="00CD5E54" w:rsidP="00A61DDC">
            <w:pPr>
              <w:pStyle w:val="Tabletext"/>
            </w:pPr>
            <w:r w:rsidRPr="005F4143">
              <w:t>Single measure</w:t>
            </w:r>
          </w:p>
        </w:tc>
        <w:tc>
          <w:tcPr>
            <w:tcW w:w="3233" w:type="dxa"/>
          </w:tcPr>
          <w:p w14:paraId="7E516A74" w14:textId="25F9CFEB" w:rsidR="009221DB" w:rsidRPr="005F4143" w:rsidRDefault="00CD5E54" w:rsidP="00A61DDC">
            <w:pPr>
              <w:pStyle w:val="Tabletext"/>
            </w:pPr>
            <w:r w:rsidRPr="005F4143">
              <w:t>Number of cases of congenital syphilis reported to the DH</w:t>
            </w:r>
          </w:p>
        </w:tc>
        <w:tc>
          <w:tcPr>
            <w:tcW w:w="1439" w:type="dxa"/>
          </w:tcPr>
          <w:p w14:paraId="146DD223" w14:textId="77777777" w:rsidR="009221DB" w:rsidRPr="005F4143" w:rsidRDefault="009221DB" w:rsidP="00A61DDC">
            <w:pPr>
              <w:pStyle w:val="Tablebullet2"/>
              <w:numPr>
                <w:ilvl w:val="0"/>
                <w:numId w:val="0"/>
              </w:numPr>
            </w:pPr>
            <w:r w:rsidRPr="005F4143">
              <w:t>PHESS</w:t>
            </w:r>
          </w:p>
        </w:tc>
        <w:tc>
          <w:tcPr>
            <w:tcW w:w="1701" w:type="dxa"/>
          </w:tcPr>
          <w:p w14:paraId="54235511" w14:textId="77777777" w:rsidR="009221DB" w:rsidRPr="005F4143" w:rsidRDefault="009221DB" w:rsidP="00A61DDC">
            <w:pPr>
              <w:pStyle w:val="Tablebullet2"/>
              <w:numPr>
                <w:ilvl w:val="0"/>
                <w:numId w:val="0"/>
              </w:numPr>
            </w:pPr>
            <w:r w:rsidRPr="005F4143">
              <w:t>DH</w:t>
            </w:r>
          </w:p>
        </w:tc>
        <w:tc>
          <w:tcPr>
            <w:tcW w:w="1984" w:type="dxa"/>
          </w:tcPr>
          <w:p w14:paraId="6A834A89" w14:textId="77777777" w:rsidR="009221DB" w:rsidRPr="005F4143" w:rsidRDefault="009221DB" w:rsidP="00A61DDC">
            <w:pPr>
              <w:pStyle w:val="Tablebullet1"/>
              <w:numPr>
                <w:ilvl w:val="0"/>
                <w:numId w:val="0"/>
              </w:numPr>
              <w:ind w:left="227" w:hanging="227"/>
            </w:pPr>
            <w:r w:rsidRPr="005F4143">
              <w:t>Quarterly</w:t>
            </w:r>
          </w:p>
        </w:tc>
      </w:tr>
    </w:tbl>
    <w:p w14:paraId="53F7FE70" w14:textId="66A1DDD2" w:rsidR="009221DB" w:rsidRPr="005F4143" w:rsidRDefault="009221DB" w:rsidP="009221DB">
      <w:pPr>
        <w:pStyle w:val="Body"/>
      </w:pPr>
    </w:p>
    <w:p w14:paraId="145B3E8E" w14:textId="685B9CBB" w:rsidR="009221DB" w:rsidRPr="005F4143" w:rsidRDefault="004C7B1B" w:rsidP="00A61DDC">
      <w:pPr>
        <w:pStyle w:val="Tablecaption"/>
      </w:pPr>
      <w:r w:rsidRPr="005F4143">
        <w:fldChar w:fldCharType="begin"/>
      </w:r>
      <w:r w:rsidRPr="005F4143">
        <w:instrText>SEQ Table \* ARABIC</w:instrText>
      </w:r>
      <w:r w:rsidRPr="005F4143">
        <w:fldChar w:fldCharType="separate"/>
      </w:r>
      <w:bookmarkStart w:id="43" w:name="_Toc214457315"/>
      <w:r w:rsidR="00670632">
        <w:rPr>
          <w:noProof/>
        </w:rPr>
        <w:t>16</w:t>
      </w:r>
      <w:r w:rsidRPr="005F4143">
        <w:fldChar w:fldCharType="end"/>
      </w:r>
      <w:r w:rsidR="009221DB" w:rsidRPr="005F4143">
        <w:t xml:space="preserve">. </w:t>
      </w:r>
      <w:r w:rsidR="00656594" w:rsidRPr="005F4143">
        <w:t>Number and notification rates of chlamydia, gonorrhoea and infectious syphilis</w:t>
      </w:r>
      <w:bookmarkEnd w:id="43"/>
    </w:p>
    <w:tbl>
      <w:tblPr>
        <w:tblStyle w:val="TableGrid"/>
        <w:tblW w:w="9775" w:type="dxa"/>
        <w:tblLook w:val="06A0" w:firstRow="1" w:lastRow="0" w:firstColumn="1" w:lastColumn="0" w:noHBand="1" w:noVBand="1"/>
      </w:tblPr>
      <w:tblGrid>
        <w:gridCol w:w="1419"/>
        <w:gridCol w:w="3231"/>
        <w:gridCol w:w="1440"/>
        <w:gridCol w:w="1701"/>
        <w:gridCol w:w="1984"/>
      </w:tblGrid>
      <w:tr w:rsidR="009039C7" w:rsidRPr="005F4143" w14:paraId="0796AE17" w14:textId="77777777" w:rsidTr="003C524B">
        <w:trPr>
          <w:tblHeader/>
        </w:trPr>
        <w:tc>
          <w:tcPr>
            <w:tcW w:w="1419" w:type="dxa"/>
          </w:tcPr>
          <w:p w14:paraId="0B7B7C0C" w14:textId="77777777" w:rsidR="009221DB" w:rsidRPr="005F4143" w:rsidRDefault="009221DB" w:rsidP="001E2732">
            <w:pPr>
              <w:pStyle w:val="Tablecolhead"/>
            </w:pPr>
            <w:r w:rsidRPr="005F4143">
              <w:t>Component</w:t>
            </w:r>
          </w:p>
        </w:tc>
        <w:tc>
          <w:tcPr>
            <w:tcW w:w="3231" w:type="dxa"/>
            <w:tcBorders>
              <w:bottom w:val="single" w:sz="4" w:space="0" w:color="auto"/>
            </w:tcBorders>
          </w:tcPr>
          <w:p w14:paraId="1B527D27" w14:textId="77777777" w:rsidR="009221DB" w:rsidRPr="005F4143" w:rsidRDefault="009221DB" w:rsidP="001E2732">
            <w:pPr>
              <w:pStyle w:val="Tablecolhead"/>
            </w:pPr>
            <w:r w:rsidRPr="005F4143">
              <w:t>Description</w:t>
            </w:r>
          </w:p>
        </w:tc>
        <w:tc>
          <w:tcPr>
            <w:tcW w:w="1440" w:type="dxa"/>
          </w:tcPr>
          <w:p w14:paraId="4697FBC3" w14:textId="77777777" w:rsidR="009221DB" w:rsidRPr="005F4143" w:rsidRDefault="009221DB" w:rsidP="001E2732">
            <w:pPr>
              <w:pStyle w:val="Tablecolhead"/>
            </w:pPr>
            <w:r w:rsidRPr="005F4143">
              <w:t>Source</w:t>
            </w:r>
          </w:p>
        </w:tc>
        <w:tc>
          <w:tcPr>
            <w:tcW w:w="1701" w:type="dxa"/>
          </w:tcPr>
          <w:p w14:paraId="4FA24354" w14:textId="77777777" w:rsidR="009221DB" w:rsidRPr="005F4143" w:rsidRDefault="009221DB" w:rsidP="001E2732">
            <w:pPr>
              <w:pStyle w:val="Tablecolhead"/>
            </w:pPr>
            <w:r w:rsidRPr="005F4143">
              <w:t>Custodian</w:t>
            </w:r>
          </w:p>
        </w:tc>
        <w:tc>
          <w:tcPr>
            <w:tcW w:w="1984" w:type="dxa"/>
          </w:tcPr>
          <w:p w14:paraId="1EFDBF0A" w14:textId="77777777" w:rsidR="009221DB" w:rsidRPr="005F4143" w:rsidRDefault="009221DB" w:rsidP="001E2732">
            <w:pPr>
              <w:pStyle w:val="Tablecolhead"/>
            </w:pPr>
            <w:r w:rsidRPr="005F4143">
              <w:t>Availability</w:t>
            </w:r>
          </w:p>
        </w:tc>
      </w:tr>
      <w:tr w:rsidR="009039C7" w:rsidRPr="005F4143" w14:paraId="69FAA267" w14:textId="77777777" w:rsidTr="003C524B">
        <w:tc>
          <w:tcPr>
            <w:tcW w:w="1419" w:type="dxa"/>
          </w:tcPr>
          <w:p w14:paraId="3AA15876" w14:textId="77777777" w:rsidR="000E16CC" w:rsidRPr="005F4143" w:rsidRDefault="000E16CC" w:rsidP="001E2732">
            <w:pPr>
              <w:pStyle w:val="Tabletext"/>
            </w:pPr>
            <w:r w:rsidRPr="005F4143">
              <w:t>Numerator</w:t>
            </w:r>
          </w:p>
        </w:tc>
        <w:tc>
          <w:tcPr>
            <w:tcW w:w="3231" w:type="dxa"/>
          </w:tcPr>
          <w:p w14:paraId="5ACB71DE" w14:textId="7C5E6E98" w:rsidR="000E16CC" w:rsidRPr="005F4143" w:rsidRDefault="000E16CC" w:rsidP="001E2732">
            <w:pPr>
              <w:pStyle w:val="Tabletext"/>
            </w:pPr>
            <w:r w:rsidRPr="005F4143">
              <w:t>Number of chlamydia cases notified to DH</w:t>
            </w:r>
          </w:p>
        </w:tc>
        <w:tc>
          <w:tcPr>
            <w:tcW w:w="1440" w:type="dxa"/>
          </w:tcPr>
          <w:p w14:paraId="49DC4B08" w14:textId="16710B5B" w:rsidR="000E16CC" w:rsidRPr="005F4143" w:rsidRDefault="000E16CC" w:rsidP="001E2732">
            <w:pPr>
              <w:pStyle w:val="Tablebullet2"/>
              <w:numPr>
                <w:ilvl w:val="0"/>
                <w:numId w:val="0"/>
              </w:numPr>
            </w:pPr>
            <w:r w:rsidRPr="005F4143">
              <w:t>PHESS</w:t>
            </w:r>
          </w:p>
        </w:tc>
        <w:tc>
          <w:tcPr>
            <w:tcW w:w="1701" w:type="dxa"/>
          </w:tcPr>
          <w:p w14:paraId="233755A3" w14:textId="2609726D" w:rsidR="000E16CC" w:rsidRPr="005F4143" w:rsidRDefault="000E16CC" w:rsidP="001E2732">
            <w:pPr>
              <w:pStyle w:val="Tablebullet2"/>
              <w:numPr>
                <w:ilvl w:val="0"/>
                <w:numId w:val="0"/>
              </w:numPr>
            </w:pPr>
            <w:r w:rsidRPr="005F4143">
              <w:t>DH</w:t>
            </w:r>
          </w:p>
        </w:tc>
        <w:tc>
          <w:tcPr>
            <w:tcW w:w="1984" w:type="dxa"/>
          </w:tcPr>
          <w:p w14:paraId="1CDD1EFD" w14:textId="2A695BD9" w:rsidR="000E16CC" w:rsidRPr="005F4143" w:rsidRDefault="000E16CC" w:rsidP="001E2732">
            <w:pPr>
              <w:pStyle w:val="Tablebullet1"/>
              <w:numPr>
                <w:ilvl w:val="0"/>
                <w:numId w:val="0"/>
              </w:numPr>
              <w:ind w:left="227" w:hanging="227"/>
            </w:pPr>
            <w:r w:rsidRPr="005F4143">
              <w:t>Quarterly</w:t>
            </w:r>
          </w:p>
        </w:tc>
      </w:tr>
      <w:tr w:rsidR="009039C7" w:rsidRPr="005F4143" w14:paraId="604F1F4B" w14:textId="77777777" w:rsidTr="003C524B">
        <w:tc>
          <w:tcPr>
            <w:tcW w:w="1419" w:type="dxa"/>
          </w:tcPr>
          <w:p w14:paraId="2F5DFAB1" w14:textId="6A6B94ED" w:rsidR="000E16CC" w:rsidRPr="005F4143" w:rsidRDefault="000E16CC" w:rsidP="001E2732">
            <w:pPr>
              <w:pStyle w:val="Tabletext"/>
            </w:pPr>
            <w:r w:rsidRPr="005F4143">
              <w:t>Numerator</w:t>
            </w:r>
          </w:p>
        </w:tc>
        <w:tc>
          <w:tcPr>
            <w:tcW w:w="3231" w:type="dxa"/>
          </w:tcPr>
          <w:p w14:paraId="43672ADF" w14:textId="6EBB8D2C" w:rsidR="000E16CC" w:rsidRPr="005F4143" w:rsidRDefault="000E16CC" w:rsidP="001E2732">
            <w:pPr>
              <w:pStyle w:val="Tabletext"/>
            </w:pPr>
            <w:r w:rsidRPr="005F4143">
              <w:t>Number of gonorrhoea cases notified to DH</w:t>
            </w:r>
          </w:p>
        </w:tc>
        <w:tc>
          <w:tcPr>
            <w:tcW w:w="1440" w:type="dxa"/>
          </w:tcPr>
          <w:p w14:paraId="67E48D4B" w14:textId="3659B51B" w:rsidR="000E16CC" w:rsidRPr="005F4143" w:rsidRDefault="000E16CC" w:rsidP="001E2732">
            <w:pPr>
              <w:pStyle w:val="Tablebullet2"/>
              <w:numPr>
                <w:ilvl w:val="0"/>
                <w:numId w:val="0"/>
              </w:numPr>
            </w:pPr>
            <w:r w:rsidRPr="005F4143">
              <w:t>PHESS</w:t>
            </w:r>
          </w:p>
        </w:tc>
        <w:tc>
          <w:tcPr>
            <w:tcW w:w="1701" w:type="dxa"/>
          </w:tcPr>
          <w:p w14:paraId="460D5FBF" w14:textId="2A85A11B" w:rsidR="000E16CC" w:rsidRPr="005F4143" w:rsidRDefault="000E16CC" w:rsidP="001E2732">
            <w:pPr>
              <w:pStyle w:val="Tablebullet2"/>
              <w:numPr>
                <w:ilvl w:val="0"/>
                <w:numId w:val="0"/>
              </w:numPr>
            </w:pPr>
            <w:r w:rsidRPr="005F4143">
              <w:t>DH</w:t>
            </w:r>
          </w:p>
        </w:tc>
        <w:tc>
          <w:tcPr>
            <w:tcW w:w="1984" w:type="dxa"/>
          </w:tcPr>
          <w:p w14:paraId="0A1EF2A3" w14:textId="6382498B" w:rsidR="000E16CC" w:rsidRPr="005F4143" w:rsidRDefault="000E16CC" w:rsidP="001E2732">
            <w:pPr>
              <w:pStyle w:val="Tablebullet1"/>
              <w:numPr>
                <w:ilvl w:val="0"/>
                <w:numId w:val="0"/>
              </w:numPr>
              <w:ind w:left="227" w:hanging="227"/>
            </w:pPr>
            <w:r w:rsidRPr="005F4143">
              <w:t>Quarterly</w:t>
            </w:r>
          </w:p>
        </w:tc>
      </w:tr>
      <w:tr w:rsidR="009039C7" w:rsidRPr="005F4143" w14:paraId="45CC18D9" w14:textId="77777777" w:rsidTr="003C524B">
        <w:tc>
          <w:tcPr>
            <w:tcW w:w="1419" w:type="dxa"/>
          </w:tcPr>
          <w:p w14:paraId="1D7A4E15" w14:textId="3C3D28AE" w:rsidR="000E16CC" w:rsidRPr="005F4143" w:rsidRDefault="000E16CC" w:rsidP="00CE39FA">
            <w:pPr>
              <w:pStyle w:val="Tabletext"/>
            </w:pPr>
            <w:r w:rsidRPr="005F4143">
              <w:t>Numerator</w:t>
            </w:r>
          </w:p>
        </w:tc>
        <w:tc>
          <w:tcPr>
            <w:tcW w:w="3231" w:type="dxa"/>
          </w:tcPr>
          <w:p w14:paraId="78124EA5" w14:textId="0F0F0706" w:rsidR="000E16CC" w:rsidRPr="005F4143" w:rsidRDefault="000E16CC" w:rsidP="00CE39FA">
            <w:pPr>
              <w:pStyle w:val="Tabletext"/>
            </w:pPr>
            <w:r w:rsidRPr="005F4143">
              <w:t>Number of infectious syphilis cases notified to DH</w:t>
            </w:r>
          </w:p>
        </w:tc>
        <w:tc>
          <w:tcPr>
            <w:tcW w:w="1440" w:type="dxa"/>
          </w:tcPr>
          <w:p w14:paraId="71601A08" w14:textId="7C5EC0D7" w:rsidR="000E16CC" w:rsidRPr="005F4143" w:rsidRDefault="000E16CC" w:rsidP="00CE39FA">
            <w:pPr>
              <w:pStyle w:val="Tablebullet2"/>
              <w:numPr>
                <w:ilvl w:val="0"/>
                <w:numId w:val="0"/>
              </w:numPr>
            </w:pPr>
            <w:r w:rsidRPr="005F4143">
              <w:t>PHESS</w:t>
            </w:r>
          </w:p>
        </w:tc>
        <w:tc>
          <w:tcPr>
            <w:tcW w:w="1701" w:type="dxa"/>
          </w:tcPr>
          <w:p w14:paraId="0ED39C1F" w14:textId="5A19057E" w:rsidR="000E16CC" w:rsidRPr="005F4143" w:rsidRDefault="000E16CC" w:rsidP="00CE39FA">
            <w:pPr>
              <w:pStyle w:val="Tablebullet2"/>
              <w:numPr>
                <w:ilvl w:val="0"/>
                <w:numId w:val="0"/>
              </w:numPr>
            </w:pPr>
            <w:r w:rsidRPr="005F4143">
              <w:t>DH</w:t>
            </w:r>
          </w:p>
        </w:tc>
        <w:tc>
          <w:tcPr>
            <w:tcW w:w="1984" w:type="dxa"/>
          </w:tcPr>
          <w:p w14:paraId="67190470" w14:textId="0CF4A9B0" w:rsidR="000E16CC" w:rsidRPr="005F4143" w:rsidRDefault="000E16CC" w:rsidP="00CE39FA">
            <w:pPr>
              <w:pStyle w:val="Tablebullet1"/>
              <w:numPr>
                <w:ilvl w:val="0"/>
                <w:numId w:val="0"/>
              </w:numPr>
              <w:ind w:left="227" w:hanging="227"/>
            </w:pPr>
            <w:r w:rsidRPr="005F4143">
              <w:t>Quarterly</w:t>
            </w:r>
          </w:p>
        </w:tc>
      </w:tr>
      <w:tr w:rsidR="009039C7" w:rsidRPr="005F4143" w14:paraId="42080CDC" w14:textId="77777777" w:rsidTr="003C524B">
        <w:tc>
          <w:tcPr>
            <w:tcW w:w="1419" w:type="dxa"/>
          </w:tcPr>
          <w:p w14:paraId="4F354918" w14:textId="77777777" w:rsidR="000E16CC" w:rsidRPr="005F4143" w:rsidRDefault="000E16CC" w:rsidP="00CE39FA">
            <w:pPr>
              <w:pStyle w:val="Tabletext"/>
            </w:pPr>
            <w:r w:rsidRPr="005F4143">
              <w:t>Denominator</w:t>
            </w:r>
          </w:p>
        </w:tc>
        <w:tc>
          <w:tcPr>
            <w:tcW w:w="3231" w:type="dxa"/>
          </w:tcPr>
          <w:p w14:paraId="4A420B57" w14:textId="38D28FF4" w:rsidR="000E16CC" w:rsidRPr="005F4143" w:rsidRDefault="006A14B2" w:rsidP="00CE39FA">
            <w:pPr>
              <w:pStyle w:val="Tabletext"/>
            </w:pPr>
            <w:r w:rsidRPr="005F4143">
              <w:t>Victorian ERP</w:t>
            </w:r>
          </w:p>
        </w:tc>
        <w:tc>
          <w:tcPr>
            <w:tcW w:w="1440" w:type="dxa"/>
          </w:tcPr>
          <w:p w14:paraId="62B9D87A" w14:textId="60AD79BA" w:rsidR="000E16CC" w:rsidRPr="005F4143" w:rsidRDefault="006A14B2" w:rsidP="00CE39FA">
            <w:pPr>
              <w:pStyle w:val="Tablebullet2"/>
              <w:numPr>
                <w:ilvl w:val="0"/>
                <w:numId w:val="0"/>
              </w:numPr>
            </w:pPr>
            <w:r w:rsidRPr="005F4143">
              <w:t>ABS</w:t>
            </w:r>
          </w:p>
        </w:tc>
        <w:tc>
          <w:tcPr>
            <w:tcW w:w="1701" w:type="dxa"/>
          </w:tcPr>
          <w:p w14:paraId="0EB2B24A" w14:textId="001685F1" w:rsidR="000E16CC" w:rsidRPr="005F4143" w:rsidRDefault="006A14B2" w:rsidP="00CE39FA">
            <w:pPr>
              <w:pStyle w:val="Tablebullet2"/>
              <w:numPr>
                <w:ilvl w:val="0"/>
                <w:numId w:val="0"/>
              </w:numPr>
            </w:pPr>
            <w:r w:rsidRPr="005F4143">
              <w:t>ABS</w:t>
            </w:r>
          </w:p>
        </w:tc>
        <w:tc>
          <w:tcPr>
            <w:tcW w:w="1984" w:type="dxa"/>
          </w:tcPr>
          <w:p w14:paraId="786E7EEC" w14:textId="77777777" w:rsidR="000E16CC" w:rsidRPr="005F4143" w:rsidRDefault="000E16CC" w:rsidP="00CE39FA">
            <w:pPr>
              <w:pStyle w:val="Tablebullet1"/>
              <w:numPr>
                <w:ilvl w:val="0"/>
                <w:numId w:val="0"/>
              </w:numPr>
              <w:ind w:left="227" w:hanging="227"/>
            </w:pPr>
            <w:r w:rsidRPr="005F4143">
              <w:t>Annually</w:t>
            </w:r>
          </w:p>
        </w:tc>
      </w:tr>
    </w:tbl>
    <w:p w14:paraId="15A6C279" w14:textId="6F51B16E" w:rsidR="00380528" w:rsidRPr="005F4143" w:rsidRDefault="00380528" w:rsidP="000C02E2">
      <w:pPr>
        <w:spacing w:after="0" w:line="240" w:lineRule="auto"/>
      </w:pPr>
    </w:p>
    <w:p w14:paraId="397F592D" w14:textId="458052C7" w:rsidR="00380528" w:rsidRPr="005F4143" w:rsidRDefault="004C7B1B" w:rsidP="00CE39FA">
      <w:pPr>
        <w:pStyle w:val="Tablecaption"/>
      </w:pPr>
      <w:r w:rsidRPr="005F4143">
        <w:fldChar w:fldCharType="begin"/>
      </w:r>
      <w:r w:rsidRPr="005F4143">
        <w:instrText>SEQ Table \* ARABIC</w:instrText>
      </w:r>
      <w:r w:rsidRPr="005F4143">
        <w:fldChar w:fldCharType="separate"/>
      </w:r>
      <w:bookmarkStart w:id="44" w:name="_Toc214457316"/>
      <w:r w:rsidR="00670632">
        <w:rPr>
          <w:noProof/>
        </w:rPr>
        <w:t>17</w:t>
      </w:r>
      <w:r w:rsidRPr="005F4143">
        <w:fldChar w:fldCharType="end"/>
      </w:r>
      <w:r w:rsidR="00380528" w:rsidRPr="005F4143">
        <w:t>. Number and notification rates of chlamydia, gonorrhoea and infectious syphilis</w:t>
      </w:r>
      <w:r w:rsidR="00BD5132" w:rsidRPr="005F4143">
        <w:t xml:space="preserve"> by sex and 10-year age groups</w:t>
      </w:r>
      <w:bookmarkEnd w:id="44"/>
    </w:p>
    <w:tbl>
      <w:tblPr>
        <w:tblStyle w:val="TableGrid"/>
        <w:tblW w:w="9776" w:type="dxa"/>
        <w:tblLook w:val="06A0" w:firstRow="1" w:lastRow="0" w:firstColumn="1" w:lastColumn="0" w:noHBand="1" w:noVBand="1"/>
      </w:tblPr>
      <w:tblGrid>
        <w:gridCol w:w="1419"/>
        <w:gridCol w:w="3233"/>
        <w:gridCol w:w="1439"/>
        <w:gridCol w:w="1701"/>
        <w:gridCol w:w="1984"/>
      </w:tblGrid>
      <w:tr w:rsidR="009039C7" w:rsidRPr="005F4143" w14:paraId="73008E29" w14:textId="77777777" w:rsidTr="00227486">
        <w:trPr>
          <w:tblHeader/>
        </w:trPr>
        <w:tc>
          <w:tcPr>
            <w:tcW w:w="1419" w:type="dxa"/>
          </w:tcPr>
          <w:p w14:paraId="658CD62F" w14:textId="77777777" w:rsidR="00380528" w:rsidRPr="005F4143" w:rsidRDefault="00380528" w:rsidP="00CE39FA">
            <w:pPr>
              <w:pStyle w:val="Tablecolhead"/>
            </w:pPr>
            <w:r w:rsidRPr="005F4143">
              <w:t>Component</w:t>
            </w:r>
          </w:p>
        </w:tc>
        <w:tc>
          <w:tcPr>
            <w:tcW w:w="3233" w:type="dxa"/>
            <w:tcBorders>
              <w:bottom w:val="single" w:sz="4" w:space="0" w:color="auto"/>
            </w:tcBorders>
          </w:tcPr>
          <w:p w14:paraId="6701A3CF" w14:textId="77777777" w:rsidR="00380528" w:rsidRPr="005F4143" w:rsidRDefault="00380528" w:rsidP="00CE39FA">
            <w:pPr>
              <w:pStyle w:val="Tablecolhead"/>
            </w:pPr>
            <w:r w:rsidRPr="005F4143">
              <w:t>Description</w:t>
            </w:r>
          </w:p>
        </w:tc>
        <w:tc>
          <w:tcPr>
            <w:tcW w:w="1439" w:type="dxa"/>
          </w:tcPr>
          <w:p w14:paraId="44F63B21" w14:textId="77777777" w:rsidR="00380528" w:rsidRPr="005F4143" w:rsidRDefault="00380528" w:rsidP="00CE39FA">
            <w:pPr>
              <w:pStyle w:val="Tablecolhead"/>
            </w:pPr>
            <w:r w:rsidRPr="005F4143">
              <w:t>Source</w:t>
            </w:r>
          </w:p>
        </w:tc>
        <w:tc>
          <w:tcPr>
            <w:tcW w:w="1701" w:type="dxa"/>
          </w:tcPr>
          <w:p w14:paraId="35472F4A" w14:textId="77777777" w:rsidR="00380528" w:rsidRPr="005F4143" w:rsidRDefault="00380528" w:rsidP="00CE39FA">
            <w:pPr>
              <w:pStyle w:val="Tablecolhead"/>
            </w:pPr>
            <w:r w:rsidRPr="005F4143">
              <w:t>Custodian</w:t>
            </w:r>
          </w:p>
        </w:tc>
        <w:tc>
          <w:tcPr>
            <w:tcW w:w="1984" w:type="dxa"/>
          </w:tcPr>
          <w:p w14:paraId="06EDFC9C" w14:textId="77777777" w:rsidR="00380528" w:rsidRPr="005F4143" w:rsidRDefault="00380528" w:rsidP="00CE39FA">
            <w:pPr>
              <w:pStyle w:val="Tablecolhead"/>
            </w:pPr>
            <w:r w:rsidRPr="005F4143">
              <w:t>Availability</w:t>
            </w:r>
          </w:p>
        </w:tc>
      </w:tr>
      <w:tr w:rsidR="009039C7" w:rsidRPr="005F4143" w14:paraId="001FCFB9" w14:textId="77777777" w:rsidTr="00227486">
        <w:tc>
          <w:tcPr>
            <w:tcW w:w="1419" w:type="dxa"/>
          </w:tcPr>
          <w:p w14:paraId="775AC283" w14:textId="77777777" w:rsidR="00380528" w:rsidRPr="005F4143" w:rsidRDefault="00380528" w:rsidP="006512F3">
            <w:pPr>
              <w:pStyle w:val="Tabletext"/>
            </w:pPr>
            <w:r w:rsidRPr="005F4143">
              <w:t>Numerator</w:t>
            </w:r>
          </w:p>
        </w:tc>
        <w:tc>
          <w:tcPr>
            <w:tcW w:w="3233" w:type="dxa"/>
          </w:tcPr>
          <w:p w14:paraId="6FE51319" w14:textId="605B074D" w:rsidR="00380528" w:rsidRPr="005F4143" w:rsidRDefault="00380528" w:rsidP="006512F3">
            <w:pPr>
              <w:pStyle w:val="Tabletext"/>
            </w:pPr>
            <w:r w:rsidRPr="005F4143">
              <w:t>Number of chlamydia cases notified to DH</w:t>
            </w:r>
            <w:r w:rsidR="00BD5132" w:rsidRPr="005F4143">
              <w:t>, by sex and 10-year age group.</w:t>
            </w:r>
          </w:p>
        </w:tc>
        <w:tc>
          <w:tcPr>
            <w:tcW w:w="1439" w:type="dxa"/>
          </w:tcPr>
          <w:p w14:paraId="421A9B7F" w14:textId="77777777" w:rsidR="00380528" w:rsidRPr="005F4143" w:rsidRDefault="00380528" w:rsidP="006512F3">
            <w:pPr>
              <w:pStyle w:val="Tablebullet2"/>
              <w:numPr>
                <w:ilvl w:val="0"/>
                <w:numId w:val="0"/>
              </w:numPr>
            </w:pPr>
            <w:r w:rsidRPr="005F4143">
              <w:t>PHESS</w:t>
            </w:r>
          </w:p>
        </w:tc>
        <w:tc>
          <w:tcPr>
            <w:tcW w:w="1701" w:type="dxa"/>
          </w:tcPr>
          <w:p w14:paraId="11CC22E4" w14:textId="77777777" w:rsidR="00380528" w:rsidRPr="005F4143" w:rsidRDefault="00380528" w:rsidP="006512F3">
            <w:pPr>
              <w:pStyle w:val="Tablebullet2"/>
              <w:numPr>
                <w:ilvl w:val="0"/>
                <w:numId w:val="0"/>
              </w:numPr>
            </w:pPr>
            <w:r w:rsidRPr="005F4143">
              <w:t>DH</w:t>
            </w:r>
          </w:p>
        </w:tc>
        <w:tc>
          <w:tcPr>
            <w:tcW w:w="1984" w:type="dxa"/>
          </w:tcPr>
          <w:p w14:paraId="5F6350CE" w14:textId="77777777" w:rsidR="00380528" w:rsidRPr="005F4143" w:rsidRDefault="00380528" w:rsidP="006512F3">
            <w:pPr>
              <w:pStyle w:val="Tablebullet1"/>
              <w:numPr>
                <w:ilvl w:val="0"/>
                <w:numId w:val="0"/>
              </w:numPr>
              <w:ind w:left="227" w:hanging="227"/>
            </w:pPr>
            <w:r w:rsidRPr="005F4143">
              <w:t>Quarterly</w:t>
            </w:r>
          </w:p>
        </w:tc>
      </w:tr>
      <w:tr w:rsidR="009039C7" w:rsidRPr="005F4143" w14:paraId="2742BA60" w14:textId="77777777" w:rsidTr="00227486">
        <w:tc>
          <w:tcPr>
            <w:tcW w:w="1419" w:type="dxa"/>
          </w:tcPr>
          <w:p w14:paraId="5F709A5C" w14:textId="77777777" w:rsidR="00380528" w:rsidRPr="005F4143" w:rsidRDefault="00380528" w:rsidP="006512F3">
            <w:pPr>
              <w:pStyle w:val="Tabletext"/>
            </w:pPr>
            <w:r w:rsidRPr="005F4143">
              <w:t>Numerator</w:t>
            </w:r>
          </w:p>
        </w:tc>
        <w:tc>
          <w:tcPr>
            <w:tcW w:w="3233" w:type="dxa"/>
          </w:tcPr>
          <w:p w14:paraId="7DDEB76D" w14:textId="2AFABD42" w:rsidR="00380528" w:rsidRPr="005F4143" w:rsidRDefault="00380528" w:rsidP="006512F3">
            <w:pPr>
              <w:pStyle w:val="Tabletext"/>
            </w:pPr>
            <w:r w:rsidRPr="005F4143">
              <w:t>Number of gonorrhoea cases notified to DH</w:t>
            </w:r>
            <w:r w:rsidR="00BD5132" w:rsidRPr="005F4143">
              <w:t>, by sex and 10-year age group</w:t>
            </w:r>
          </w:p>
        </w:tc>
        <w:tc>
          <w:tcPr>
            <w:tcW w:w="1439" w:type="dxa"/>
          </w:tcPr>
          <w:p w14:paraId="642FD06C" w14:textId="77777777" w:rsidR="00380528" w:rsidRPr="005F4143" w:rsidRDefault="00380528" w:rsidP="006512F3">
            <w:pPr>
              <w:pStyle w:val="Tablebullet2"/>
              <w:numPr>
                <w:ilvl w:val="0"/>
                <w:numId w:val="0"/>
              </w:numPr>
            </w:pPr>
            <w:r w:rsidRPr="005F4143">
              <w:t>PHESS</w:t>
            </w:r>
          </w:p>
        </w:tc>
        <w:tc>
          <w:tcPr>
            <w:tcW w:w="1701" w:type="dxa"/>
          </w:tcPr>
          <w:p w14:paraId="195BBAF2" w14:textId="77777777" w:rsidR="00380528" w:rsidRPr="005F4143" w:rsidRDefault="00380528" w:rsidP="006512F3">
            <w:pPr>
              <w:pStyle w:val="Tablebullet2"/>
              <w:numPr>
                <w:ilvl w:val="0"/>
                <w:numId w:val="0"/>
              </w:numPr>
            </w:pPr>
            <w:r w:rsidRPr="005F4143">
              <w:t>DH</w:t>
            </w:r>
          </w:p>
        </w:tc>
        <w:tc>
          <w:tcPr>
            <w:tcW w:w="1984" w:type="dxa"/>
          </w:tcPr>
          <w:p w14:paraId="6F1F851E" w14:textId="77777777" w:rsidR="00380528" w:rsidRPr="005F4143" w:rsidRDefault="00380528" w:rsidP="006512F3">
            <w:pPr>
              <w:pStyle w:val="Tablebullet1"/>
              <w:numPr>
                <w:ilvl w:val="0"/>
                <w:numId w:val="0"/>
              </w:numPr>
              <w:ind w:left="227" w:hanging="227"/>
            </w:pPr>
            <w:r w:rsidRPr="005F4143">
              <w:t>Quarterly</w:t>
            </w:r>
          </w:p>
        </w:tc>
      </w:tr>
      <w:tr w:rsidR="009039C7" w:rsidRPr="005F4143" w14:paraId="7AD510E5" w14:textId="77777777" w:rsidTr="00227486">
        <w:tc>
          <w:tcPr>
            <w:tcW w:w="1419" w:type="dxa"/>
          </w:tcPr>
          <w:p w14:paraId="45F4ACB2" w14:textId="77777777" w:rsidR="00380528" w:rsidRPr="005F4143" w:rsidRDefault="00380528" w:rsidP="006512F3">
            <w:pPr>
              <w:pStyle w:val="Tabletext"/>
            </w:pPr>
            <w:r w:rsidRPr="005F4143">
              <w:t>Numerator</w:t>
            </w:r>
          </w:p>
        </w:tc>
        <w:tc>
          <w:tcPr>
            <w:tcW w:w="3233" w:type="dxa"/>
          </w:tcPr>
          <w:p w14:paraId="56920EDD" w14:textId="70BBD978" w:rsidR="00380528" w:rsidRPr="005F4143" w:rsidRDefault="00380528" w:rsidP="006512F3">
            <w:pPr>
              <w:pStyle w:val="Tabletext"/>
            </w:pPr>
            <w:r w:rsidRPr="005F4143">
              <w:t>Number of infectious syphilis cases notified to DH</w:t>
            </w:r>
            <w:r w:rsidR="00BD5132" w:rsidRPr="005F4143">
              <w:t>, by sex and 10-year age group</w:t>
            </w:r>
          </w:p>
        </w:tc>
        <w:tc>
          <w:tcPr>
            <w:tcW w:w="1439" w:type="dxa"/>
          </w:tcPr>
          <w:p w14:paraId="3C512B32" w14:textId="77777777" w:rsidR="00380528" w:rsidRPr="005F4143" w:rsidRDefault="00380528" w:rsidP="006512F3">
            <w:pPr>
              <w:pStyle w:val="Tablebullet2"/>
              <w:numPr>
                <w:ilvl w:val="0"/>
                <w:numId w:val="0"/>
              </w:numPr>
            </w:pPr>
            <w:r w:rsidRPr="005F4143">
              <w:t>PHESS</w:t>
            </w:r>
          </w:p>
        </w:tc>
        <w:tc>
          <w:tcPr>
            <w:tcW w:w="1701" w:type="dxa"/>
          </w:tcPr>
          <w:p w14:paraId="10F3011F" w14:textId="77777777" w:rsidR="00380528" w:rsidRPr="005F4143" w:rsidRDefault="00380528" w:rsidP="006512F3">
            <w:pPr>
              <w:pStyle w:val="Tablebullet2"/>
              <w:numPr>
                <w:ilvl w:val="0"/>
                <w:numId w:val="0"/>
              </w:numPr>
            </w:pPr>
            <w:r w:rsidRPr="005F4143">
              <w:t>DH</w:t>
            </w:r>
          </w:p>
        </w:tc>
        <w:tc>
          <w:tcPr>
            <w:tcW w:w="1984" w:type="dxa"/>
          </w:tcPr>
          <w:p w14:paraId="557EC193" w14:textId="77777777" w:rsidR="00380528" w:rsidRPr="005F4143" w:rsidRDefault="00380528" w:rsidP="006512F3">
            <w:pPr>
              <w:pStyle w:val="Tablebullet1"/>
              <w:numPr>
                <w:ilvl w:val="0"/>
                <w:numId w:val="0"/>
              </w:numPr>
              <w:ind w:left="227" w:hanging="227"/>
            </w:pPr>
            <w:r w:rsidRPr="005F4143">
              <w:t>Quarterly</w:t>
            </w:r>
          </w:p>
        </w:tc>
      </w:tr>
      <w:tr w:rsidR="009039C7" w:rsidRPr="005F4143" w14:paraId="7537FA20" w14:textId="77777777" w:rsidTr="00227486">
        <w:tc>
          <w:tcPr>
            <w:tcW w:w="1419" w:type="dxa"/>
          </w:tcPr>
          <w:p w14:paraId="5AF621FE" w14:textId="77777777" w:rsidR="00380528" w:rsidRPr="005F4143" w:rsidRDefault="00380528" w:rsidP="006512F3">
            <w:pPr>
              <w:pStyle w:val="Tabletext"/>
            </w:pPr>
            <w:r w:rsidRPr="005F4143">
              <w:t>Denominator</w:t>
            </w:r>
          </w:p>
        </w:tc>
        <w:tc>
          <w:tcPr>
            <w:tcW w:w="3233" w:type="dxa"/>
          </w:tcPr>
          <w:p w14:paraId="2F82F068" w14:textId="2D35C8EF" w:rsidR="00380528" w:rsidRPr="005F4143" w:rsidRDefault="00380528" w:rsidP="006512F3">
            <w:pPr>
              <w:pStyle w:val="Tabletext"/>
            </w:pPr>
            <w:r w:rsidRPr="005F4143">
              <w:t>Victorian ERP</w:t>
            </w:r>
            <w:r w:rsidR="00BD5132" w:rsidRPr="005F4143">
              <w:t>, by sex and 10-year age group</w:t>
            </w:r>
          </w:p>
        </w:tc>
        <w:tc>
          <w:tcPr>
            <w:tcW w:w="1439" w:type="dxa"/>
          </w:tcPr>
          <w:p w14:paraId="4D4D852C" w14:textId="77777777" w:rsidR="00380528" w:rsidRPr="005F4143" w:rsidRDefault="00380528" w:rsidP="006512F3">
            <w:pPr>
              <w:pStyle w:val="Tablebullet2"/>
              <w:numPr>
                <w:ilvl w:val="0"/>
                <w:numId w:val="0"/>
              </w:numPr>
            </w:pPr>
            <w:r w:rsidRPr="005F4143">
              <w:t>ABS</w:t>
            </w:r>
          </w:p>
        </w:tc>
        <w:tc>
          <w:tcPr>
            <w:tcW w:w="1701" w:type="dxa"/>
          </w:tcPr>
          <w:p w14:paraId="31FAB616" w14:textId="77777777" w:rsidR="00380528" w:rsidRPr="005F4143" w:rsidRDefault="00380528" w:rsidP="006512F3">
            <w:pPr>
              <w:pStyle w:val="Tablebullet2"/>
              <w:numPr>
                <w:ilvl w:val="0"/>
                <w:numId w:val="0"/>
              </w:numPr>
            </w:pPr>
            <w:r w:rsidRPr="005F4143">
              <w:t>ABS</w:t>
            </w:r>
          </w:p>
        </w:tc>
        <w:tc>
          <w:tcPr>
            <w:tcW w:w="1984" w:type="dxa"/>
          </w:tcPr>
          <w:p w14:paraId="7A28404E" w14:textId="77777777" w:rsidR="00380528" w:rsidRPr="005F4143" w:rsidRDefault="00380528" w:rsidP="006512F3">
            <w:pPr>
              <w:pStyle w:val="Tablebullet1"/>
              <w:numPr>
                <w:ilvl w:val="0"/>
                <w:numId w:val="0"/>
              </w:numPr>
              <w:ind w:left="227" w:hanging="227"/>
            </w:pPr>
            <w:r w:rsidRPr="005F4143">
              <w:t>Annually</w:t>
            </w:r>
          </w:p>
        </w:tc>
      </w:tr>
    </w:tbl>
    <w:p w14:paraId="691C565C" w14:textId="67AFF8FA" w:rsidR="00DA2C63" w:rsidRPr="005F4143" w:rsidRDefault="00DA2C63" w:rsidP="00DA2C63">
      <w:pPr>
        <w:pStyle w:val="Body"/>
      </w:pPr>
    </w:p>
    <w:p w14:paraId="7F2A018D" w14:textId="707EF2AD" w:rsidR="00DA2C63" w:rsidRPr="005F4143" w:rsidRDefault="00D67D40" w:rsidP="00A61DDC">
      <w:pPr>
        <w:spacing w:after="0" w:line="240" w:lineRule="auto"/>
        <w:rPr>
          <w:b/>
          <w:bCs/>
        </w:rPr>
      </w:pPr>
      <w:r w:rsidRPr="005F4143">
        <w:rPr>
          <w:b/>
          <w:bCs/>
        </w:rPr>
        <w:fldChar w:fldCharType="begin"/>
      </w:r>
      <w:r w:rsidRPr="005F4143">
        <w:rPr>
          <w:b/>
          <w:bCs/>
        </w:rPr>
        <w:instrText xml:space="preserve"> SEQ Table \* ARABIC </w:instrText>
      </w:r>
      <w:r w:rsidRPr="005F4143">
        <w:rPr>
          <w:b/>
          <w:bCs/>
        </w:rPr>
        <w:fldChar w:fldCharType="separate"/>
      </w:r>
      <w:bookmarkStart w:id="45" w:name="_Toc214457317"/>
      <w:r w:rsidR="00670632">
        <w:rPr>
          <w:b/>
          <w:bCs/>
          <w:noProof/>
        </w:rPr>
        <w:t>18</w:t>
      </w:r>
      <w:r w:rsidRPr="005F4143">
        <w:rPr>
          <w:b/>
          <w:bCs/>
        </w:rPr>
        <w:fldChar w:fldCharType="end"/>
      </w:r>
      <w:r w:rsidR="00DA2C63" w:rsidRPr="005F4143">
        <w:rPr>
          <w:b/>
          <w:bCs/>
        </w:rPr>
        <w:t>. Number and notification rates of gonorrhoea and infectious syphilis among culturally diverse people</w:t>
      </w:r>
      <w:bookmarkEnd w:id="45"/>
    </w:p>
    <w:tbl>
      <w:tblPr>
        <w:tblStyle w:val="TableGrid"/>
        <w:tblW w:w="9776" w:type="dxa"/>
        <w:tblLook w:val="06A0" w:firstRow="1" w:lastRow="0" w:firstColumn="1" w:lastColumn="0" w:noHBand="1" w:noVBand="1"/>
      </w:tblPr>
      <w:tblGrid>
        <w:gridCol w:w="1419"/>
        <w:gridCol w:w="3233"/>
        <w:gridCol w:w="1439"/>
        <w:gridCol w:w="1701"/>
        <w:gridCol w:w="1984"/>
      </w:tblGrid>
      <w:tr w:rsidR="002949B7" w:rsidRPr="005F4143" w14:paraId="1672B7CE" w14:textId="77777777">
        <w:trPr>
          <w:tblHeader/>
        </w:trPr>
        <w:tc>
          <w:tcPr>
            <w:tcW w:w="1419" w:type="dxa"/>
          </w:tcPr>
          <w:p w14:paraId="4D66DB65" w14:textId="77777777" w:rsidR="002949B7" w:rsidRPr="005F4143" w:rsidRDefault="002949B7">
            <w:pPr>
              <w:pStyle w:val="Tablecolhead"/>
            </w:pPr>
            <w:r w:rsidRPr="005F4143">
              <w:t>Component</w:t>
            </w:r>
          </w:p>
        </w:tc>
        <w:tc>
          <w:tcPr>
            <w:tcW w:w="3233" w:type="dxa"/>
            <w:tcBorders>
              <w:bottom w:val="single" w:sz="4" w:space="0" w:color="auto"/>
            </w:tcBorders>
          </w:tcPr>
          <w:p w14:paraId="7DFB81A3" w14:textId="77777777" w:rsidR="002949B7" w:rsidRPr="005F4143" w:rsidRDefault="002949B7">
            <w:pPr>
              <w:pStyle w:val="Tablecolhead"/>
            </w:pPr>
            <w:r w:rsidRPr="005F4143">
              <w:t>Description</w:t>
            </w:r>
          </w:p>
        </w:tc>
        <w:tc>
          <w:tcPr>
            <w:tcW w:w="1439" w:type="dxa"/>
          </w:tcPr>
          <w:p w14:paraId="34A94326" w14:textId="77777777" w:rsidR="002949B7" w:rsidRPr="005F4143" w:rsidRDefault="002949B7">
            <w:pPr>
              <w:pStyle w:val="Tablecolhead"/>
            </w:pPr>
            <w:r w:rsidRPr="005F4143">
              <w:t>Source</w:t>
            </w:r>
          </w:p>
        </w:tc>
        <w:tc>
          <w:tcPr>
            <w:tcW w:w="1701" w:type="dxa"/>
          </w:tcPr>
          <w:p w14:paraId="5C81E93C" w14:textId="77777777" w:rsidR="002949B7" w:rsidRPr="005F4143" w:rsidRDefault="002949B7">
            <w:pPr>
              <w:pStyle w:val="Tablecolhead"/>
            </w:pPr>
            <w:r w:rsidRPr="005F4143">
              <w:t>Custodian</w:t>
            </w:r>
          </w:p>
        </w:tc>
        <w:tc>
          <w:tcPr>
            <w:tcW w:w="1984" w:type="dxa"/>
          </w:tcPr>
          <w:p w14:paraId="7EDD9A3B" w14:textId="77777777" w:rsidR="002949B7" w:rsidRPr="005F4143" w:rsidRDefault="002949B7">
            <w:pPr>
              <w:pStyle w:val="Tablecolhead"/>
            </w:pPr>
            <w:r w:rsidRPr="005F4143">
              <w:t>Availability</w:t>
            </w:r>
          </w:p>
        </w:tc>
      </w:tr>
      <w:tr w:rsidR="002949B7" w:rsidRPr="005F4143" w14:paraId="191708BB" w14:textId="77777777">
        <w:tc>
          <w:tcPr>
            <w:tcW w:w="1419" w:type="dxa"/>
          </w:tcPr>
          <w:p w14:paraId="3C96013C" w14:textId="77777777" w:rsidR="002949B7" w:rsidRPr="005F4143" w:rsidRDefault="002949B7">
            <w:pPr>
              <w:pStyle w:val="Tabletext"/>
            </w:pPr>
            <w:r w:rsidRPr="005F4143">
              <w:t>Numerator</w:t>
            </w:r>
          </w:p>
        </w:tc>
        <w:tc>
          <w:tcPr>
            <w:tcW w:w="3233" w:type="dxa"/>
          </w:tcPr>
          <w:p w14:paraId="61BA24F9" w14:textId="6142AF32" w:rsidR="002949B7" w:rsidRPr="005F4143" w:rsidRDefault="002949B7">
            <w:pPr>
              <w:pStyle w:val="Tabletext"/>
            </w:pPr>
            <w:r w:rsidRPr="005F4143">
              <w:t>Number of gonorrhoea cases notified to the department among individuals born overseas</w:t>
            </w:r>
          </w:p>
        </w:tc>
        <w:tc>
          <w:tcPr>
            <w:tcW w:w="1439" w:type="dxa"/>
          </w:tcPr>
          <w:p w14:paraId="3D295DEB" w14:textId="77777777" w:rsidR="002949B7" w:rsidRPr="005F4143" w:rsidRDefault="002949B7">
            <w:pPr>
              <w:pStyle w:val="Tablebullet2"/>
              <w:numPr>
                <w:ilvl w:val="0"/>
                <w:numId w:val="0"/>
              </w:numPr>
            </w:pPr>
            <w:r w:rsidRPr="005F4143">
              <w:t>PHESS</w:t>
            </w:r>
          </w:p>
        </w:tc>
        <w:tc>
          <w:tcPr>
            <w:tcW w:w="1701" w:type="dxa"/>
          </w:tcPr>
          <w:p w14:paraId="7704C4B4" w14:textId="77777777" w:rsidR="002949B7" w:rsidRPr="005F4143" w:rsidRDefault="002949B7">
            <w:pPr>
              <w:pStyle w:val="Tablebullet2"/>
              <w:numPr>
                <w:ilvl w:val="0"/>
                <w:numId w:val="0"/>
              </w:numPr>
            </w:pPr>
            <w:r w:rsidRPr="005F4143">
              <w:t>DH</w:t>
            </w:r>
          </w:p>
        </w:tc>
        <w:tc>
          <w:tcPr>
            <w:tcW w:w="1984" w:type="dxa"/>
          </w:tcPr>
          <w:p w14:paraId="0CFB2069" w14:textId="77777777" w:rsidR="002949B7" w:rsidRPr="005F4143" w:rsidRDefault="002949B7">
            <w:pPr>
              <w:pStyle w:val="Tablebullet1"/>
              <w:numPr>
                <w:ilvl w:val="0"/>
                <w:numId w:val="0"/>
              </w:numPr>
              <w:ind w:left="227" w:hanging="227"/>
            </w:pPr>
            <w:r w:rsidRPr="005F4143">
              <w:t>Quarterly</w:t>
            </w:r>
          </w:p>
        </w:tc>
      </w:tr>
      <w:tr w:rsidR="002949B7" w:rsidRPr="005F4143" w14:paraId="71ED906E" w14:textId="77777777">
        <w:tc>
          <w:tcPr>
            <w:tcW w:w="1419" w:type="dxa"/>
          </w:tcPr>
          <w:p w14:paraId="23B6A455" w14:textId="77777777" w:rsidR="002949B7" w:rsidRPr="005F4143" w:rsidRDefault="002949B7">
            <w:pPr>
              <w:pStyle w:val="Tabletext"/>
            </w:pPr>
            <w:r w:rsidRPr="005F4143">
              <w:t>Numerator</w:t>
            </w:r>
          </w:p>
        </w:tc>
        <w:tc>
          <w:tcPr>
            <w:tcW w:w="3233" w:type="dxa"/>
          </w:tcPr>
          <w:p w14:paraId="30CB25C6" w14:textId="19C3123E" w:rsidR="002949B7" w:rsidRPr="005F4143" w:rsidRDefault="002949B7">
            <w:pPr>
              <w:pStyle w:val="Tabletext"/>
            </w:pPr>
            <w:r w:rsidRPr="005F4143">
              <w:t>Number of infectious syphilis cases notified to department among individuals born overseas, by sex and 10-year age group</w:t>
            </w:r>
          </w:p>
        </w:tc>
        <w:tc>
          <w:tcPr>
            <w:tcW w:w="1439" w:type="dxa"/>
          </w:tcPr>
          <w:p w14:paraId="7C74EF0C" w14:textId="77777777" w:rsidR="002949B7" w:rsidRPr="005F4143" w:rsidRDefault="002949B7">
            <w:pPr>
              <w:pStyle w:val="Tablebullet2"/>
              <w:numPr>
                <w:ilvl w:val="0"/>
                <w:numId w:val="0"/>
              </w:numPr>
            </w:pPr>
            <w:r w:rsidRPr="005F4143">
              <w:t>PHESS</w:t>
            </w:r>
          </w:p>
        </w:tc>
        <w:tc>
          <w:tcPr>
            <w:tcW w:w="1701" w:type="dxa"/>
          </w:tcPr>
          <w:p w14:paraId="2D03A28F" w14:textId="77777777" w:rsidR="002949B7" w:rsidRPr="005F4143" w:rsidRDefault="002949B7">
            <w:pPr>
              <w:pStyle w:val="Tablebullet2"/>
              <w:numPr>
                <w:ilvl w:val="0"/>
                <w:numId w:val="0"/>
              </w:numPr>
            </w:pPr>
            <w:r w:rsidRPr="005F4143">
              <w:t>DH</w:t>
            </w:r>
          </w:p>
        </w:tc>
        <w:tc>
          <w:tcPr>
            <w:tcW w:w="1984" w:type="dxa"/>
          </w:tcPr>
          <w:p w14:paraId="7F8023E2" w14:textId="77777777" w:rsidR="002949B7" w:rsidRPr="005F4143" w:rsidRDefault="002949B7">
            <w:pPr>
              <w:pStyle w:val="Tablebullet1"/>
              <w:numPr>
                <w:ilvl w:val="0"/>
                <w:numId w:val="0"/>
              </w:numPr>
              <w:ind w:left="227" w:hanging="227"/>
            </w:pPr>
            <w:r w:rsidRPr="005F4143">
              <w:t>Quarterly</w:t>
            </w:r>
          </w:p>
        </w:tc>
      </w:tr>
      <w:tr w:rsidR="002949B7" w:rsidRPr="005F4143" w14:paraId="66049001" w14:textId="77777777">
        <w:tc>
          <w:tcPr>
            <w:tcW w:w="1419" w:type="dxa"/>
          </w:tcPr>
          <w:p w14:paraId="41CACB90" w14:textId="77777777" w:rsidR="002949B7" w:rsidRPr="005F4143" w:rsidRDefault="002949B7">
            <w:pPr>
              <w:pStyle w:val="Tabletext"/>
            </w:pPr>
            <w:r w:rsidRPr="005F4143">
              <w:lastRenderedPageBreak/>
              <w:t>Denominator</w:t>
            </w:r>
          </w:p>
        </w:tc>
        <w:tc>
          <w:tcPr>
            <w:tcW w:w="3233" w:type="dxa"/>
          </w:tcPr>
          <w:p w14:paraId="1BF03A0B" w14:textId="2BC98B98" w:rsidR="002949B7" w:rsidRPr="005F4143" w:rsidRDefault="002949B7">
            <w:pPr>
              <w:pStyle w:val="Tabletext"/>
            </w:pPr>
            <w:r w:rsidRPr="005F4143">
              <w:t>Victorian ERP</w:t>
            </w:r>
            <w:r w:rsidR="00FD172E" w:rsidRPr="005F4143">
              <w:t xml:space="preserve"> of people born overseas</w:t>
            </w:r>
          </w:p>
        </w:tc>
        <w:tc>
          <w:tcPr>
            <w:tcW w:w="1439" w:type="dxa"/>
          </w:tcPr>
          <w:p w14:paraId="69EF6C98" w14:textId="77777777" w:rsidR="002949B7" w:rsidRPr="005F4143" w:rsidRDefault="002949B7">
            <w:pPr>
              <w:pStyle w:val="Tablebullet2"/>
              <w:numPr>
                <w:ilvl w:val="0"/>
                <w:numId w:val="0"/>
              </w:numPr>
            </w:pPr>
            <w:r w:rsidRPr="005F4143">
              <w:t>ABS</w:t>
            </w:r>
          </w:p>
        </w:tc>
        <w:tc>
          <w:tcPr>
            <w:tcW w:w="1701" w:type="dxa"/>
          </w:tcPr>
          <w:p w14:paraId="2125F0B1" w14:textId="77777777" w:rsidR="002949B7" w:rsidRPr="005F4143" w:rsidRDefault="002949B7">
            <w:pPr>
              <w:pStyle w:val="Tablebullet2"/>
              <w:numPr>
                <w:ilvl w:val="0"/>
                <w:numId w:val="0"/>
              </w:numPr>
            </w:pPr>
            <w:r w:rsidRPr="005F4143">
              <w:t>ABS</w:t>
            </w:r>
          </w:p>
        </w:tc>
        <w:tc>
          <w:tcPr>
            <w:tcW w:w="1984" w:type="dxa"/>
          </w:tcPr>
          <w:p w14:paraId="478F783D" w14:textId="77777777" w:rsidR="002949B7" w:rsidRPr="005F4143" w:rsidRDefault="002949B7">
            <w:pPr>
              <w:pStyle w:val="Tablebullet1"/>
              <w:numPr>
                <w:ilvl w:val="0"/>
                <w:numId w:val="0"/>
              </w:numPr>
              <w:ind w:left="227" w:hanging="227"/>
            </w:pPr>
            <w:r w:rsidRPr="005F4143">
              <w:t>Annually</w:t>
            </w:r>
          </w:p>
        </w:tc>
      </w:tr>
    </w:tbl>
    <w:p w14:paraId="2D0BFCBC" w14:textId="3F6C03A9" w:rsidR="00DA2C63" w:rsidRPr="005F4143" w:rsidRDefault="00DA2C63" w:rsidP="00DA2C63">
      <w:pPr>
        <w:pStyle w:val="Body"/>
      </w:pPr>
    </w:p>
    <w:p w14:paraId="3FEB73B7" w14:textId="6C87E195" w:rsidR="00DA2C63" w:rsidRPr="005F4143" w:rsidRDefault="00D67D40" w:rsidP="00A61DDC">
      <w:pPr>
        <w:spacing w:after="0" w:line="240" w:lineRule="auto"/>
        <w:rPr>
          <w:b/>
          <w:bCs/>
        </w:rPr>
      </w:pPr>
      <w:r w:rsidRPr="005F4143">
        <w:rPr>
          <w:b/>
          <w:bCs/>
        </w:rPr>
        <w:fldChar w:fldCharType="begin"/>
      </w:r>
      <w:r w:rsidRPr="005F4143">
        <w:rPr>
          <w:b/>
          <w:bCs/>
        </w:rPr>
        <w:instrText xml:space="preserve"> SEQ Table \* ARABIC </w:instrText>
      </w:r>
      <w:r w:rsidRPr="005F4143">
        <w:rPr>
          <w:b/>
          <w:bCs/>
        </w:rPr>
        <w:fldChar w:fldCharType="separate"/>
      </w:r>
      <w:bookmarkStart w:id="46" w:name="_Toc214457318"/>
      <w:r w:rsidR="00670632">
        <w:rPr>
          <w:b/>
          <w:bCs/>
          <w:noProof/>
        </w:rPr>
        <w:t>19</w:t>
      </w:r>
      <w:r w:rsidRPr="005F4143">
        <w:rPr>
          <w:b/>
          <w:bCs/>
        </w:rPr>
        <w:fldChar w:fldCharType="end"/>
      </w:r>
      <w:r w:rsidR="00DA2C63" w:rsidRPr="005F4143">
        <w:rPr>
          <w:b/>
          <w:bCs/>
        </w:rPr>
        <w:t xml:space="preserve">. Number and notification rates of gonorrhoea and infectious syphilis among Aboriginal </w:t>
      </w:r>
      <w:r w:rsidR="00435936" w:rsidRPr="005F4143">
        <w:rPr>
          <w:rFonts w:eastAsia="Arial" w:cs="Arial"/>
          <w:b/>
          <w:bCs/>
          <w:szCs w:val="21"/>
        </w:rPr>
        <w:t>people</w:t>
      </w:r>
      <w:bookmarkEnd w:id="46"/>
    </w:p>
    <w:tbl>
      <w:tblPr>
        <w:tblStyle w:val="TableGrid"/>
        <w:tblW w:w="9776" w:type="dxa"/>
        <w:tblLayout w:type="fixed"/>
        <w:tblLook w:val="06A0" w:firstRow="1" w:lastRow="0" w:firstColumn="1" w:lastColumn="0" w:noHBand="1" w:noVBand="1"/>
      </w:tblPr>
      <w:tblGrid>
        <w:gridCol w:w="1419"/>
        <w:gridCol w:w="3233"/>
        <w:gridCol w:w="1439"/>
        <w:gridCol w:w="1701"/>
        <w:gridCol w:w="1984"/>
      </w:tblGrid>
      <w:tr w:rsidR="00DA2C63" w:rsidRPr="005F4143" w14:paraId="6DD9DED2" w14:textId="77777777" w:rsidTr="00064CC9">
        <w:trPr>
          <w:tblHeader/>
        </w:trPr>
        <w:tc>
          <w:tcPr>
            <w:tcW w:w="1419" w:type="dxa"/>
          </w:tcPr>
          <w:p w14:paraId="46C30EE5" w14:textId="77777777" w:rsidR="00DA2C63" w:rsidRPr="005F4143" w:rsidRDefault="00DA2C63" w:rsidP="00177642">
            <w:pPr>
              <w:pStyle w:val="Tablecolhead"/>
            </w:pPr>
            <w:r w:rsidRPr="005F4143">
              <w:t>Component</w:t>
            </w:r>
          </w:p>
        </w:tc>
        <w:tc>
          <w:tcPr>
            <w:tcW w:w="3233" w:type="dxa"/>
            <w:tcBorders>
              <w:bottom w:val="single" w:sz="4" w:space="0" w:color="auto"/>
            </w:tcBorders>
          </w:tcPr>
          <w:p w14:paraId="441F31BF" w14:textId="77777777" w:rsidR="00DA2C63" w:rsidRPr="005F4143" w:rsidRDefault="00DA2C63" w:rsidP="00177642">
            <w:pPr>
              <w:pStyle w:val="Tablecolhead"/>
            </w:pPr>
            <w:r w:rsidRPr="005F4143">
              <w:t>Description</w:t>
            </w:r>
          </w:p>
        </w:tc>
        <w:tc>
          <w:tcPr>
            <w:tcW w:w="1439" w:type="dxa"/>
          </w:tcPr>
          <w:p w14:paraId="7BC43BF5" w14:textId="77777777" w:rsidR="00DA2C63" w:rsidRPr="005F4143" w:rsidRDefault="00DA2C63" w:rsidP="00177642">
            <w:pPr>
              <w:pStyle w:val="Tablecolhead"/>
            </w:pPr>
            <w:r w:rsidRPr="005F4143">
              <w:t>Source</w:t>
            </w:r>
          </w:p>
        </w:tc>
        <w:tc>
          <w:tcPr>
            <w:tcW w:w="1701" w:type="dxa"/>
          </w:tcPr>
          <w:p w14:paraId="323D2276" w14:textId="77777777" w:rsidR="00DA2C63" w:rsidRPr="005F4143" w:rsidRDefault="00DA2C63" w:rsidP="00177642">
            <w:pPr>
              <w:pStyle w:val="Tablecolhead"/>
            </w:pPr>
            <w:r w:rsidRPr="005F4143">
              <w:t>Custodian</w:t>
            </w:r>
          </w:p>
        </w:tc>
        <w:tc>
          <w:tcPr>
            <w:tcW w:w="1984" w:type="dxa"/>
          </w:tcPr>
          <w:p w14:paraId="6E5FD777" w14:textId="77777777" w:rsidR="00DA2C63" w:rsidRPr="005F4143" w:rsidRDefault="00DA2C63" w:rsidP="00177642">
            <w:pPr>
              <w:pStyle w:val="Tablecolhead"/>
            </w:pPr>
            <w:r w:rsidRPr="005F4143">
              <w:t>Availability</w:t>
            </w:r>
          </w:p>
        </w:tc>
      </w:tr>
      <w:tr w:rsidR="00DA2C63" w:rsidRPr="005F4143" w14:paraId="61B52628" w14:textId="77777777" w:rsidTr="00064CC9">
        <w:tc>
          <w:tcPr>
            <w:tcW w:w="1419" w:type="dxa"/>
          </w:tcPr>
          <w:p w14:paraId="5A462263" w14:textId="2B756B63" w:rsidR="00DA2C63" w:rsidRPr="005F4143" w:rsidRDefault="00DA2C63" w:rsidP="008F7DE0">
            <w:pPr>
              <w:pStyle w:val="Tabletext"/>
            </w:pPr>
          </w:p>
        </w:tc>
        <w:tc>
          <w:tcPr>
            <w:tcW w:w="3233" w:type="dxa"/>
          </w:tcPr>
          <w:p w14:paraId="4FA212CB" w14:textId="34AC2347" w:rsidR="00DA2C63" w:rsidRPr="005F4143" w:rsidRDefault="00DA2C63" w:rsidP="008F7DE0">
            <w:pPr>
              <w:pStyle w:val="Tabletext"/>
            </w:pPr>
          </w:p>
        </w:tc>
        <w:tc>
          <w:tcPr>
            <w:tcW w:w="1439" w:type="dxa"/>
          </w:tcPr>
          <w:p w14:paraId="17B7E5FE" w14:textId="4AD219E2" w:rsidR="00DA2C63" w:rsidRPr="005F4143" w:rsidRDefault="00DA2C63" w:rsidP="00665A37">
            <w:pPr>
              <w:pStyle w:val="Tablebullet2"/>
              <w:numPr>
                <w:ilvl w:val="0"/>
                <w:numId w:val="0"/>
              </w:numPr>
            </w:pPr>
          </w:p>
        </w:tc>
        <w:tc>
          <w:tcPr>
            <w:tcW w:w="1701" w:type="dxa"/>
          </w:tcPr>
          <w:p w14:paraId="04FEF880" w14:textId="7937CAB1" w:rsidR="00DA2C63" w:rsidRPr="005F4143" w:rsidRDefault="00DA2C63" w:rsidP="00665A37">
            <w:pPr>
              <w:pStyle w:val="Tablebullet2"/>
              <w:numPr>
                <w:ilvl w:val="0"/>
                <w:numId w:val="0"/>
              </w:numPr>
            </w:pPr>
          </w:p>
        </w:tc>
        <w:tc>
          <w:tcPr>
            <w:tcW w:w="1984" w:type="dxa"/>
          </w:tcPr>
          <w:p w14:paraId="448FF4F5" w14:textId="6C67CF1A" w:rsidR="00DA2C63" w:rsidRPr="005F4143" w:rsidRDefault="00DA2C63" w:rsidP="00665A37">
            <w:pPr>
              <w:pStyle w:val="Tablebullet1"/>
              <w:numPr>
                <w:ilvl w:val="0"/>
                <w:numId w:val="0"/>
              </w:numPr>
              <w:ind w:left="227" w:hanging="227"/>
            </w:pPr>
          </w:p>
        </w:tc>
      </w:tr>
      <w:tr w:rsidR="00DA2C63" w:rsidRPr="005F4143" w14:paraId="4D15E345" w14:textId="77777777" w:rsidTr="00064CC9">
        <w:tc>
          <w:tcPr>
            <w:tcW w:w="1419" w:type="dxa"/>
          </w:tcPr>
          <w:p w14:paraId="7D85AD7C" w14:textId="77777777" w:rsidR="00DA2C63" w:rsidRPr="005F4143" w:rsidRDefault="00DA2C63" w:rsidP="00665A37">
            <w:pPr>
              <w:pStyle w:val="Tabletext"/>
            </w:pPr>
            <w:r w:rsidRPr="005F4143">
              <w:t>Numerator</w:t>
            </w:r>
          </w:p>
        </w:tc>
        <w:tc>
          <w:tcPr>
            <w:tcW w:w="3233" w:type="dxa"/>
          </w:tcPr>
          <w:p w14:paraId="0C5D6FE7" w14:textId="4B3C025F" w:rsidR="00DA2C63" w:rsidRPr="005F4143" w:rsidRDefault="00DA2C63" w:rsidP="00665A37">
            <w:pPr>
              <w:pStyle w:val="Tabletext"/>
            </w:pPr>
            <w:r w:rsidRPr="005F4143">
              <w:t xml:space="preserve">Number of gonorrhoea cases notified to DH, among </w:t>
            </w:r>
            <w:r w:rsidR="00CE29BC" w:rsidRPr="005F4143">
              <w:t>Aboriginal people</w:t>
            </w:r>
          </w:p>
        </w:tc>
        <w:tc>
          <w:tcPr>
            <w:tcW w:w="1439" w:type="dxa"/>
          </w:tcPr>
          <w:p w14:paraId="779A9C26" w14:textId="77777777" w:rsidR="00DA2C63" w:rsidRPr="005F4143" w:rsidRDefault="00DA2C63" w:rsidP="00665A37">
            <w:pPr>
              <w:pStyle w:val="Tablebullet2"/>
              <w:numPr>
                <w:ilvl w:val="0"/>
                <w:numId w:val="0"/>
              </w:numPr>
            </w:pPr>
            <w:r w:rsidRPr="005F4143">
              <w:t>PHESS</w:t>
            </w:r>
          </w:p>
        </w:tc>
        <w:tc>
          <w:tcPr>
            <w:tcW w:w="1701" w:type="dxa"/>
          </w:tcPr>
          <w:p w14:paraId="01655698" w14:textId="77777777" w:rsidR="00DA2C63" w:rsidRPr="005F4143" w:rsidRDefault="00DA2C63" w:rsidP="00665A37">
            <w:pPr>
              <w:pStyle w:val="Tablebullet2"/>
              <w:numPr>
                <w:ilvl w:val="0"/>
                <w:numId w:val="0"/>
              </w:numPr>
            </w:pPr>
            <w:r w:rsidRPr="005F4143">
              <w:t>DH</w:t>
            </w:r>
          </w:p>
        </w:tc>
        <w:tc>
          <w:tcPr>
            <w:tcW w:w="1984" w:type="dxa"/>
          </w:tcPr>
          <w:p w14:paraId="27B7B134" w14:textId="77777777" w:rsidR="00DA2C63" w:rsidRPr="005F4143" w:rsidRDefault="00DA2C63" w:rsidP="00665A37">
            <w:pPr>
              <w:pStyle w:val="Tablebullet1"/>
              <w:numPr>
                <w:ilvl w:val="0"/>
                <w:numId w:val="0"/>
              </w:numPr>
              <w:ind w:left="227" w:hanging="227"/>
            </w:pPr>
            <w:r w:rsidRPr="005F4143">
              <w:t>Quarterly</w:t>
            </w:r>
          </w:p>
        </w:tc>
      </w:tr>
      <w:tr w:rsidR="00DA2C63" w:rsidRPr="005F4143" w14:paraId="31C9A990" w14:textId="77777777" w:rsidTr="00064CC9">
        <w:tc>
          <w:tcPr>
            <w:tcW w:w="1419" w:type="dxa"/>
          </w:tcPr>
          <w:p w14:paraId="5BBCA911" w14:textId="77777777" w:rsidR="00DA2C63" w:rsidRPr="005F4143" w:rsidRDefault="00DA2C63" w:rsidP="00665A37">
            <w:pPr>
              <w:pStyle w:val="Tabletext"/>
            </w:pPr>
            <w:r w:rsidRPr="005F4143">
              <w:t>Numerator</w:t>
            </w:r>
          </w:p>
        </w:tc>
        <w:tc>
          <w:tcPr>
            <w:tcW w:w="3233" w:type="dxa"/>
          </w:tcPr>
          <w:p w14:paraId="6FAECEFC" w14:textId="155CE844" w:rsidR="00DA2C63" w:rsidRPr="005F4143" w:rsidRDefault="00DA2C63" w:rsidP="00665A37">
            <w:pPr>
              <w:pStyle w:val="Tabletext"/>
            </w:pPr>
            <w:r w:rsidRPr="005F4143">
              <w:t xml:space="preserve">Number of infectious syphilis cases notified to DH, among </w:t>
            </w:r>
            <w:r w:rsidR="00CE29BC" w:rsidRPr="005F4143">
              <w:t>Aboriginal people</w:t>
            </w:r>
          </w:p>
        </w:tc>
        <w:tc>
          <w:tcPr>
            <w:tcW w:w="1439" w:type="dxa"/>
          </w:tcPr>
          <w:p w14:paraId="20478346" w14:textId="77777777" w:rsidR="00DA2C63" w:rsidRPr="005F4143" w:rsidRDefault="00DA2C63" w:rsidP="00665A37">
            <w:pPr>
              <w:pStyle w:val="Tablebullet2"/>
              <w:numPr>
                <w:ilvl w:val="0"/>
                <w:numId w:val="0"/>
              </w:numPr>
            </w:pPr>
            <w:r w:rsidRPr="005F4143">
              <w:t>PHESS</w:t>
            </w:r>
          </w:p>
        </w:tc>
        <w:tc>
          <w:tcPr>
            <w:tcW w:w="1701" w:type="dxa"/>
          </w:tcPr>
          <w:p w14:paraId="7283D34B" w14:textId="77777777" w:rsidR="00DA2C63" w:rsidRPr="005F4143" w:rsidRDefault="00DA2C63" w:rsidP="00665A37">
            <w:pPr>
              <w:pStyle w:val="Tablebullet2"/>
              <w:numPr>
                <w:ilvl w:val="0"/>
                <w:numId w:val="0"/>
              </w:numPr>
            </w:pPr>
            <w:r w:rsidRPr="005F4143">
              <w:t>DH</w:t>
            </w:r>
          </w:p>
        </w:tc>
        <w:tc>
          <w:tcPr>
            <w:tcW w:w="1984" w:type="dxa"/>
          </w:tcPr>
          <w:p w14:paraId="464DCD4C" w14:textId="77777777" w:rsidR="00DA2C63" w:rsidRPr="005F4143" w:rsidRDefault="00DA2C63" w:rsidP="00665A37">
            <w:pPr>
              <w:pStyle w:val="Tablebullet1"/>
              <w:numPr>
                <w:ilvl w:val="0"/>
                <w:numId w:val="0"/>
              </w:numPr>
              <w:ind w:left="227" w:hanging="227"/>
            </w:pPr>
            <w:r w:rsidRPr="005F4143">
              <w:t>Quarterly</w:t>
            </w:r>
          </w:p>
        </w:tc>
      </w:tr>
      <w:tr w:rsidR="00DA2C63" w:rsidRPr="005F4143" w14:paraId="28940EC8" w14:textId="77777777" w:rsidTr="00064CC9">
        <w:tc>
          <w:tcPr>
            <w:tcW w:w="1419" w:type="dxa"/>
          </w:tcPr>
          <w:p w14:paraId="207AC1B2" w14:textId="77777777" w:rsidR="00DA2C63" w:rsidRPr="005F4143" w:rsidRDefault="00DA2C63" w:rsidP="00665A37">
            <w:pPr>
              <w:pStyle w:val="Tabletext"/>
            </w:pPr>
            <w:r w:rsidRPr="005F4143">
              <w:t>Denominator</w:t>
            </w:r>
          </w:p>
        </w:tc>
        <w:tc>
          <w:tcPr>
            <w:tcW w:w="3233" w:type="dxa"/>
          </w:tcPr>
          <w:p w14:paraId="20658EFA" w14:textId="732773E6" w:rsidR="00DA2C63" w:rsidRPr="005F4143" w:rsidRDefault="00DA2C63" w:rsidP="00665A37">
            <w:pPr>
              <w:pStyle w:val="Tabletext"/>
            </w:pPr>
            <w:r w:rsidRPr="005F4143">
              <w:t xml:space="preserve">Victorian ERP of </w:t>
            </w:r>
            <w:r w:rsidR="00CE29BC" w:rsidRPr="005F4143">
              <w:t>Aboriginal people</w:t>
            </w:r>
          </w:p>
        </w:tc>
        <w:tc>
          <w:tcPr>
            <w:tcW w:w="1439" w:type="dxa"/>
          </w:tcPr>
          <w:p w14:paraId="732AC0F8" w14:textId="77777777" w:rsidR="00DA2C63" w:rsidRPr="005F4143" w:rsidRDefault="00DA2C63" w:rsidP="00665A37">
            <w:pPr>
              <w:pStyle w:val="Tablebullet2"/>
              <w:numPr>
                <w:ilvl w:val="0"/>
                <w:numId w:val="0"/>
              </w:numPr>
            </w:pPr>
            <w:r w:rsidRPr="005F4143">
              <w:t>ABS</w:t>
            </w:r>
          </w:p>
        </w:tc>
        <w:tc>
          <w:tcPr>
            <w:tcW w:w="1701" w:type="dxa"/>
          </w:tcPr>
          <w:p w14:paraId="4A39D41E" w14:textId="77777777" w:rsidR="00DA2C63" w:rsidRPr="005F4143" w:rsidRDefault="00DA2C63" w:rsidP="00665A37">
            <w:pPr>
              <w:pStyle w:val="Tablebullet2"/>
              <w:numPr>
                <w:ilvl w:val="0"/>
                <w:numId w:val="0"/>
              </w:numPr>
            </w:pPr>
            <w:r w:rsidRPr="005F4143">
              <w:t>ABS</w:t>
            </w:r>
          </w:p>
        </w:tc>
        <w:tc>
          <w:tcPr>
            <w:tcW w:w="1984" w:type="dxa"/>
          </w:tcPr>
          <w:p w14:paraId="278B5DA3" w14:textId="77777777" w:rsidR="00DA2C63" w:rsidRPr="005F4143" w:rsidRDefault="00DA2C63" w:rsidP="00665A37">
            <w:pPr>
              <w:pStyle w:val="Tablebullet1"/>
              <w:numPr>
                <w:ilvl w:val="0"/>
                <w:numId w:val="0"/>
              </w:numPr>
              <w:ind w:left="227" w:hanging="227"/>
            </w:pPr>
            <w:r w:rsidRPr="005F4143">
              <w:t>Annually</w:t>
            </w:r>
          </w:p>
        </w:tc>
      </w:tr>
    </w:tbl>
    <w:p w14:paraId="5307DCF5" w14:textId="6F922670" w:rsidR="00DA2C63" w:rsidRPr="005F4143" w:rsidRDefault="00DA2C63" w:rsidP="00B3634E">
      <w:pPr>
        <w:spacing w:after="0" w:line="240" w:lineRule="auto"/>
      </w:pPr>
    </w:p>
    <w:p w14:paraId="21B39E9B" w14:textId="77777777" w:rsidR="000C02E2" w:rsidRPr="005F4143" w:rsidRDefault="000C02E2" w:rsidP="000C02E2">
      <w:pPr>
        <w:pStyle w:val="Body"/>
      </w:pPr>
    </w:p>
    <w:p w14:paraId="2596CAC1" w14:textId="77777777" w:rsidR="00DD34F7" w:rsidRPr="005F4143" w:rsidRDefault="00DD34F7">
      <w:pPr>
        <w:spacing w:after="0" w:line="240" w:lineRule="auto"/>
        <w:rPr>
          <w:rFonts w:eastAsia="MS Gothic"/>
          <w:b/>
          <w:bCs/>
          <w:color w:val="53565A"/>
          <w:sz w:val="30"/>
          <w:szCs w:val="26"/>
        </w:rPr>
      </w:pPr>
      <w:r w:rsidRPr="005F4143">
        <w:br w:type="page"/>
      </w:r>
    </w:p>
    <w:p w14:paraId="0A8730AB" w14:textId="2F8211FC" w:rsidR="009221DB" w:rsidRPr="005F4143" w:rsidRDefault="009221DB" w:rsidP="009221DB">
      <w:pPr>
        <w:pStyle w:val="Heading3"/>
        <w:rPr>
          <w:lang w:val="en-AU"/>
        </w:rPr>
      </w:pPr>
      <w:bookmarkStart w:id="47" w:name="_Toc214457284"/>
      <w:r w:rsidRPr="005F4143">
        <w:rPr>
          <w:lang w:val="en-AU"/>
        </w:rPr>
        <w:lastRenderedPageBreak/>
        <w:t>Focus Area 2: Test</w:t>
      </w:r>
      <w:bookmarkEnd w:id="47"/>
    </w:p>
    <w:p w14:paraId="46540041" w14:textId="77777777" w:rsidR="00187D0B" w:rsidRDefault="009221DB" w:rsidP="009039C7">
      <w:pPr>
        <w:pStyle w:val="Body"/>
        <w:rPr>
          <w:b/>
          <w:bCs/>
        </w:rPr>
      </w:pPr>
      <w:r w:rsidRPr="005F4143">
        <w:rPr>
          <w:b/>
          <w:bCs/>
        </w:rPr>
        <w:t>Goal:</w:t>
      </w:r>
    </w:p>
    <w:p w14:paraId="77E7F88D" w14:textId="77777777" w:rsidR="00187D0B" w:rsidRDefault="00884D69" w:rsidP="009039C7">
      <w:pPr>
        <w:pStyle w:val="Body"/>
        <w:numPr>
          <w:ilvl w:val="1"/>
          <w:numId w:val="9"/>
        </w:numPr>
        <w:rPr>
          <w:b/>
          <w:bCs/>
        </w:rPr>
      </w:pPr>
      <w:r w:rsidRPr="005F4143">
        <w:rPr>
          <w:b/>
          <w:bCs/>
        </w:rPr>
        <w:t>Victorians with an STI know their status</w:t>
      </w:r>
    </w:p>
    <w:p w14:paraId="0ACE5811" w14:textId="624B256F" w:rsidR="009221DB" w:rsidRPr="005F4143" w:rsidRDefault="009221DB" w:rsidP="001A4249">
      <w:pPr>
        <w:pStyle w:val="Body"/>
        <w:rPr>
          <w:b/>
          <w:u w:val="single"/>
        </w:rPr>
      </w:pPr>
      <w:r w:rsidRPr="005F4143">
        <w:rPr>
          <w:b/>
          <w:bCs/>
          <w:u w:val="single"/>
        </w:rPr>
        <w:t>Objectives (by 2030):</w:t>
      </w:r>
    </w:p>
    <w:p w14:paraId="387A2ADF" w14:textId="77777777" w:rsidR="00F0598F" w:rsidRPr="005F4143" w:rsidRDefault="00F0598F" w:rsidP="009039C7">
      <w:pPr>
        <w:pStyle w:val="Body"/>
        <w:numPr>
          <w:ilvl w:val="1"/>
          <w:numId w:val="9"/>
        </w:numPr>
      </w:pPr>
      <w:r w:rsidRPr="005F4143">
        <w:t>Victorians with an STI know their status, are diagnosed early and are supported to do so</w:t>
      </w:r>
    </w:p>
    <w:p w14:paraId="41CB758B" w14:textId="2D5134B7" w:rsidR="00F0598F" w:rsidRPr="005F4143" w:rsidRDefault="00F0598F" w:rsidP="009039C7">
      <w:pPr>
        <w:pStyle w:val="Body"/>
        <w:numPr>
          <w:ilvl w:val="1"/>
          <w:numId w:val="9"/>
        </w:numPr>
      </w:pPr>
      <w:r w:rsidRPr="005F4143">
        <w:t xml:space="preserve">Regular testing for STI is </w:t>
      </w:r>
      <w:r w:rsidR="4B5CDEB0" w:rsidRPr="005F4143">
        <w:rPr>
          <w:rFonts w:eastAsia="Arial" w:cs="Arial"/>
        </w:rPr>
        <w:t>normali</w:t>
      </w:r>
      <w:r w:rsidR="0060667C" w:rsidRPr="005F4143">
        <w:rPr>
          <w:rFonts w:eastAsia="Arial" w:cs="Arial"/>
        </w:rPr>
        <w:t>s</w:t>
      </w:r>
      <w:r w:rsidR="4B5CDEB0" w:rsidRPr="005F4143">
        <w:rPr>
          <w:rFonts w:eastAsia="Arial" w:cs="Arial"/>
        </w:rPr>
        <w:t>ed</w:t>
      </w:r>
      <w:r w:rsidRPr="005F4143">
        <w:t xml:space="preserve"> and offered to </w:t>
      </w:r>
      <w:r w:rsidR="4B5CDEB0" w:rsidRPr="005F4143">
        <w:rPr>
          <w:rFonts w:eastAsia="Arial" w:cs="Arial"/>
        </w:rPr>
        <w:t>Victorian</w:t>
      </w:r>
      <w:r w:rsidR="0060667C" w:rsidRPr="005F4143">
        <w:rPr>
          <w:rFonts w:eastAsia="Arial" w:cs="Arial"/>
        </w:rPr>
        <w:t>s</w:t>
      </w:r>
      <w:r w:rsidRPr="005F4143">
        <w:t xml:space="preserve"> across local primary and community health settings, including </w:t>
      </w:r>
      <w:r w:rsidR="00273833" w:rsidRPr="005F4143">
        <w:rPr>
          <w:rFonts w:eastAsia="Arial" w:cs="Arial"/>
        </w:rPr>
        <w:t xml:space="preserve">in </w:t>
      </w:r>
      <w:r w:rsidRPr="005F4143">
        <w:t>antenatal care</w:t>
      </w:r>
    </w:p>
    <w:p w14:paraId="356928BE" w14:textId="77777777" w:rsidR="00F0598F" w:rsidRPr="005F4143" w:rsidRDefault="00F0598F" w:rsidP="009039C7">
      <w:pPr>
        <w:pStyle w:val="Body"/>
        <w:numPr>
          <w:ilvl w:val="1"/>
          <w:numId w:val="9"/>
        </w:numPr>
      </w:pPr>
      <w:r w:rsidRPr="005F4143">
        <w:t>Testing services for STI are targeted to meet the needs of priority populations</w:t>
      </w:r>
    </w:p>
    <w:p w14:paraId="28D5BCF6" w14:textId="63C704D7" w:rsidR="009221DB" w:rsidRPr="005F4143" w:rsidRDefault="00F0598F" w:rsidP="009039C7">
      <w:pPr>
        <w:pStyle w:val="Body"/>
        <w:numPr>
          <w:ilvl w:val="1"/>
          <w:numId w:val="9"/>
        </w:numPr>
      </w:pPr>
      <w:r w:rsidRPr="005F4143">
        <w:t>Victorians at greater risk of an STI understand the need to be tested.</w:t>
      </w:r>
    </w:p>
    <w:p w14:paraId="124D4E7B" w14:textId="77777777" w:rsidR="009221DB" w:rsidRPr="005F4143" w:rsidRDefault="009221DB" w:rsidP="009039C7">
      <w:pPr>
        <w:pStyle w:val="Body"/>
        <w:rPr>
          <w:b/>
          <w:u w:val="single"/>
        </w:rPr>
      </w:pPr>
      <w:r w:rsidRPr="005F4143">
        <w:rPr>
          <w:b/>
          <w:bCs/>
          <w:u w:val="single"/>
        </w:rPr>
        <w:t>Targets for 2030:</w:t>
      </w:r>
    </w:p>
    <w:p w14:paraId="2F40B368" w14:textId="43BF029C" w:rsidR="00C83FFC" w:rsidRPr="005F4143" w:rsidRDefault="00C83FFC" w:rsidP="009039C7">
      <w:pPr>
        <w:pStyle w:val="Body"/>
        <w:numPr>
          <w:ilvl w:val="1"/>
          <w:numId w:val="9"/>
        </w:numPr>
      </w:pPr>
      <w:r w:rsidRPr="005F4143">
        <w:t>Increase STI testing coverage in priority populations (compare</w:t>
      </w:r>
      <w:r w:rsidR="00905D13" w:rsidRPr="005F4143">
        <w:t>d</w:t>
      </w:r>
      <w:r w:rsidRPr="005F4143">
        <w:t xml:space="preserve"> with 2019</w:t>
      </w:r>
      <w:r w:rsidR="00905D13" w:rsidRPr="005F4143">
        <w:t>)</w:t>
      </w:r>
    </w:p>
    <w:p w14:paraId="38DBC160" w14:textId="14CA4834" w:rsidR="009221DB" w:rsidRPr="005F4143" w:rsidRDefault="009221DB" w:rsidP="009039C7">
      <w:pPr>
        <w:pStyle w:val="Body"/>
        <w:rPr>
          <w:b/>
          <w:u w:val="single"/>
        </w:rPr>
      </w:pPr>
      <w:r w:rsidRPr="005F4143">
        <w:rPr>
          <w:b/>
          <w:bCs/>
          <w:u w:val="single"/>
        </w:rPr>
        <w:t>Indicators:</w:t>
      </w:r>
    </w:p>
    <w:p w14:paraId="4931051C" w14:textId="45F10BFB" w:rsidR="000B6F2B" w:rsidRPr="005F4143" w:rsidRDefault="000B6F2B" w:rsidP="009039C7">
      <w:pPr>
        <w:pStyle w:val="Body"/>
        <w:numPr>
          <w:ilvl w:val="1"/>
          <w:numId w:val="9"/>
        </w:numPr>
      </w:pPr>
      <w:r w:rsidRPr="005F4143">
        <w:t xml:space="preserve">Proportion of </w:t>
      </w:r>
      <w:r w:rsidR="00FA00DC" w:rsidRPr="005F4143">
        <w:t>individuals</w:t>
      </w:r>
      <w:r w:rsidRPr="005F4143">
        <w:t xml:space="preserve"> receiving any STI testing in </w:t>
      </w:r>
      <w:r w:rsidR="00FA00DC" w:rsidRPr="005F4143">
        <w:t>a</w:t>
      </w:r>
      <w:r w:rsidRPr="005F4143">
        <w:t xml:space="preserve"> </w:t>
      </w:r>
      <w:r w:rsidR="00FA00DC" w:rsidRPr="005F4143">
        <w:t>calendar year</w:t>
      </w:r>
    </w:p>
    <w:p w14:paraId="789DD5E4" w14:textId="761EC58D" w:rsidR="000B6F2B" w:rsidRPr="005F4143" w:rsidRDefault="000B6F2B" w:rsidP="009039C7">
      <w:pPr>
        <w:pStyle w:val="Body"/>
        <w:numPr>
          <w:ilvl w:val="1"/>
          <w:numId w:val="9"/>
        </w:numPr>
      </w:pPr>
      <w:r w:rsidRPr="005F4143">
        <w:t xml:space="preserve">Proportion of GBM who received complete STI testing </w:t>
      </w:r>
      <w:r w:rsidR="00FA00DC" w:rsidRPr="005F4143">
        <w:t>in a calendar year</w:t>
      </w:r>
    </w:p>
    <w:p w14:paraId="1A170145" w14:textId="73E25944" w:rsidR="000B6F2B" w:rsidRPr="005F4143" w:rsidRDefault="000B6F2B" w:rsidP="009039C7">
      <w:pPr>
        <w:pStyle w:val="Body"/>
        <w:numPr>
          <w:ilvl w:val="1"/>
          <w:numId w:val="9"/>
        </w:numPr>
      </w:pPr>
      <w:r w:rsidRPr="005F4143">
        <w:t>Proportion of GBM retested for STI within three months</w:t>
      </w:r>
    </w:p>
    <w:p w14:paraId="6E99A400" w14:textId="3646BCA3" w:rsidR="009221DB" w:rsidRPr="005F4143" w:rsidRDefault="009221DB" w:rsidP="009039C7">
      <w:pPr>
        <w:pStyle w:val="Body"/>
      </w:pPr>
    </w:p>
    <w:p w14:paraId="17359601" w14:textId="211FEEF2" w:rsidR="009221DB" w:rsidRPr="005F4143" w:rsidRDefault="009221DB" w:rsidP="009039C7">
      <w:pPr>
        <w:pStyle w:val="Body"/>
      </w:pPr>
      <w:r w:rsidRPr="005F4143">
        <w:rPr>
          <w:b/>
          <w:bCs/>
        </w:rPr>
        <w:t xml:space="preserve">Indicator </w:t>
      </w:r>
      <w:r w:rsidR="00BF1300" w:rsidRPr="005F4143">
        <w:rPr>
          <w:rFonts w:eastAsia="Arial" w:cs="Arial"/>
          <w:b/>
          <w:bCs/>
          <w:szCs w:val="21"/>
        </w:rPr>
        <w:t>n</w:t>
      </w:r>
      <w:r w:rsidR="4B5CDEB0" w:rsidRPr="005F4143">
        <w:rPr>
          <w:rFonts w:eastAsia="Arial" w:cs="Arial"/>
          <w:b/>
          <w:bCs/>
          <w:szCs w:val="21"/>
        </w:rPr>
        <w:t>otes</w:t>
      </w:r>
    </w:p>
    <w:p w14:paraId="0B2FFC29" w14:textId="77777777" w:rsidR="00187D0B" w:rsidRDefault="00233CB3" w:rsidP="009039C7">
      <w:pPr>
        <w:pStyle w:val="Body"/>
      </w:pPr>
      <w:r w:rsidRPr="005F4143">
        <w:t>Given the asymptomatic nature of STI, increased access to testing for the priority population groups would reach those with STI who would otherwise remain undetected. Early diagnosis and treatment of maternal syphilis improves health outcomes for the foetus or baby. Given the severity of outcomes associated with syphilis during pregnancy, the Australian Government Department of Health recommends routine testing for syphilis at the first antenatal contact.</w:t>
      </w:r>
      <w:r w:rsidR="46E83378" w:rsidRPr="005F4143">
        <w:t xml:space="preserve"> Victoria released a </w:t>
      </w:r>
      <w:r w:rsidR="605C4E68" w:rsidRPr="005F4143">
        <w:t xml:space="preserve">Chief Health Officer advisory highlighting this </w:t>
      </w:r>
      <w:r w:rsidR="6D7E996F" w:rsidRPr="005F4143">
        <w:t>message</w:t>
      </w:r>
      <w:r w:rsidR="02FF00F4" w:rsidRPr="005F4143">
        <w:t xml:space="preserve"> as well as the importance of</w:t>
      </w:r>
      <w:r w:rsidR="605C4E68" w:rsidRPr="005F4143">
        <w:t xml:space="preserve"> testing</w:t>
      </w:r>
      <w:r w:rsidR="2A7D1228" w:rsidRPr="005F4143">
        <w:t xml:space="preserve"> at 28 to 38 weeks, and again </w:t>
      </w:r>
      <w:r w:rsidR="07044598" w:rsidRPr="005F4143">
        <w:t>at</w:t>
      </w:r>
      <w:r w:rsidR="2A7D1228" w:rsidRPr="005F4143">
        <w:t xml:space="preserve"> delivery</w:t>
      </w:r>
      <w:r w:rsidR="50AB968B" w:rsidRPr="005F4143">
        <w:t xml:space="preserve">, </w:t>
      </w:r>
      <w:r w:rsidR="2A7D1228" w:rsidRPr="005F4143">
        <w:t>to mitigate the risk of congenital syphilis.</w:t>
      </w:r>
    </w:p>
    <w:p w14:paraId="5758EE49" w14:textId="39DA6A62" w:rsidR="00233CB3" w:rsidRPr="005F4143" w:rsidRDefault="00233CB3" w:rsidP="009039C7">
      <w:pPr>
        <w:pStyle w:val="Body"/>
      </w:pPr>
      <w:r w:rsidRPr="005F4143">
        <w:t xml:space="preserve">Current guidelines recommend retesting people diagnosed with gonorrhoea 3 months after diagnosis due to the risk of reinfection. Monitoring of treatment of syphilis requires repeat testing at 3 and 6 months. Uptake of re-testing will be assessed through </w:t>
      </w:r>
      <w:r w:rsidR="0064014B" w:rsidRPr="005F4143">
        <w:t>A</w:t>
      </w:r>
      <w:r w:rsidRPr="005F4143">
        <w:t>CCESS.</w:t>
      </w:r>
    </w:p>
    <w:p w14:paraId="4D1AEEDD" w14:textId="1CB2A20E" w:rsidR="00233CB3" w:rsidRPr="005F4143" w:rsidRDefault="00233CB3" w:rsidP="009039C7">
      <w:pPr>
        <w:pStyle w:val="Body"/>
      </w:pPr>
      <w:r w:rsidRPr="005F4143">
        <w:t xml:space="preserve">The numerator and denominator of STI testing indicators for both GBM and young people will be obtained from the ACCESS clinical data. However, the resulting testing rates </w:t>
      </w:r>
      <w:r w:rsidR="00271F09" w:rsidRPr="005F4143">
        <w:t>may</w:t>
      </w:r>
      <w:r w:rsidRPr="005F4143">
        <w:t xml:space="preserve"> not show the actual coverage in Victoria due to a difference in testing patterns between health facilities within the ACCESS network and those outside this network. The testing practice in the ACCESS network may not be </w:t>
      </w:r>
      <w:proofErr w:type="gramStart"/>
      <w:r w:rsidRPr="005F4143">
        <w:t>similar to</w:t>
      </w:r>
      <w:proofErr w:type="gramEnd"/>
      <w:r w:rsidRPr="005F4143">
        <w:t xml:space="preserve"> other health facilities in Victoria because ACCESS represents more people at high-risk of STI who require more frequent testing as part of routine sexual health care. For instance, those who receive</w:t>
      </w:r>
      <w:r w:rsidR="00AA499F" w:rsidRPr="005F4143">
        <w:t xml:space="preserve"> PrEP</w:t>
      </w:r>
      <w:r w:rsidRPr="005F4143">
        <w:t xml:space="preserve"> for HIV in the ACCESS network </w:t>
      </w:r>
      <w:r w:rsidR="00673BC4" w:rsidRPr="005F4143">
        <w:t xml:space="preserve">may </w:t>
      </w:r>
      <w:r w:rsidRPr="005F4143">
        <w:t>be encouraged to get tested for STI.</w:t>
      </w:r>
      <w:r w:rsidR="00337F87" w:rsidRPr="005F4143">
        <w:t xml:space="preserve"> To improve representativeness outside of high caseload services, ACCESS is continuing to recruit services participating in the expanding Victorian Sexual Health Network coordinated by the Melbourne Sexual Health Centre.</w:t>
      </w:r>
    </w:p>
    <w:p w14:paraId="3662E039" w14:textId="77777777" w:rsidR="00D9474F" w:rsidRPr="005F4143" w:rsidRDefault="00D9474F">
      <w:pPr>
        <w:spacing w:after="0" w:line="240" w:lineRule="auto"/>
      </w:pPr>
    </w:p>
    <w:p w14:paraId="7A4BAF85" w14:textId="77777777" w:rsidR="009221DB" w:rsidRPr="005F4143" w:rsidRDefault="009221DB" w:rsidP="009039C7">
      <w:pPr>
        <w:pStyle w:val="Body"/>
        <w:rPr>
          <w:b/>
        </w:rPr>
      </w:pPr>
      <w:r w:rsidRPr="005F4143">
        <w:rPr>
          <w:b/>
          <w:bCs/>
        </w:rPr>
        <w:t>Reporting against indicators</w:t>
      </w:r>
    </w:p>
    <w:p w14:paraId="449979F3" w14:textId="73DF177B" w:rsidR="009221DB" w:rsidRPr="005F4143" w:rsidRDefault="009221DB" w:rsidP="00A61DDC">
      <w:pPr>
        <w:spacing w:after="0" w:line="240" w:lineRule="auto"/>
        <w:rPr>
          <w:b/>
          <w:bCs/>
        </w:rPr>
      </w:pPr>
    </w:p>
    <w:p w14:paraId="5987BD97" w14:textId="6661911A" w:rsidR="009221DB" w:rsidRPr="005F4143" w:rsidRDefault="00D67D40" w:rsidP="00A61DDC">
      <w:pPr>
        <w:spacing w:after="0" w:line="240" w:lineRule="auto"/>
        <w:rPr>
          <w:b/>
          <w:bCs/>
        </w:rPr>
      </w:pPr>
      <w:r w:rsidRPr="005F4143">
        <w:rPr>
          <w:b/>
          <w:bCs/>
        </w:rPr>
        <w:fldChar w:fldCharType="begin"/>
      </w:r>
      <w:r w:rsidRPr="005F4143">
        <w:rPr>
          <w:b/>
          <w:bCs/>
        </w:rPr>
        <w:instrText xml:space="preserve"> SEQ Table \* ARABIC </w:instrText>
      </w:r>
      <w:r w:rsidRPr="005F4143">
        <w:rPr>
          <w:b/>
          <w:bCs/>
        </w:rPr>
        <w:fldChar w:fldCharType="separate"/>
      </w:r>
      <w:bookmarkStart w:id="48" w:name="_Toc214457319"/>
      <w:r w:rsidR="00670632">
        <w:rPr>
          <w:b/>
          <w:bCs/>
          <w:noProof/>
        </w:rPr>
        <w:t>20</w:t>
      </w:r>
      <w:r w:rsidRPr="005F4143">
        <w:rPr>
          <w:b/>
          <w:bCs/>
        </w:rPr>
        <w:fldChar w:fldCharType="end"/>
      </w:r>
      <w:r w:rsidR="009221DB" w:rsidRPr="005F4143">
        <w:rPr>
          <w:b/>
          <w:bCs/>
        </w:rPr>
        <w:t xml:space="preserve">. </w:t>
      </w:r>
      <w:r w:rsidR="0076346A" w:rsidRPr="005F4143">
        <w:rPr>
          <w:b/>
          <w:bCs/>
        </w:rPr>
        <w:t>Proportion of individuals receiving any STI testing in a calendar year</w:t>
      </w:r>
      <w:bookmarkEnd w:id="48"/>
    </w:p>
    <w:tbl>
      <w:tblPr>
        <w:tblStyle w:val="TableGrid"/>
        <w:tblW w:w="9776" w:type="dxa"/>
        <w:tblLayout w:type="fixed"/>
        <w:tblLook w:val="06A0" w:firstRow="1" w:lastRow="0" w:firstColumn="1" w:lastColumn="0" w:noHBand="1" w:noVBand="1"/>
      </w:tblPr>
      <w:tblGrid>
        <w:gridCol w:w="1419"/>
        <w:gridCol w:w="3233"/>
        <w:gridCol w:w="1439"/>
        <w:gridCol w:w="1701"/>
        <w:gridCol w:w="1984"/>
      </w:tblGrid>
      <w:tr w:rsidR="009221DB" w:rsidRPr="005F4143" w14:paraId="4377E437" w14:textId="77777777" w:rsidTr="003452C2">
        <w:trPr>
          <w:tblHeader/>
        </w:trPr>
        <w:tc>
          <w:tcPr>
            <w:tcW w:w="1419" w:type="dxa"/>
          </w:tcPr>
          <w:p w14:paraId="478129C3" w14:textId="77777777" w:rsidR="009221DB" w:rsidRPr="005F4143" w:rsidRDefault="009221DB" w:rsidP="003452C2">
            <w:pPr>
              <w:pStyle w:val="Tablecolhead"/>
            </w:pPr>
            <w:r w:rsidRPr="005F4143">
              <w:lastRenderedPageBreak/>
              <w:t>Component</w:t>
            </w:r>
          </w:p>
        </w:tc>
        <w:tc>
          <w:tcPr>
            <w:tcW w:w="3233" w:type="dxa"/>
            <w:tcBorders>
              <w:bottom w:val="single" w:sz="4" w:space="0" w:color="auto"/>
            </w:tcBorders>
          </w:tcPr>
          <w:p w14:paraId="412C0ADC" w14:textId="77777777" w:rsidR="009221DB" w:rsidRPr="005F4143" w:rsidRDefault="009221DB" w:rsidP="003452C2">
            <w:pPr>
              <w:pStyle w:val="Tablecolhead"/>
            </w:pPr>
            <w:r w:rsidRPr="005F4143">
              <w:t>Description</w:t>
            </w:r>
          </w:p>
        </w:tc>
        <w:tc>
          <w:tcPr>
            <w:tcW w:w="1439" w:type="dxa"/>
          </w:tcPr>
          <w:p w14:paraId="51A97EC6" w14:textId="77777777" w:rsidR="009221DB" w:rsidRPr="005F4143" w:rsidRDefault="009221DB" w:rsidP="003452C2">
            <w:pPr>
              <w:pStyle w:val="Tablecolhead"/>
            </w:pPr>
            <w:r w:rsidRPr="005F4143">
              <w:t>Source</w:t>
            </w:r>
          </w:p>
        </w:tc>
        <w:tc>
          <w:tcPr>
            <w:tcW w:w="1701" w:type="dxa"/>
          </w:tcPr>
          <w:p w14:paraId="6E715E80" w14:textId="77777777" w:rsidR="009221DB" w:rsidRPr="005F4143" w:rsidRDefault="009221DB" w:rsidP="003452C2">
            <w:pPr>
              <w:pStyle w:val="Tablecolhead"/>
            </w:pPr>
            <w:r w:rsidRPr="005F4143">
              <w:t>Custodian</w:t>
            </w:r>
          </w:p>
        </w:tc>
        <w:tc>
          <w:tcPr>
            <w:tcW w:w="1984" w:type="dxa"/>
          </w:tcPr>
          <w:p w14:paraId="0E4335E9" w14:textId="77777777" w:rsidR="009221DB" w:rsidRPr="005F4143" w:rsidRDefault="009221DB" w:rsidP="003452C2">
            <w:pPr>
              <w:pStyle w:val="Tablecolhead"/>
            </w:pPr>
            <w:r w:rsidRPr="005F4143">
              <w:t>Availability</w:t>
            </w:r>
          </w:p>
        </w:tc>
      </w:tr>
      <w:tr w:rsidR="009221DB" w:rsidRPr="005F4143" w14:paraId="786F0CC6" w14:textId="77777777" w:rsidTr="003452C2">
        <w:tc>
          <w:tcPr>
            <w:tcW w:w="1419" w:type="dxa"/>
          </w:tcPr>
          <w:p w14:paraId="697AF123" w14:textId="77777777" w:rsidR="009221DB" w:rsidRPr="005F4143" w:rsidRDefault="009221DB" w:rsidP="003452C2">
            <w:pPr>
              <w:pStyle w:val="Tabletext"/>
            </w:pPr>
            <w:r w:rsidRPr="005F4143">
              <w:t>Numerator</w:t>
            </w:r>
          </w:p>
        </w:tc>
        <w:tc>
          <w:tcPr>
            <w:tcW w:w="3233" w:type="dxa"/>
          </w:tcPr>
          <w:p w14:paraId="2C81BFC8" w14:textId="5B2FA355" w:rsidR="009221DB" w:rsidRPr="005F4143" w:rsidRDefault="00FF6577" w:rsidP="003452C2">
            <w:pPr>
              <w:pStyle w:val="Tabletext"/>
            </w:pPr>
            <w:r w:rsidRPr="005F4143">
              <w:t>Number of individuals who had a chlamydia, gonorrhoea or syphilis test at least once in the calendar year</w:t>
            </w:r>
          </w:p>
        </w:tc>
        <w:tc>
          <w:tcPr>
            <w:tcW w:w="1439" w:type="dxa"/>
          </w:tcPr>
          <w:p w14:paraId="08A71CFF" w14:textId="77777777" w:rsidR="009221DB" w:rsidRPr="005F4143" w:rsidRDefault="009221DB" w:rsidP="003452C2">
            <w:pPr>
              <w:pStyle w:val="Tablebullet2"/>
              <w:numPr>
                <w:ilvl w:val="0"/>
                <w:numId w:val="0"/>
              </w:numPr>
            </w:pPr>
            <w:r w:rsidRPr="005F4143">
              <w:t xml:space="preserve">ACCESS </w:t>
            </w:r>
          </w:p>
        </w:tc>
        <w:tc>
          <w:tcPr>
            <w:tcW w:w="1701" w:type="dxa"/>
          </w:tcPr>
          <w:p w14:paraId="0E10251A" w14:textId="77777777" w:rsidR="009221DB" w:rsidRPr="005F4143" w:rsidRDefault="009221DB" w:rsidP="003452C2">
            <w:pPr>
              <w:pStyle w:val="Tablebullet2"/>
              <w:numPr>
                <w:ilvl w:val="0"/>
                <w:numId w:val="0"/>
              </w:numPr>
            </w:pPr>
            <w:r w:rsidRPr="005F4143">
              <w:t>Burnet Institute</w:t>
            </w:r>
          </w:p>
        </w:tc>
        <w:tc>
          <w:tcPr>
            <w:tcW w:w="1984" w:type="dxa"/>
          </w:tcPr>
          <w:p w14:paraId="1C6C0E58" w14:textId="77777777" w:rsidR="009221DB" w:rsidRPr="005F4143" w:rsidRDefault="009221DB" w:rsidP="003452C2">
            <w:pPr>
              <w:pStyle w:val="Tablebullet1"/>
              <w:numPr>
                <w:ilvl w:val="0"/>
                <w:numId w:val="0"/>
              </w:numPr>
              <w:ind w:left="227" w:hanging="227"/>
            </w:pPr>
            <w:r w:rsidRPr="005F4143">
              <w:t>Annually</w:t>
            </w:r>
          </w:p>
        </w:tc>
      </w:tr>
      <w:tr w:rsidR="009221DB" w:rsidRPr="005F4143" w14:paraId="1479AC3B" w14:textId="77777777" w:rsidTr="003452C2">
        <w:tc>
          <w:tcPr>
            <w:tcW w:w="1419" w:type="dxa"/>
          </w:tcPr>
          <w:p w14:paraId="5749FAB8" w14:textId="77777777" w:rsidR="009221DB" w:rsidRPr="005F4143" w:rsidRDefault="009221DB">
            <w:r w:rsidRPr="005F4143">
              <w:t>Denominator</w:t>
            </w:r>
          </w:p>
        </w:tc>
        <w:tc>
          <w:tcPr>
            <w:tcW w:w="3233" w:type="dxa"/>
          </w:tcPr>
          <w:p w14:paraId="4C24492C" w14:textId="4E510485" w:rsidR="009221DB" w:rsidRPr="005F4143" w:rsidRDefault="009221DB" w:rsidP="003452C2">
            <w:pPr>
              <w:pStyle w:val="Tabletext"/>
            </w:pPr>
            <w:r w:rsidRPr="005F4143">
              <w:t xml:space="preserve">Number of people attending </w:t>
            </w:r>
            <w:r w:rsidR="002F671F" w:rsidRPr="005F4143">
              <w:t>a clinical service</w:t>
            </w:r>
            <w:r w:rsidRPr="005F4143">
              <w:t xml:space="preserve"> in ACCESS </w:t>
            </w:r>
            <w:r w:rsidR="002F671F" w:rsidRPr="005F4143">
              <w:t>in the calendar year</w:t>
            </w:r>
          </w:p>
        </w:tc>
        <w:tc>
          <w:tcPr>
            <w:tcW w:w="1439" w:type="dxa"/>
          </w:tcPr>
          <w:p w14:paraId="2717FF24" w14:textId="77777777" w:rsidR="009221DB" w:rsidRPr="005F4143" w:rsidRDefault="009221DB" w:rsidP="003452C2">
            <w:pPr>
              <w:pStyle w:val="Tabletext"/>
            </w:pPr>
            <w:r w:rsidRPr="005F4143">
              <w:t xml:space="preserve">ACCESS </w:t>
            </w:r>
          </w:p>
        </w:tc>
        <w:tc>
          <w:tcPr>
            <w:tcW w:w="1701" w:type="dxa"/>
          </w:tcPr>
          <w:p w14:paraId="5EA3DFF8" w14:textId="77777777" w:rsidR="009221DB" w:rsidRPr="005F4143" w:rsidRDefault="009221DB" w:rsidP="003452C2">
            <w:pPr>
              <w:pStyle w:val="Tabletext"/>
            </w:pPr>
            <w:r w:rsidRPr="005F4143">
              <w:t>Burnet Institute</w:t>
            </w:r>
          </w:p>
        </w:tc>
        <w:tc>
          <w:tcPr>
            <w:tcW w:w="1984" w:type="dxa"/>
          </w:tcPr>
          <w:p w14:paraId="4FD40968" w14:textId="75A8DEF4" w:rsidR="009221DB" w:rsidRPr="005F4143" w:rsidRDefault="009221DB" w:rsidP="003452C2">
            <w:pPr>
              <w:pStyle w:val="Tabletext"/>
            </w:pPr>
            <w:r w:rsidRPr="005F4143">
              <w:t>Annual</w:t>
            </w:r>
            <w:r w:rsidR="00FD411B" w:rsidRPr="005F4143">
              <w:t>ly</w:t>
            </w:r>
          </w:p>
        </w:tc>
      </w:tr>
    </w:tbl>
    <w:p w14:paraId="493F1685" w14:textId="7DF5B227" w:rsidR="00CD08C6" w:rsidRPr="005F4143" w:rsidRDefault="00CD08C6" w:rsidP="00CD08C6">
      <w:pPr>
        <w:pStyle w:val="Body"/>
      </w:pPr>
    </w:p>
    <w:p w14:paraId="144FCC61" w14:textId="5719EDBE" w:rsidR="00CD08C6" w:rsidRPr="005F4143" w:rsidRDefault="00D67D40" w:rsidP="00A61DDC">
      <w:pPr>
        <w:spacing w:after="0" w:line="240" w:lineRule="auto"/>
        <w:rPr>
          <w:b/>
          <w:bCs/>
        </w:rPr>
      </w:pPr>
      <w:r w:rsidRPr="005F4143">
        <w:rPr>
          <w:b/>
          <w:bCs/>
        </w:rPr>
        <w:fldChar w:fldCharType="begin"/>
      </w:r>
      <w:r w:rsidRPr="005F4143">
        <w:rPr>
          <w:b/>
          <w:bCs/>
        </w:rPr>
        <w:instrText xml:space="preserve"> SEQ Table \* ARABIC </w:instrText>
      </w:r>
      <w:r w:rsidRPr="005F4143">
        <w:rPr>
          <w:b/>
          <w:bCs/>
        </w:rPr>
        <w:fldChar w:fldCharType="separate"/>
      </w:r>
      <w:bookmarkStart w:id="49" w:name="_Toc214457320"/>
      <w:r w:rsidR="00670632">
        <w:rPr>
          <w:b/>
          <w:bCs/>
          <w:noProof/>
        </w:rPr>
        <w:t>21</w:t>
      </w:r>
      <w:r w:rsidRPr="005F4143">
        <w:rPr>
          <w:b/>
          <w:bCs/>
        </w:rPr>
        <w:fldChar w:fldCharType="end"/>
      </w:r>
      <w:r w:rsidR="00CD08C6" w:rsidRPr="005F4143">
        <w:rPr>
          <w:b/>
          <w:bCs/>
        </w:rPr>
        <w:t>. Proportion of GBM who received complete STI testing in a calendar year</w:t>
      </w:r>
      <w:bookmarkEnd w:id="49"/>
    </w:p>
    <w:tbl>
      <w:tblPr>
        <w:tblStyle w:val="TableGrid"/>
        <w:tblW w:w="9776" w:type="dxa"/>
        <w:tblLayout w:type="fixed"/>
        <w:tblLook w:val="06A0" w:firstRow="1" w:lastRow="0" w:firstColumn="1" w:lastColumn="0" w:noHBand="1" w:noVBand="1"/>
      </w:tblPr>
      <w:tblGrid>
        <w:gridCol w:w="1419"/>
        <w:gridCol w:w="3233"/>
        <w:gridCol w:w="1439"/>
        <w:gridCol w:w="1701"/>
        <w:gridCol w:w="1984"/>
      </w:tblGrid>
      <w:tr w:rsidR="00CD08C6" w:rsidRPr="005F4143" w14:paraId="33202EF9" w14:textId="77777777" w:rsidTr="00213DAA">
        <w:trPr>
          <w:tblHeader/>
        </w:trPr>
        <w:tc>
          <w:tcPr>
            <w:tcW w:w="1419" w:type="dxa"/>
          </w:tcPr>
          <w:p w14:paraId="54605378" w14:textId="77777777" w:rsidR="00CD08C6" w:rsidRPr="005F4143" w:rsidRDefault="00CD08C6" w:rsidP="00213DAA">
            <w:pPr>
              <w:pStyle w:val="Tablecolhead"/>
            </w:pPr>
            <w:r w:rsidRPr="005F4143">
              <w:t>Component</w:t>
            </w:r>
          </w:p>
        </w:tc>
        <w:tc>
          <w:tcPr>
            <w:tcW w:w="3233" w:type="dxa"/>
            <w:tcBorders>
              <w:bottom w:val="single" w:sz="4" w:space="0" w:color="auto"/>
            </w:tcBorders>
          </w:tcPr>
          <w:p w14:paraId="0E6EFF35" w14:textId="77777777" w:rsidR="00CD08C6" w:rsidRPr="005F4143" w:rsidRDefault="00CD08C6" w:rsidP="00213DAA">
            <w:pPr>
              <w:pStyle w:val="Tablecolhead"/>
            </w:pPr>
            <w:r w:rsidRPr="005F4143">
              <w:t>Description</w:t>
            </w:r>
          </w:p>
        </w:tc>
        <w:tc>
          <w:tcPr>
            <w:tcW w:w="1439" w:type="dxa"/>
          </w:tcPr>
          <w:p w14:paraId="53415B36" w14:textId="77777777" w:rsidR="00CD08C6" w:rsidRPr="005F4143" w:rsidRDefault="00CD08C6" w:rsidP="00213DAA">
            <w:pPr>
              <w:pStyle w:val="Tablecolhead"/>
            </w:pPr>
            <w:r w:rsidRPr="005F4143">
              <w:t>Source</w:t>
            </w:r>
          </w:p>
        </w:tc>
        <w:tc>
          <w:tcPr>
            <w:tcW w:w="1701" w:type="dxa"/>
          </w:tcPr>
          <w:p w14:paraId="0D5500FC" w14:textId="77777777" w:rsidR="00CD08C6" w:rsidRPr="005F4143" w:rsidRDefault="00CD08C6" w:rsidP="00213DAA">
            <w:pPr>
              <w:pStyle w:val="Tablecolhead"/>
            </w:pPr>
            <w:r w:rsidRPr="005F4143">
              <w:t>Custodian</w:t>
            </w:r>
          </w:p>
        </w:tc>
        <w:tc>
          <w:tcPr>
            <w:tcW w:w="1984" w:type="dxa"/>
          </w:tcPr>
          <w:p w14:paraId="11137946" w14:textId="77777777" w:rsidR="00CD08C6" w:rsidRPr="005F4143" w:rsidRDefault="00CD08C6" w:rsidP="00213DAA">
            <w:pPr>
              <w:pStyle w:val="Tablecolhead"/>
            </w:pPr>
            <w:r w:rsidRPr="005F4143">
              <w:t>Availability</w:t>
            </w:r>
          </w:p>
        </w:tc>
      </w:tr>
      <w:tr w:rsidR="00CD08C6" w:rsidRPr="005F4143" w14:paraId="0DB2AF00" w14:textId="77777777" w:rsidTr="00213DAA">
        <w:tc>
          <w:tcPr>
            <w:tcW w:w="1419" w:type="dxa"/>
          </w:tcPr>
          <w:p w14:paraId="74B6D74D" w14:textId="77777777" w:rsidR="00CD08C6" w:rsidRPr="005F4143" w:rsidRDefault="00CD08C6" w:rsidP="00213DAA">
            <w:pPr>
              <w:pStyle w:val="Tabletext"/>
            </w:pPr>
            <w:r w:rsidRPr="005F4143">
              <w:t>Numerator</w:t>
            </w:r>
          </w:p>
        </w:tc>
        <w:tc>
          <w:tcPr>
            <w:tcW w:w="3233" w:type="dxa"/>
          </w:tcPr>
          <w:p w14:paraId="256EA4CD" w14:textId="2EC4CA8B" w:rsidR="00CD08C6" w:rsidRPr="005F4143" w:rsidRDefault="00A52281" w:rsidP="00213DAA">
            <w:pPr>
              <w:pStyle w:val="Tabletext"/>
            </w:pPr>
            <w:r w:rsidRPr="005F4143">
              <w:t>Number of GBM who received chlamydia, gonorrhoea and syphilis test at least once in the calendar year</w:t>
            </w:r>
          </w:p>
        </w:tc>
        <w:tc>
          <w:tcPr>
            <w:tcW w:w="1439" w:type="dxa"/>
          </w:tcPr>
          <w:p w14:paraId="20B521D1" w14:textId="77777777" w:rsidR="00CD08C6" w:rsidRPr="005F4143" w:rsidRDefault="00CD08C6" w:rsidP="00213DAA">
            <w:pPr>
              <w:pStyle w:val="Tablebullet2"/>
              <w:numPr>
                <w:ilvl w:val="0"/>
                <w:numId w:val="0"/>
              </w:numPr>
            </w:pPr>
            <w:r w:rsidRPr="005F4143">
              <w:t xml:space="preserve">ACCESS </w:t>
            </w:r>
          </w:p>
        </w:tc>
        <w:tc>
          <w:tcPr>
            <w:tcW w:w="1701" w:type="dxa"/>
          </w:tcPr>
          <w:p w14:paraId="5FDF247E" w14:textId="77777777" w:rsidR="00CD08C6" w:rsidRPr="005F4143" w:rsidRDefault="00CD08C6" w:rsidP="00213DAA">
            <w:pPr>
              <w:pStyle w:val="Tablebullet2"/>
              <w:numPr>
                <w:ilvl w:val="0"/>
                <w:numId w:val="0"/>
              </w:numPr>
            </w:pPr>
            <w:r w:rsidRPr="005F4143">
              <w:t>Burnet Institute</w:t>
            </w:r>
          </w:p>
        </w:tc>
        <w:tc>
          <w:tcPr>
            <w:tcW w:w="1984" w:type="dxa"/>
          </w:tcPr>
          <w:p w14:paraId="0E87E040" w14:textId="77777777" w:rsidR="00CD08C6" w:rsidRPr="005F4143" w:rsidRDefault="00CD08C6" w:rsidP="00213DAA">
            <w:pPr>
              <w:pStyle w:val="Tablebullet1"/>
              <w:numPr>
                <w:ilvl w:val="0"/>
                <w:numId w:val="0"/>
              </w:numPr>
              <w:ind w:left="227" w:hanging="227"/>
            </w:pPr>
            <w:r w:rsidRPr="005F4143">
              <w:t>Annually</w:t>
            </w:r>
          </w:p>
        </w:tc>
      </w:tr>
      <w:tr w:rsidR="00CD08C6" w:rsidRPr="005F4143" w14:paraId="7F3D9D36" w14:textId="77777777" w:rsidTr="00213DAA">
        <w:tc>
          <w:tcPr>
            <w:tcW w:w="1419" w:type="dxa"/>
          </w:tcPr>
          <w:p w14:paraId="1AF04BE0" w14:textId="77777777" w:rsidR="00CD08C6" w:rsidRPr="005F4143" w:rsidRDefault="00CD08C6">
            <w:r w:rsidRPr="005F4143">
              <w:t>Denominator</w:t>
            </w:r>
          </w:p>
        </w:tc>
        <w:tc>
          <w:tcPr>
            <w:tcW w:w="3233" w:type="dxa"/>
          </w:tcPr>
          <w:p w14:paraId="0F9B7EAF" w14:textId="3B8B48A3" w:rsidR="00CD08C6" w:rsidRPr="005F4143" w:rsidRDefault="00CD08C6" w:rsidP="00213DAA">
            <w:pPr>
              <w:pStyle w:val="Tabletext"/>
            </w:pPr>
            <w:r w:rsidRPr="005F4143">
              <w:t xml:space="preserve">Number of </w:t>
            </w:r>
            <w:r w:rsidR="00A52281" w:rsidRPr="005F4143">
              <w:t>GBM</w:t>
            </w:r>
            <w:r w:rsidRPr="005F4143">
              <w:t xml:space="preserve"> attending a clinical service in ACCESS in the calendar year</w:t>
            </w:r>
          </w:p>
        </w:tc>
        <w:tc>
          <w:tcPr>
            <w:tcW w:w="1439" w:type="dxa"/>
          </w:tcPr>
          <w:p w14:paraId="5B57BCCA" w14:textId="77777777" w:rsidR="00CD08C6" w:rsidRPr="005F4143" w:rsidRDefault="00CD08C6" w:rsidP="00213DAA">
            <w:pPr>
              <w:pStyle w:val="Tabletext"/>
            </w:pPr>
            <w:r w:rsidRPr="005F4143">
              <w:t xml:space="preserve">ACCESS </w:t>
            </w:r>
          </w:p>
        </w:tc>
        <w:tc>
          <w:tcPr>
            <w:tcW w:w="1701" w:type="dxa"/>
          </w:tcPr>
          <w:p w14:paraId="4FF27A95" w14:textId="77777777" w:rsidR="00CD08C6" w:rsidRPr="005F4143" w:rsidRDefault="00CD08C6" w:rsidP="00213DAA">
            <w:pPr>
              <w:pStyle w:val="Tabletext"/>
            </w:pPr>
            <w:r w:rsidRPr="005F4143">
              <w:t>Burnet Institute</w:t>
            </w:r>
          </w:p>
        </w:tc>
        <w:tc>
          <w:tcPr>
            <w:tcW w:w="1984" w:type="dxa"/>
          </w:tcPr>
          <w:p w14:paraId="245580DE" w14:textId="079D67B3" w:rsidR="00CD08C6" w:rsidRPr="005F4143" w:rsidRDefault="00CD08C6" w:rsidP="00213DAA">
            <w:pPr>
              <w:pStyle w:val="Tabletext"/>
            </w:pPr>
            <w:r w:rsidRPr="005F4143">
              <w:t>Annual</w:t>
            </w:r>
            <w:r w:rsidR="00FD411B" w:rsidRPr="005F4143">
              <w:t>ly</w:t>
            </w:r>
          </w:p>
        </w:tc>
      </w:tr>
    </w:tbl>
    <w:p w14:paraId="5BCBDE0E" w14:textId="1077FD4F" w:rsidR="008E41A4" w:rsidRPr="005F4143" w:rsidRDefault="008E41A4" w:rsidP="00F07870">
      <w:pPr>
        <w:pStyle w:val="Body"/>
      </w:pPr>
    </w:p>
    <w:p w14:paraId="52396252" w14:textId="21A35126" w:rsidR="00AE5EBB" w:rsidRPr="005F4143" w:rsidRDefault="4B5CDEB0" w:rsidP="009039C7">
      <w:pPr>
        <w:spacing w:after="0" w:line="240" w:lineRule="auto"/>
        <w:rPr>
          <w:b/>
          <w:bCs/>
        </w:rPr>
      </w:pPr>
      <w:r w:rsidRPr="004170DC">
        <w:rPr>
          <w:rFonts w:eastAsia="Arial" w:cs="Arial"/>
          <w:b/>
          <w:bCs/>
          <w:szCs w:val="21"/>
        </w:rPr>
        <w:t>72.</w:t>
      </w:r>
      <w:r w:rsidR="00AE5EBB" w:rsidRPr="004170DC">
        <w:rPr>
          <w:b/>
          <w:bCs/>
        </w:rPr>
        <w:t xml:space="preserve"> </w:t>
      </w:r>
      <w:r w:rsidR="00B01380" w:rsidRPr="004170DC">
        <w:rPr>
          <w:b/>
          <w:bCs/>
        </w:rPr>
        <w:t xml:space="preserve">Proportion of GBM retested for STI within </w:t>
      </w:r>
      <w:r w:rsidR="0033365E" w:rsidRPr="004170DC">
        <w:rPr>
          <w:rFonts w:eastAsia="Arial" w:cs="Arial"/>
          <w:b/>
          <w:bCs/>
          <w:szCs w:val="21"/>
        </w:rPr>
        <w:t>3</w:t>
      </w:r>
      <w:r w:rsidR="00B01380" w:rsidRPr="004170DC">
        <w:rPr>
          <w:b/>
          <w:bCs/>
        </w:rPr>
        <w:t xml:space="preserve"> months</w:t>
      </w:r>
    </w:p>
    <w:tbl>
      <w:tblPr>
        <w:tblStyle w:val="TableGrid"/>
        <w:tblW w:w="9776" w:type="dxa"/>
        <w:tblLayout w:type="fixed"/>
        <w:tblLook w:val="06A0" w:firstRow="1" w:lastRow="0" w:firstColumn="1" w:lastColumn="0" w:noHBand="1" w:noVBand="1"/>
      </w:tblPr>
      <w:tblGrid>
        <w:gridCol w:w="1419"/>
        <w:gridCol w:w="3233"/>
        <w:gridCol w:w="1439"/>
        <w:gridCol w:w="1701"/>
        <w:gridCol w:w="1984"/>
      </w:tblGrid>
      <w:tr w:rsidR="00AE5EBB" w:rsidRPr="005F4143" w14:paraId="1A0D5F77" w14:textId="77777777" w:rsidTr="000B2F81">
        <w:trPr>
          <w:tblHeader/>
        </w:trPr>
        <w:tc>
          <w:tcPr>
            <w:tcW w:w="1419" w:type="dxa"/>
          </w:tcPr>
          <w:p w14:paraId="7E7DBDA0" w14:textId="77777777" w:rsidR="00AE5EBB" w:rsidRPr="005F4143" w:rsidRDefault="00AE5EBB" w:rsidP="000B2F81">
            <w:pPr>
              <w:pStyle w:val="Tablecolhead"/>
            </w:pPr>
            <w:r w:rsidRPr="005F4143">
              <w:t>Component</w:t>
            </w:r>
          </w:p>
        </w:tc>
        <w:tc>
          <w:tcPr>
            <w:tcW w:w="3233" w:type="dxa"/>
            <w:tcBorders>
              <w:bottom w:val="single" w:sz="4" w:space="0" w:color="auto"/>
            </w:tcBorders>
          </w:tcPr>
          <w:p w14:paraId="38E09B29" w14:textId="77777777" w:rsidR="00AE5EBB" w:rsidRPr="005F4143" w:rsidRDefault="00AE5EBB" w:rsidP="000B2F81">
            <w:pPr>
              <w:pStyle w:val="Tablecolhead"/>
            </w:pPr>
            <w:r w:rsidRPr="005F4143">
              <w:t>Description</w:t>
            </w:r>
          </w:p>
        </w:tc>
        <w:tc>
          <w:tcPr>
            <w:tcW w:w="1439" w:type="dxa"/>
          </w:tcPr>
          <w:p w14:paraId="1BAD4D70" w14:textId="77777777" w:rsidR="00AE5EBB" w:rsidRPr="005F4143" w:rsidRDefault="00AE5EBB" w:rsidP="000B2F81">
            <w:pPr>
              <w:pStyle w:val="Tablecolhead"/>
            </w:pPr>
            <w:r w:rsidRPr="005F4143">
              <w:t>Source</w:t>
            </w:r>
          </w:p>
        </w:tc>
        <w:tc>
          <w:tcPr>
            <w:tcW w:w="1701" w:type="dxa"/>
          </w:tcPr>
          <w:p w14:paraId="6280777C" w14:textId="77777777" w:rsidR="00AE5EBB" w:rsidRPr="005F4143" w:rsidRDefault="00AE5EBB" w:rsidP="000B2F81">
            <w:pPr>
              <w:pStyle w:val="Tablecolhead"/>
            </w:pPr>
            <w:r w:rsidRPr="005F4143">
              <w:t>Custodian</w:t>
            </w:r>
          </w:p>
        </w:tc>
        <w:tc>
          <w:tcPr>
            <w:tcW w:w="1984" w:type="dxa"/>
          </w:tcPr>
          <w:p w14:paraId="7574B9EB" w14:textId="77777777" w:rsidR="00AE5EBB" w:rsidRPr="005F4143" w:rsidRDefault="00AE5EBB" w:rsidP="000B2F81">
            <w:pPr>
              <w:pStyle w:val="Tablecolhead"/>
            </w:pPr>
            <w:r w:rsidRPr="005F4143">
              <w:t>Availability</w:t>
            </w:r>
          </w:p>
        </w:tc>
      </w:tr>
      <w:tr w:rsidR="00AE5EBB" w:rsidRPr="005F4143" w14:paraId="0889B793" w14:textId="77777777" w:rsidTr="000B2F81">
        <w:tc>
          <w:tcPr>
            <w:tcW w:w="1419" w:type="dxa"/>
          </w:tcPr>
          <w:p w14:paraId="0E140BB6" w14:textId="77777777" w:rsidR="00AE5EBB" w:rsidRPr="005F4143" w:rsidRDefault="00AE5EBB" w:rsidP="005A46F6">
            <w:pPr>
              <w:pStyle w:val="Tabletext"/>
            </w:pPr>
            <w:r w:rsidRPr="005F4143">
              <w:t>Numerator</w:t>
            </w:r>
          </w:p>
        </w:tc>
        <w:tc>
          <w:tcPr>
            <w:tcW w:w="3233" w:type="dxa"/>
          </w:tcPr>
          <w:p w14:paraId="3211F06D" w14:textId="266CBF24" w:rsidR="00AE5EBB" w:rsidRPr="005F4143" w:rsidRDefault="00AE5EBB" w:rsidP="005A46F6">
            <w:pPr>
              <w:pStyle w:val="Tabletext"/>
            </w:pPr>
            <w:r w:rsidRPr="005F4143">
              <w:t xml:space="preserve">Number of GBM </w:t>
            </w:r>
            <w:r w:rsidR="0032490F" w:rsidRPr="005F4143">
              <w:t>wh</w:t>
            </w:r>
            <w:r w:rsidR="007E4B89" w:rsidRPr="005F4143">
              <w:t>ose</w:t>
            </w:r>
            <w:r w:rsidR="0032490F" w:rsidRPr="005F4143">
              <w:t xml:space="preserve"> prior test was within 3 months</w:t>
            </w:r>
          </w:p>
        </w:tc>
        <w:tc>
          <w:tcPr>
            <w:tcW w:w="1439" w:type="dxa"/>
          </w:tcPr>
          <w:p w14:paraId="75415EFC" w14:textId="77777777" w:rsidR="00AE5EBB" w:rsidRPr="005F4143" w:rsidRDefault="00AE5EBB" w:rsidP="005A46F6">
            <w:pPr>
              <w:pStyle w:val="Tablebullet2"/>
              <w:numPr>
                <w:ilvl w:val="0"/>
                <w:numId w:val="0"/>
              </w:numPr>
            </w:pPr>
            <w:r w:rsidRPr="005F4143">
              <w:t xml:space="preserve">ACCESS </w:t>
            </w:r>
          </w:p>
        </w:tc>
        <w:tc>
          <w:tcPr>
            <w:tcW w:w="1701" w:type="dxa"/>
          </w:tcPr>
          <w:p w14:paraId="67E5DE22" w14:textId="77777777" w:rsidR="00AE5EBB" w:rsidRPr="005F4143" w:rsidRDefault="00AE5EBB" w:rsidP="005A46F6">
            <w:pPr>
              <w:pStyle w:val="Tablebullet2"/>
              <w:numPr>
                <w:ilvl w:val="0"/>
                <w:numId w:val="0"/>
              </w:numPr>
            </w:pPr>
            <w:r w:rsidRPr="005F4143">
              <w:t>Burnet Institute</w:t>
            </w:r>
          </w:p>
        </w:tc>
        <w:tc>
          <w:tcPr>
            <w:tcW w:w="1984" w:type="dxa"/>
          </w:tcPr>
          <w:p w14:paraId="7887B077" w14:textId="77777777" w:rsidR="00AE5EBB" w:rsidRPr="005F4143" w:rsidRDefault="00AE5EBB" w:rsidP="005A46F6">
            <w:pPr>
              <w:pStyle w:val="Tablebullet1"/>
              <w:numPr>
                <w:ilvl w:val="0"/>
                <w:numId w:val="0"/>
              </w:numPr>
              <w:ind w:left="227" w:hanging="227"/>
            </w:pPr>
            <w:r w:rsidRPr="005F4143">
              <w:t>Annually</w:t>
            </w:r>
          </w:p>
        </w:tc>
      </w:tr>
      <w:tr w:rsidR="00AE5EBB" w:rsidRPr="005F4143" w14:paraId="172A2954" w14:textId="77777777" w:rsidTr="000B2F81">
        <w:tc>
          <w:tcPr>
            <w:tcW w:w="1419" w:type="dxa"/>
          </w:tcPr>
          <w:p w14:paraId="26543D13" w14:textId="77777777" w:rsidR="00AE5EBB" w:rsidRPr="005F4143" w:rsidRDefault="00AE5EBB">
            <w:r w:rsidRPr="005F4143">
              <w:t>Denominator</w:t>
            </w:r>
          </w:p>
        </w:tc>
        <w:tc>
          <w:tcPr>
            <w:tcW w:w="3233" w:type="dxa"/>
          </w:tcPr>
          <w:p w14:paraId="08B7BE00" w14:textId="189F07FB" w:rsidR="00AE5EBB" w:rsidRPr="005F4143" w:rsidRDefault="00AE5EBB" w:rsidP="005A46F6">
            <w:pPr>
              <w:pStyle w:val="Tabletext"/>
            </w:pPr>
            <w:r w:rsidRPr="005F4143">
              <w:t xml:space="preserve">Number of GBM </w:t>
            </w:r>
            <w:r w:rsidR="0032490F" w:rsidRPr="005F4143">
              <w:t xml:space="preserve">tested for chlamydia, gonorrhoea and/or syphilis </w:t>
            </w:r>
            <w:r w:rsidRPr="005F4143">
              <w:t>in ACCESS in the calendar year</w:t>
            </w:r>
          </w:p>
        </w:tc>
        <w:tc>
          <w:tcPr>
            <w:tcW w:w="1439" w:type="dxa"/>
          </w:tcPr>
          <w:p w14:paraId="0C00AD0B" w14:textId="77777777" w:rsidR="00AE5EBB" w:rsidRPr="005F4143" w:rsidRDefault="00AE5EBB" w:rsidP="005A46F6">
            <w:pPr>
              <w:pStyle w:val="Tabletext"/>
            </w:pPr>
            <w:r w:rsidRPr="005F4143">
              <w:t xml:space="preserve">ACCESS </w:t>
            </w:r>
          </w:p>
        </w:tc>
        <w:tc>
          <w:tcPr>
            <w:tcW w:w="1701" w:type="dxa"/>
          </w:tcPr>
          <w:p w14:paraId="10FB2477" w14:textId="77777777" w:rsidR="00AE5EBB" w:rsidRPr="005F4143" w:rsidRDefault="00AE5EBB" w:rsidP="005A46F6">
            <w:pPr>
              <w:pStyle w:val="Tabletext"/>
            </w:pPr>
            <w:r w:rsidRPr="005F4143">
              <w:t>Burnet Institute</w:t>
            </w:r>
          </w:p>
        </w:tc>
        <w:tc>
          <w:tcPr>
            <w:tcW w:w="1984" w:type="dxa"/>
          </w:tcPr>
          <w:p w14:paraId="0DB295D1" w14:textId="3CEC5DF1" w:rsidR="00AE5EBB" w:rsidRPr="005F4143" w:rsidRDefault="00AE5EBB" w:rsidP="005A46F6">
            <w:pPr>
              <w:pStyle w:val="Tabletext"/>
            </w:pPr>
            <w:r w:rsidRPr="005F4143">
              <w:t>Annual</w:t>
            </w:r>
            <w:r w:rsidR="00FD411B" w:rsidRPr="005F4143">
              <w:t>ly</w:t>
            </w:r>
          </w:p>
        </w:tc>
      </w:tr>
    </w:tbl>
    <w:p w14:paraId="4F82BFCC" w14:textId="00E75CE2" w:rsidR="007E4B89" w:rsidRPr="005F4143" w:rsidRDefault="007E4B89" w:rsidP="00F07870"/>
    <w:p w14:paraId="628F6CF5" w14:textId="77777777" w:rsidR="009221DB" w:rsidRPr="005F4143" w:rsidRDefault="009221DB" w:rsidP="009221DB">
      <w:pPr>
        <w:spacing w:after="0" w:line="240" w:lineRule="auto"/>
        <w:rPr>
          <w:rFonts w:eastAsia="Times"/>
        </w:rPr>
      </w:pPr>
      <w:r w:rsidRPr="005F4143">
        <w:br w:type="page"/>
      </w:r>
    </w:p>
    <w:p w14:paraId="3353E3FF" w14:textId="2AAFAED0" w:rsidR="009221DB" w:rsidRPr="005F4143" w:rsidRDefault="009221DB" w:rsidP="009221DB">
      <w:pPr>
        <w:pStyle w:val="Heading3"/>
        <w:rPr>
          <w:lang w:val="en-AU"/>
        </w:rPr>
      </w:pPr>
      <w:bookmarkStart w:id="50" w:name="_Toc214457285"/>
      <w:r w:rsidRPr="005F4143">
        <w:rPr>
          <w:lang w:val="en-AU"/>
        </w:rPr>
        <w:lastRenderedPageBreak/>
        <w:t>Focus Area 3: Treat and care</w:t>
      </w:r>
      <w:bookmarkEnd w:id="50"/>
    </w:p>
    <w:p w14:paraId="345E842E" w14:textId="77777777" w:rsidR="009221DB" w:rsidRPr="005F4143" w:rsidRDefault="009221DB" w:rsidP="005A46F6">
      <w:pPr>
        <w:pStyle w:val="Body"/>
        <w:rPr>
          <w:b/>
        </w:rPr>
      </w:pPr>
      <w:r w:rsidRPr="005F4143">
        <w:rPr>
          <w:b/>
          <w:bCs/>
        </w:rPr>
        <w:t>Goals</w:t>
      </w:r>
    </w:p>
    <w:p w14:paraId="071F968C" w14:textId="77777777" w:rsidR="000D56A5" w:rsidRPr="005F4143" w:rsidRDefault="000D56A5" w:rsidP="009039C7">
      <w:pPr>
        <w:pStyle w:val="Body"/>
        <w:numPr>
          <w:ilvl w:val="1"/>
          <w:numId w:val="9"/>
        </w:numPr>
        <w:rPr>
          <w:b/>
          <w:bCs/>
        </w:rPr>
      </w:pPr>
      <w:r w:rsidRPr="005F4143">
        <w:rPr>
          <w:b/>
          <w:bCs/>
        </w:rPr>
        <w:t>Victorians with an STI will have access to best practice evidence-based treatment and care</w:t>
      </w:r>
    </w:p>
    <w:p w14:paraId="61DF3241" w14:textId="6D34EAFC" w:rsidR="000D56A5" w:rsidRPr="005F4143" w:rsidRDefault="000D56A5" w:rsidP="009039C7">
      <w:pPr>
        <w:pStyle w:val="Body"/>
        <w:numPr>
          <w:ilvl w:val="1"/>
          <w:numId w:val="9"/>
        </w:numPr>
        <w:rPr>
          <w:b/>
          <w:bCs/>
        </w:rPr>
      </w:pPr>
      <w:r w:rsidRPr="005F4143">
        <w:rPr>
          <w:b/>
          <w:bCs/>
        </w:rPr>
        <w:t>The morbidity and mortality associated with STI among Victorians is minimised</w:t>
      </w:r>
    </w:p>
    <w:p w14:paraId="064D6811" w14:textId="77777777" w:rsidR="009221DB" w:rsidRPr="005F4143" w:rsidRDefault="009221DB" w:rsidP="009039C7">
      <w:pPr>
        <w:pStyle w:val="Body"/>
        <w:rPr>
          <w:b/>
          <w:u w:val="single"/>
        </w:rPr>
      </w:pPr>
      <w:r w:rsidRPr="005F4143">
        <w:rPr>
          <w:b/>
          <w:bCs/>
          <w:u w:val="single"/>
        </w:rPr>
        <w:t>Objectives (by 2030):</w:t>
      </w:r>
    </w:p>
    <w:p w14:paraId="2158CC20" w14:textId="77777777" w:rsidR="002F303B" w:rsidRPr="005F4143" w:rsidRDefault="002F303B" w:rsidP="009039C7">
      <w:pPr>
        <w:pStyle w:val="Body"/>
        <w:numPr>
          <w:ilvl w:val="1"/>
          <w:numId w:val="9"/>
        </w:numPr>
      </w:pPr>
      <w:r w:rsidRPr="005F4143">
        <w:t>Victorians with an STI receive the treatment and care they need</w:t>
      </w:r>
    </w:p>
    <w:p w14:paraId="669B9D6C" w14:textId="77777777" w:rsidR="002F303B" w:rsidRPr="005F4143" w:rsidRDefault="002F303B" w:rsidP="009039C7">
      <w:pPr>
        <w:pStyle w:val="Body"/>
        <w:numPr>
          <w:ilvl w:val="1"/>
          <w:numId w:val="9"/>
        </w:numPr>
      </w:pPr>
      <w:r w:rsidRPr="005F4143">
        <w:t>Appropriate treatment in accordance with clinical guidelines reduces the risks of AMR</w:t>
      </w:r>
    </w:p>
    <w:p w14:paraId="7AF3221B" w14:textId="77777777" w:rsidR="002F303B" w:rsidRPr="005F4143" w:rsidRDefault="002F303B" w:rsidP="009039C7">
      <w:pPr>
        <w:pStyle w:val="Body"/>
        <w:numPr>
          <w:ilvl w:val="1"/>
          <w:numId w:val="9"/>
        </w:numPr>
      </w:pPr>
      <w:r w:rsidRPr="005F4143">
        <w:t>Sexual partners of people diagnosed with an STI are aware, diagnosed and treated</w:t>
      </w:r>
    </w:p>
    <w:p w14:paraId="5C7058E6" w14:textId="77777777" w:rsidR="002F303B" w:rsidRPr="005F4143" w:rsidRDefault="002F303B" w:rsidP="009039C7">
      <w:pPr>
        <w:pStyle w:val="Body"/>
        <w:numPr>
          <w:ilvl w:val="1"/>
          <w:numId w:val="9"/>
        </w:numPr>
      </w:pPr>
      <w:r w:rsidRPr="005F4143">
        <w:t>Victorians can easily access non-stigmatising, non-judgmental and culturally appropriate STI treatment and care in local primary and community health settings</w:t>
      </w:r>
    </w:p>
    <w:p w14:paraId="5D0F4964" w14:textId="77777777" w:rsidR="002F303B" w:rsidRPr="005F4143" w:rsidRDefault="002F303B" w:rsidP="009039C7">
      <w:pPr>
        <w:pStyle w:val="Body"/>
        <w:numPr>
          <w:ilvl w:val="1"/>
          <w:numId w:val="9"/>
        </w:numPr>
      </w:pPr>
      <w:r w:rsidRPr="005F4143">
        <w:t>Treatment and care services meet the needs of priority populations through a process of co-design with communities, with effective referral pathways between primary, community and specialist care services</w:t>
      </w:r>
    </w:p>
    <w:p w14:paraId="4F3F690C" w14:textId="246C7F07" w:rsidR="009221DB" w:rsidRPr="005F4143" w:rsidRDefault="002F303B" w:rsidP="009039C7">
      <w:pPr>
        <w:pStyle w:val="Body"/>
        <w:numPr>
          <w:ilvl w:val="1"/>
          <w:numId w:val="9"/>
        </w:numPr>
      </w:pPr>
      <w:r w:rsidRPr="005F4143">
        <w:t>Victorians living with or at greater risk of STI are aware of the long-term effects of untreated infections and know how to access appropriate treatment and support.</w:t>
      </w:r>
    </w:p>
    <w:p w14:paraId="051F8631" w14:textId="77777777" w:rsidR="009221DB" w:rsidRPr="005F4143" w:rsidRDefault="009221DB" w:rsidP="009039C7">
      <w:pPr>
        <w:pStyle w:val="Body"/>
        <w:rPr>
          <w:b/>
          <w:u w:val="single"/>
        </w:rPr>
      </w:pPr>
      <w:r w:rsidRPr="005F4143">
        <w:rPr>
          <w:b/>
          <w:bCs/>
          <w:u w:val="single"/>
        </w:rPr>
        <w:t>Indicators:</w:t>
      </w:r>
    </w:p>
    <w:p w14:paraId="1EFCC8ED" w14:textId="49E5CB77" w:rsidR="005D3024" w:rsidRPr="005F4143" w:rsidRDefault="005D3024" w:rsidP="009039C7">
      <w:pPr>
        <w:pStyle w:val="Body"/>
        <w:numPr>
          <w:ilvl w:val="1"/>
          <w:numId w:val="9"/>
        </w:numPr>
      </w:pPr>
      <w:r w:rsidRPr="005F4143">
        <w:t xml:space="preserve">Proportion of individuals retested for an STI within </w:t>
      </w:r>
      <w:r w:rsidR="00270214" w:rsidRPr="005F4143">
        <w:t>4</w:t>
      </w:r>
      <w:r w:rsidR="009745F4" w:rsidRPr="005F4143">
        <w:t xml:space="preserve"> </w:t>
      </w:r>
      <w:r w:rsidRPr="005F4143">
        <w:t xml:space="preserve">months after </w:t>
      </w:r>
      <w:r w:rsidR="00D85428" w:rsidRPr="005F4143">
        <w:t>diagnosis with</w:t>
      </w:r>
      <w:r w:rsidRPr="005F4143">
        <w:t xml:space="preserve"> an STI</w:t>
      </w:r>
    </w:p>
    <w:p w14:paraId="0C2263AA" w14:textId="2F6A0A15" w:rsidR="00025476" w:rsidRPr="005F4143" w:rsidRDefault="00025476" w:rsidP="009039C7">
      <w:pPr>
        <w:pStyle w:val="Body"/>
        <w:numPr>
          <w:ilvl w:val="1"/>
          <w:numId w:val="9"/>
        </w:numPr>
      </w:pPr>
      <w:r w:rsidRPr="005F4143">
        <w:t xml:space="preserve">Number of notified gonorrhoea cases </w:t>
      </w:r>
      <w:r w:rsidR="00AE146C" w:rsidRPr="005F4143">
        <w:t xml:space="preserve">with </w:t>
      </w:r>
      <w:r w:rsidRPr="005F4143">
        <w:t>high levels of resistance to ceftriaxone or azithromycin</w:t>
      </w:r>
    </w:p>
    <w:p w14:paraId="724E2E79" w14:textId="4BD370BE" w:rsidR="009221DB" w:rsidRPr="005F4143" w:rsidRDefault="009221DB" w:rsidP="009039C7">
      <w:pPr>
        <w:pStyle w:val="Body"/>
      </w:pPr>
    </w:p>
    <w:p w14:paraId="3C59CDAC" w14:textId="75B70332" w:rsidR="009221DB" w:rsidRPr="005F4143" w:rsidRDefault="009221DB" w:rsidP="009039C7">
      <w:pPr>
        <w:pStyle w:val="Body"/>
      </w:pPr>
      <w:r w:rsidRPr="005F4143">
        <w:rPr>
          <w:b/>
          <w:bCs/>
        </w:rPr>
        <w:t xml:space="preserve">Indicator </w:t>
      </w:r>
      <w:r w:rsidR="00397FFC" w:rsidRPr="005F4143">
        <w:rPr>
          <w:rFonts w:eastAsia="Arial" w:cs="Arial"/>
          <w:b/>
          <w:bCs/>
          <w:szCs w:val="21"/>
        </w:rPr>
        <w:t>n</w:t>
      </w:r>
      <w:r w:rsidR="4B5CDEB0" w:rsidRPr="005F4143">
        <w:rPr>
          <w:rFonts w:eastAsia="Arial" w:cs="Arial"/>
          <w:b/>
          <w:bCs/>
          <w:szCs w:val="21"/>
        </w:rPr>
        <w:t>otes</w:t>
      </w:r>
    </w:p>
    <w:p w14:paraId="3DAAF9C3" w14:textId="2227C347" w:rsidR="00450FD3" w:rsidRPr="005F4143" w:rsidRDefault="00D5428F" w:rsidP="009039C7">
      <w:pPr>
        <w:pStyle w:val="Body"/>
      </w:pPr>
      <w:r w:rsidRPr="005F4143">
        <w:t>National data suggest that although a very high proportion of people diagnosed with an STI receive treatment, the majority of STI remain undiagnosed and therefore without the opportunity for treatment. Continued measurement of screening uptake will be essential to ensuring people with STI have access to treatment and care services (see Focus area 2: Test), as is assessment of the incidence of adverse</w:t>
      </w:r>
      <w:r w:rsidR="00025476" w:rsidRPr="005F4143">
        <w:t xml:space="preserve"> </w:t>
      </w:r>
      <w:r w:rsidRPr="005F4143">
        <w:t>outcomes due to untreated STI.</w:t>
      </w:r>
    </w:p>
    <w:p w14:paraId="609521D3" w14:textId="75188567" w:rsidR="00450FD3" w:rsidRPr="005F4143" w:rsidRDefault="009F3944" w:rsidP="009039C7">
      <w:pPr>
        <w:pStyle w:val="Body"/>
      </w:pPr>
      <w:r w:rsidRPr="005F4143">
        <w:t xml:space="preserve">ACCESS can provide data on the individual follow-up testing and reinfections after being diagnosed and/or treated for an STI. Re-testing according to guidelines provide a marker of </w:t>
      </w:r>
      <w:r w:rsidR="0004099D" w:rsidRPr="005F4143">
        <w:t>appropriate management. A reduction in reinfections over time could demonstrate effective management of infections a</w:t>
      </w:r>
      <w:r w:rsidR="00525C8E" w:rsidRPr="005F4143">
        <w:t>nd successful partner notification, testing and treatment.</w:t>
      </w:r>
    </w:p>
    <w:p w14:paraId="59C41E1F" w14:textId="3060D372" w:rsidR="00D5428F" w:rsidRPr="005F4143" w:rsidRDefault="00D5428F" w:rsidP="009039C7">
      <w:pPr>
        <w:pStyle w:val="Body"/>
      </w:pPr>
      <w:r w:rsidRPr="005F4143">
        <w:t>Antimicrobial resistance also presents a threat to the</w:t>
      </w:r>
      <w:r w:rsidR="00450FD3" w:rsidRPr="005F4143">
        <w:t xml:space="preserve"> </w:t>
      </w:r>
      <w:r w:rsidRPr="005F4143">
        <w:t>ease with which gonorrhoea can be treated. Control of transmission of treatment resistant gonorrhoea is essential.</w:t>
      </w:r>
    </w:p>
    <w:p w14:paraId="4593A2BA" w14:textId="77777777" w:rsidR="00CB2ED2" w:rsidRPr="005F4143" w:rsidRDefault="00CB2ED2">
      <w:pPr>
        <w:spacing w:after="0" w:line="240" w:lineRule="auto"/>
      </w:pPr>
    </w:p>
    <w:p w14:paraId="609CCFB6" w14:textId="6C5025B9" w:rsidR="009221DB" w:rsidRPr="005F4143" w:rsidRDefault="009221DB" w:rsidP="00D67D40">
      <w:pPr>
        <w:pStyle w:val="Body"/>
        <w:rPr>
          <w:b/>
        </w:rPr>
      </w:pPr>
      <w:r w:rsidRPr="005F4143">
        <w:rPr>
          <w:b/>
          <w:bCs/>
        </w:rPr>
        <w:t>Reporting against indicators</w:t>
      </w:r>
    </w:p>
    <w:p w14:paraId="7AD96F6D" w14:textId="05B7077E" w:rsidR="009221DB" w:rsidRPr="005F4143" w:rsidRDefault="009221DB" w:rsidP="009039C7">
      <w:pPr>
        <w:spacing w:after="0" w:line="240" w:lineRule="auto"/>
        <w:rPr>
          <w:b/>
          <w:bCs/>
        </w:rPr>
      </w:pPr>
    </w:p>
    <w:p w14:paraId="685267D8" w14:textId="5A177A4D" w:rsidR="000C2DC8" w:rsidRPr="005F4143" w:rsidRDefault="000C2DC8" w:rsidP="000C2DC8">
      <w:pPr>
        <w:spacing w:after="0" w:line="240" w:lineRule="auto"/>
        <w:rPr>
          <w:b/>
          <w:bCs/>
        </w:rPr>
      </w:pPr>
      <w:r w:rsidRPr="005F4143">
        <w:rPr>
          <w:b/>
          <w:bCs/>
        </w:rPr>
        <w:fldChar w:fldCharType="begin"/>
      </w:r>
      <w:r w:rsidRPr="005F4143">
        <w:rPr>
          <w:b/>
          <w:bCs/>
        </w:rPr>
        <w:instrText xml:space="preserve"> SEQ Table \* ARABIC </w:instrText>
      </w:r>
      <w:r w:rsidRPr="005F4143">
        <w:rPr>
          <w:b/>
          <w:bCs/>
        </w:rPr>
        <w:fldChar w:fldCharType="separate"/>
      </w:r>
      <w:bookmarkStart w:id="51" w:name="_Toc214457321"/>
      <w:r w:rsidR="00670632">
        <w:rPr>
          <w:b/>
          <w:bCs/>
          <w:noProof/>
        </w:rPr>
        <w:t>22</w:t>
      </w:r>
      <w:r w:rsidRPr="005F4143">
        <w:rPr>
          <w:b/>
          <w:bCs/>
        </w:rPr>
        <w:fldChar w:fldCharType="end"/>
      </w:r>
      <w:r w:rsidRPr="005F4143">
        <w:rPr>
          <w:b/>
          <w:bCs/>
        </w:rPr>
        <w:t>. Proportion of individuals retested for an STI within 4 months after diagnosis with an STI</w:t>
      </w:r>
      <w:bookmarkEnd w:id="51"/>
    </w:p>
    <w:tbl>
      <w:tblPr>
        <w:tblStyle w:val="TableGrid"/>
        <w:tblW w:w="9776" w:type="dxa"/>
        <w:tblLayout w:type="fixed"/>
        <w:tblLook w:val="06A0" w:firstRow="1" w:lastRow="0" w:firstColumn="1" w:lastColumn="0" w:noHBand="1" w:noVBand="1"/>
      </w:tblPr>
      <w:tblGrid>
        <w:gridCol w:w="1419"/>
        <w:gridCol w:w="3233"/>
        <w:gridCol w:w="1439"/>
        <w:gridCol w:w="1701"/>
        <w:gridCol w:w="1984"/>
      </w:tblGrid>
      <w:tr w:rsidR="009221DB" w:rsidRPr="005F4143" w14:paraId="123C180A" w14:textId="77777777" w:rsidTr="183A9F91">
        <w:trPr>
          <w:tblHeader/>
        </w:trPr>
        <w:tc>
          <w:tcPr>
            <w:tcW w:w="1419" w:type="dxa"/>
          </w:tcPr>
          <w:p w14:paraId="0294A189" w14:textId="77777777" w:rsidR="009221DB" w:rsidRPr="005F4143" w:rsidRDefault="009221DB" w:rsidP="00D67D40">
            <w:pPr>
              <w:pStyle w:val="Tablecolhead"/>
            </w:pPr>
            <w:r w:rsidRPr="005F4143">
              <w:t>Component</w:t>
            </w:r>
          </w:p>
        </w:tc>
        <w:tc>
          <w:tcPr>
            <w:tcW w:w="3233" w:type="dxa"/>
            <w:tcBorders>
              <w:bottom w:val="single" w:sz="4" w:space="0" w:color="auto"/>
            </w:tcBorders>
          </w:tcPr>
          <w:p w14:paraId="1B05BED7" w14:textId="77777777" w:rsidR="009221DB" w:rsidRPr="005F4143" w:rsidRDefault="009221DB" w:rsidP="00D67D40">
            <w:pPr>
              <w:pStyle w:val="Tablecolhead"/>
            </w:pPr>
            <w:r w:rsidRPr="005F4143">
              <w:t>Description</w:t>
            </w:r>
          </w:p>
        </w:tc>
        <w:tc>
          <w:tcPr>
            <w:tcW w:w="1439" w:type="dxa"/>
          </w:tcPr>
          <w:p w14:paraId="46770F2E" w14:textId="77777777" w:rsidR="009221DB" w:rsidRPr="005F4143" w:rsidRDefault="009221DB" w:rsidP="00D67D40">
            <w:pPr>
              <w:pStyle w:val="Tablecolhead"/>
            </w:pPr>
            <w:r w:rsidRPr="005F4143">
              <w:t>Source</w:t>
            </w:r>
          </w:p>
        </w:tc>
        <w:tc>
          <w:tcPr>
            <w:tcW w:w="1701" w:type="dxa"/>
          </w:tcPr>
          <w:p w14:paraId="608E36B8" w14:textId="77777777" w:rsidR="009221DB" w:rsidRPr="005F4143" w:rsidRDefault="009221DB" w:rsidP="00D67D40">
            <w:pPr>
              <w:pStyle w:val="Tablecolhead"/>
            </w:pPr>
            <w:r w:rsidRPr="005F4143">
              <w:t>Custodian</w:t>
            </w:r>
          </w:p>
        </w:tc>
        <w:tc>
          <w:tcPr>
            <w:tcW w:w="1984" w:type="dxa"/>
          </w:tcPr>
          <w:p w14:paraId="4AD616F8" w14:textId="77777777" w:rsidR="009221DB" w:rsidRPr="005F4143" w:rsidRDefault="009221DB" w:rsidP="00D67D40">
            <w:pPr>
              <w:pStyle w:val="Tablecolhead"/>
            </w:pPr>
            <w:r w:rsidRPr="005F4143">
              <w:t>Availability</w:t>
            </w:r>
          </w:p>
        </w:tc>
      </w:tr>
      <w:tr w:rsidR="009221DB" w:rsidRPr="005F4143" w14:paraId="7F55D626" w14:textId="77777777" w:rsidTr="183A9F91">
        <w:tc>
          <w:tcPr>
            <w:tcW w:w="1419" w:type="dxa"/>
          </w:tcPr>
          <w:p w14:paraId="2672F959" w14:textId="77777777" w:rsidR="009221DB" w:rsidRPr="005F4143" w:rsidRDefault="009221DB" w:rsidP="005A46F6">
            <w:pPr>
              <w:pStyle w:val="Tabletext"/>
            </w:pPr>
            <w:r w:rsidRPr="005F4143">
              <w:t>Numerator</w:t>
            </w:r>
          </w:p>
        </w:tc>
        <w:tc>
          <w:tcPr>
            <w:tcW w:w="3233" w:type="dxa"/>
          </w:tcPr>
          <w:p w14:paraId="23D48A46" w14:textId="64312549" w:rsidR="009221DB" w:rsidRPr="005F4143" w:rsidRDefault="00464FD9" w:rsidP="005A46F6">
            <w:pPr>
              <w:pStyle w:val="Tabletext"/>
            </w:pPr>
            <w:r w:rsidRPr="005F4143">
              <w:t xml:space="preserve">Number of individuals retested for chlamydia, gonorrhoea or </w:t>
            </w:r>
            <w:r w:rsidRPr="005F4143">
              <w:lastRenderedPageBreak/>
              <w:t xml:space="preserve">syphilis </w:t>
            </w:r>
            <w:r w:rsidR="1DB42269" w:rsidRPr="005F4143">
              <w:t>4</w:t>
            </w:r>
            <w:r w:rsidRPr="005F4143">
              <w:t xml:space="preserve"> months after initial diagnosis</w:t>
            </w:r>
            <w:r w:rsidR="00D85428" w:rsidRPr="005F4143">
              <w:t xml:space="preserve"> in a calendar year</w:t>
            </w:r>
          </w:p>
        </w:tc>
        <w:tc>
          <w:tcPr>
            <w:tcW w:w="1439" w:type="dxa"/>
          </w:tcPr>
          <w:p w14:paraId="2BC96916" w14:textId="03D4B311" w:rsidR="009221DB" w:rsidRPr="005F4143" w:rsidRDefault="00D85428" w:rsidP="005A46F6">
            <w:pPr>
              <w:pStyle w:val="Tablebullet2"/>
              <w:numPr>
                <w:ilvl w:val="0"/>
                <w:numId w:val="0"/>
              </w:numPr>
            </w:pPr>
            <w:r w:rsidRPr="005F4143">
              <w:lastRenderedPageBreak/>
              <w:t>ACCESS</w:t>
            </w:r>
          </w:p>
        </w:tc>
        <w:tc>
          <w:tcPr>
            <w:tcW w:w="1701" w:type="dxa"/>
          </w:tcPr>
          <w:p w14:paraId="68D139AC" w14:textId="027568DD" w:rsidR="009221DB" w:rsidRPr="005F4143" w:rsidRDefault="00D85428" w:rsidP="005A46F6">
            <w:pPr>
              <w:pStyle w:val="Tablebullet2"/>
              <w:numPr>
                <w:ilvl w:val="0"/>
                <w:numId w:val="0"/>
              </w:numPr>
            </w:pPr>
            <w:r w:rsidRPr="005F4143">
              <w:t>Burnet Institute</w:t>
            </w:r>
          </w:p>
        </w:tc>
        <w:tc>
          <w:tcPr>
            <w:tcW w:w="1984" w:type="dxa"/>
          </w:tcPr>
          <w:p w14:paraId="3D9E5CAB" w14:textId="77777777" w:rsidR="009221DB" w:rsidRPr="005F4143" w:rsidRDefault="009221DB">
            <w:r w:rsidRPr="005F4143">
              <w:t>Annually</w:t>
            </w:r>
          </w:p>
        </w:tc>
      </w:tr>
      <w:tr w:rsidR="00D85428" w:rsidRPr="005F4143" w14:paraId="7B62D40B" w14:textId="77777777" w:rsidTr="183A9F91">
        <w:tc>
          <w:tcPr>
            <w:tcW w:w="1419" w:type="dxa"/>
          </w:tcPr>
          <w:p w14:paraId="1B055B54" w14:textId="77777777" w:rsidR="00D85428" w:rsidRPr="005F4143" w:rsidRDefault="00D85428" w:rsidP="003452C2">
            <w:pPr>
              <w:pStyle w:val="Tabletext"/>
            </w:pPr>
            <w:r w:rsidRPr="005F4143">
              <w:t>Denominator</w:t>
            </w:r>
          </w:p>
        </w:tc>
        <w:tc>
          <w:tcPr>
            <w:tcW w:w="3233" w:type="dxa"/>
          </w:tcPr>
          <w:p w14:paraId="378D722B" w14:textId="6077BB9D" w:rsidR="00D85428" w:rsidRPr="005F4143" w:rsidRDefault="00D85428" w:rsidP="003452C2">
            <w:pPr>
              <w:pStyle w:val="Tabletext"/>
            </w:pPr>
            <w:r w:rsidRPr="005F4143">
              <w:t xml:space="preserve">Number of </w:t>
            </w:r>
            <w:r w:rsidR="003452C2" w:rsidRPr="005F4143">
              <w:t>individuals</w:t>
            </w:r>
            <w:r w:rsidRPr="005F4143">
              <w:t xml:space="preserve"> diagnosed with chlamydia, gonorrhoea or syphilis in a calendar year</w:t>
            </w:r>
          </w:p>
        </w:tc>
        <w:tc>
          <w:tcPr>
            <w:tcW w:w="1439" w:type="dxa"/>
          </w:tcPr>
          <w:p w14:paraId="4861AE7E" w14:textId="7E110BE2" w:rsidR="00D85428" w:rsidRPr="005F4143" w:rsidRDefault="00D85428" w:rsidP="003452C2">
            <w:pPr>
              <w:pStyle w:val="Tablebullet2"/>
              <w:numPr>
                <w:ilvl w:val="0"/>
                <w:numId w:val="0"/>
              </w:numPr>
            </w:pPr>
            <w:r w:rsidRPr="005F4143">
              <w:t>ACCESS</w:t>
            </w:r>
          </w:p>
        </w:tc>
        <w:tc>
          <w:tcPr>
            <w:tcW w:w="1701" w:type="dxa"/>
          </w:tcPr>
          <w:p w14:paraId="666FED90" w14:textId="34BF14A7" w:rsidR="00D85428" w:rsidRPr="005F4143" w:rsidRDefault="00D85428" w:rsidP="003452C2">
            <w:pPr>
              <w:pStyle w:val="Tablebullet2"/>
              <w:numPr>
                <w:ilvl w:val="0"/>
                <w:numId w:val="0"/>
              </w:numPr>
            </w:pPr>
            <w:r w:rsidRPr="005F4143">
              <w:t>Burnet Institute</w:t>
            </w:r>
          </w:p>
        </w:tc>
        <w:tc>
          <w:tcPr>
            <w:tcW w:w="1984" w:type="dxa"/>
          </w:tcPr>
          <w:p w14:paraId="6EF9ACB0" w14:textId="7F9F98E0" w:rsidR="00D85428" w:rsidRPr="005F4143" w:rsidRDefault="00D85428" w:rsidP="003452C2">
            <w:pPr>
              <w:pStyle w:val="Tablebullet1"/>
              <w:numPr>
                <w:ilvl w:val="0"/>
                <w:numId w:val="0"/>
              </w:numPr>
              <w:ind w:left="227" w:hanging="227"/>
            </w:pPr>
            <w:r w:rsidRPr="005F4143">
              <w:t>Annually</w:t>
            </w:r>
          </w:p>
        </w:tc>
      </w:tr>
    </w:tbl>
    <w:p w14:paraId="196DB0CB" w14:textId="5C8C3CA5" w:rsidR="009221DB" w:rsidRPr="005F4143" w:rsidRDefault="009221DB" w:rsidP="00F60765">
      <w:pPr>
        <w:pStyle w:val="Body"/>
      </w:pPr>
    </w:p>
    <w:p w14:paraId="7F849CAB" w14:textId="5A46BEC4" w:rsidR="009221DB" w:rsidRPr="005F4143" w:rsidRDefault="00D67D40" w:rsidP="009039C7">
      <w:pPr>
        <w:spacing w:after="0" w:line="240" w:lineRule="auto"/>
        <w:rPr>
          <w:b/>
          <w:bCs/>
        </w:rPr>
      </w:pPr>
      <w:r w:rsidRPr="005F4143">
        <w:rPr>
          <w:b/>
          <w:bCs/>
        </w:rPr>
        <w:fldChar w:fldCharType="begin"/>
      </w:r>
      <w:r w:rsidRPr="005F4143">
        <w:rPr>
          <w:b/>
          <w:bCs/>
        </w:rPr>
        <w:instrText xml:space="preserve"> SEQ Table \* ARABIC </w:instrText>
      </w:r>
      <w:r w:rsidRPr="005F4143">
        <w:rPr>
          <w:b/>
          <w:bCs/>
        </w:rPr>
        <w:fldChar w:fldCharType="separate"/>
      </w:r>
      <w:bookmarkStart w:id="52" w:name="_Toc214457322"/>
      <w:r w:rsidR="00670632">
        <w:rPr>
          <w:b/>
          <w:bCs/>
          <w:noProof/>
        </w:rPr>
        <w:t>23</w:t>
      </w:r>
      <w:r w:rsidRPr="005F4143">
        <w:rPr>
          <w:b/>
          <w:bCs/>
        </w:rPr>
        <w:fldChar w:fldCharType="end"/>
      </w:r>
      <w:r w:rsidR="009221DB" w:rsidRPr="005F4143">
        <w:rPr>
          <w:b/>
          <w:bCs/>
        </w:rPr>
        <w:t xml:space="preserve">. </w:t>
      </w:r>
      <w:r w:rsidR="007B48E9" w:rsidRPr="005F4143">
        <w:rPr>
          <w:b/>
          <w:bCs/>
        </w:rPr>
        <w:t>Number of notified gonorrhoea cases</w:t>
      </w:r>
      <w:r w:rsidR="0020604E" w:rsidRPr="005F4143">
        <w:rPr>
          <w:b/>
          <w:bCs/>
        </w:rPr>
        <w:t xml:space="preserve"> with</w:t>
      </w:r>
      <w:r w:rsidR="007B48E9" w:rsidRPr="005F4143">
        <w:rPr>
          <w:b/>
          <w:bCs/>
        </w:rPr>
        <w:t xml:space="preserve"> high levels of resistance to ceftriaxone or azithromycin</w:t>
      </w:r>
      <w:bookmarkStart w:id="53" w:name="_Hlk66712316"/>
      <w:bookmarkEnd w:id="52"/>
    </w:p>
    <w:tbl>
      <w:tblPr>
        <w:tblStyle w:val="TableGrid"/>
        <w:tblW w:w="9776" w:type="dxa"/>
        <w:tblLayout w:type="fixed"/>
        <w:tblLook w:val="06A0" w:firstRow="1" w:lastRow="0" w:firstColumn="1" w:lastColumn="0" w:noHBand="1" w:noVBand="1"/>
      </w:tblPr>
      <w:tblGrid>
        <w:gridCol w:w="1419"/>
        <w:gridCol w:w="3233"/>
        <w:gridCol w:w="1439"/>
        <w:gridCol w:w="1701"/>
        <w:gridCol w:w="1984"/>
      </w:tblGrid>
      <w:tr w:rsidR="009221DB" w:rsidRPr="005F4143" w14:paraId="329D9205" w14:textId="77777777" w:rsidTr="003452C2">
        <w:trPr>
          <w:tblHeader/>
        </w:trPr>
        <w:tc>
          <w:tcPr>
            <w:tcW w:w="1419" w:type="dxa"/>
          </w:tcPr>
          <w:p w14:paraId="1D7B4A14" w14:textId="77777777" w:rsidR="009221DB" w:rsidRPr="005F4143" w:rsidRDefault="009221DB" w:rsidP="003452C2">
            <w:pPr>
              <w:pStyle w:val="Tablecolhead"/>
            </w:pPr>
            <w:r w:rsidRPr="005F4143">
              <w:t>Component</w:t>
            </w:r>
          </w:p>
        </w:tc>
        <w:tc>
          <w:tcPr>
            <w:tcW w:w="3233" w:type="dxa"/>
            <w:tcBorders>
              <w:bottom w:val="single" w:sz="4" w:space="0" w:color="auto"/>
            </w:tcBorders>
          </w:tcPr>
          <w:p w14:paraId="1DD5A1C8" w14:textId="77777777" w:rsidR="009221DB" w:rsidRPr="005F4143" w:rsidRDefault="009221DB" w:rsidP="003452C2">
            <w:pPr>
              <w:pStyle w:val="Tablecolhead"/>
            </w:pPr>
            <w:r w:rsidRPr="005F4143">
              <w:t>Description</w:t>
            </w:r>
          </w:p>
        </w:tc>
        <w:tc>
          <w:tcPr>
            <w:tcW w:w="1439" w:type="dxa"/>
          </w:tcPr>
          <w:p w14:paraId="27AC3832" w14:textId="77777777" w:rsidR="009221DB" w:rsidRPr="005F4143" w:rsidRDefault="009221DB" w:rsidP="003452C2">
            <w:pPr>
              <w:pStyle w:val="Tablecolhead"/>
            </w:pPr>
            <w:r w:rsidRPr="005F4143">
              <w:t>Source</w:t>
            </w:r>
          </w:p>
        </w:tc>
        <w:tc>
          <w:tcPr>
            <w:tcW w:w="1701" w:type="dxa"/>
          </w:tcPr>
          <w:p w14:paraId="14F49508" w14:textId="77777777" w:rsidR="009221DB" w:rsidRPr="005F4143" w:rsidRDefault="009221DB" w:rsidP="003452C2">
            <w:pPr>
              <w:pStyle w:val="Tablecolhead"/>
            </w:pPr>
            <w:r w:rsidRPr="005F4143">
              <w:t>Custodian</w:t>
            </w:r>
          </w:p>
        </w:tc>
        <w:tc>
          <w:tcPr>
            <w:tcW w:w="1984" w:type="dxa"/>
          </w:tcPr>
          <w:p w14:paraId="06061699" w14:textId="77777777" w:rsidR="009221DB" w:rsidRPr="005F4143" w:rsidRDefault="009221DB" w:rsidP="003452C2">
            <w:pPr>
              <w:pStyle w:val="Tablecolhead"/>
            </w:pPr>
            <w:r w:rsidRPr="005F4143">
              <w:t>Availability</w:t>
            </w:r>
          </w:p>
        </w:tc>
      </w:tr>
      <w:tr w:rsidR="009221DB" w:rsidRPr="005F4143" w14:paraId="79B0F99D" w14:textId="77777777" w:rsidTr="003452C2">
        <w:tc>
          <w:tcPr>
            <w:tcW w:w="1419" w:type="dxa"/>
          </w:tcPr>
          <w:p w14:paraId="61F7AA9F" w14:textId="271E916F" w:rsidR="007B48E9" w:rsidRPr="005F4143" w:rsidRDefault="007B48E9" w:rsidP="00A23849">
            <w:r w:rsidRPr="005F4143">
              <w:t>Single measure</w:t>
            </w:r>
          </w:p>
        </w:tc>
        <w:tc>
          <w:tcPr>
            <w:tcW w:w="3233" w:type="dxa"/>
          </w:tcPr>
          <w:p w14:paraId="755989AC" w14:textId="20957C8E" w:rsidR="009221DB" w:rsidRPr="005F4143" w:rsidRDefault="00AA2E90" w:rsidP="003452C2">
            <w:pPr>
              <w:pStyle w:val="Tabletext"/>
            </w:pPr>
            <w:r w:rsidRPr="005F4143">
              <w:t>Number of notified gonorrhoea cases highly resistant to Ceftriaxone</w:t>
            </w:r>
          </w:p>
        </w:tc>
        <w:tc>
          <w:tcPr>
            <w:tcW w:w="1439" w:type="dxa"/>
          </w:tcPr>
          <w:p w14:paraId="07038B9E" w14:textId="79B430B3" w:rsidR="009221DB" w:rsidRPr="005F4143" w:rsidRDefault="00877B85" w:rsidP="003452C2">
            <w:pPr>
              <w:pStyle w:val="Tabletext"/>
            </w:pPr>
            <w:r w:rsidRPr="005F4143">
              <w:t>PHESS</w:t>
            </w:r>
            <w:r w:rsidR="009221DB" w:rsidRPr="005F4143">
              <w:t xml:space="preserve"> </w:t>
            </w:r>
          </w:p>
        </w:tc>
        <w:tc>
          <w:tcPr>
            <w:tcW w:w="1701" w:type="dxa"/>
          </w:tcPr>
          <w:p w14:paraId="2E0FD0E4" w14:textId="23377C4A" w:rsidR="009221DB" w:rsidRPr="005F4143" w:rsidRDefault="00877B85" w:rsidP="003452C2">
            <w:pPr>
              <w:pStyle w:val="Tabletext"/>
            </w:pPr>
            <w:r w:rsidRPr="005F4143">
              <w:t>DH</w:t>
            </w:r>
          </w:p>
        </w:tc>
        <w:tc>
          <w:tcPr>
            <w:tcW w:w="1984" w:type="dxa"/>
          </w:tcPr>
          <w:p w14:paraId="2FCD7FEA" w14:textId="0C7456D9" w:rsidR="009221DB" w:rsidRPr="005F4143" w:rsidRDefault="00877B85" w:rsidP="003452C2">
            <w:pPr>
              <w:pStyle w:val="Tabletext"/>
            </w:pPr>
            <w:r w:rsidRPr="005F4143">
              <w:t>Quarterly</w:t>
            </w:r>
          </w:p>
        </w:tc>
      </w:tr>
      <w:tr w:rsidR="00877B85" w:rsidRPr="005F4143" w14:paraId="373808BC" w14:textId="77777777" w:rsidTr="003452C2">
        <w:tc>
          <w:tcPr>
            <w:tcW w:w="1419" w:type="dxa"/>
          </w:tcPr>
          <w:p w14:paraId="1564F26D" w14:textId="68044C66" w:rsidR="00877B85" w:rsidRPr="005F4143" w:rsidRDefault="00877B85" w:rsidP="003452C2">
            <w:pPr>
              <w:pStyle w:val="Tabletext"/>
            </w:pPr>
            <w:r w:rsidRPr="005F4143">
              <w:t>Single measure</w:t>
            </w:r>
          </w:p>
        </w:tc>
        <w:tc>
          <w:tcPr>
            <w:tcW w:w="3233" w:type="dxa"/>
          </w:tcPr>
          <w:p w14:paraId="5CB4F2C6" w14:textId="2910DEDC" w:rsidR="00877B85" w:rsidRPr="005F4143" w:rsidRDefault="00877B85" w:rsidP="003452C2">
            <w:pPr>
              <w:pStyle w:val="Tabletext"/>
            </w:pPr>
            <w:r w:rsidRPr="005F4143">
              <w:t>Number of notified gonorrhoea cases with decreased susceptibility to Ceftriaxone</w:t>
            </w:r>
          </w:p>
        </w:tc>
        <w:tc>
          <w:tcPr>
            <w:tcW w:w="1439" w:type="dxa"/>
          </w:tcPr>
          <w:p w14:paraId="24D27218" w14:textId="34980909" w:rsidR="00877B85" w:rsidRPr="005F4143" w:rsidRDefault="00877B85" w:rsidP="003452C2">
            <w:pPr>
              <w:pStyle w:val="Tabletext"/>
            </w:pPr>
            <w:r w:rsidRPr="005F4143">
              <w:t xml:space="preserve">PHESS </w:t>
            </w:r>
          </w:p>
        </w:tc>
        <w:tc>
          <w:tcPr>
            <w:tcW w:w="1701" w:type="dxa"/>
          </w:tcPr>
          <w:p w14:paraId="386FC63B" w14:textId="4B7696DB" w:rsidR="00877B85" w:rsidRPr="005F4143" w:rsidRDefault="00877B85" w:rsidP="003452C2">
            <w:pPr>
              <w:pStyle w:val="Tabletext"/>
            </w:pPr>
            <w:r w:rsidRPr="005F4143">
              <w:t>DH</w:t>
            </w:r>
          </w:p>
        </w:tc>
        <w:tc>
          <w:tcPr>
            <w:tcW w:w="1984" w:type="dxa"/>
          </w:tcPr>
          <w:p w14:paraId="33149229" w14:textId="7967BA4B" w:rsidR="00877B85" w:rsidRPr="005F4143" w:rsidRDefault="00877B85" w:rsidP="003452C2">
            <w:pPr>
              <w:pStyle w:val="Tabletext"/>
            </w:pPr>
            <w:r w:rsidRPr="005F4143">
              <w:t>Quarterly</w:t>
            </w:r>
          </w:p>
        </w:tc>
      </w:tr>
      <w:tr w:rsidR="00877B85" w:rsidRPr="005F4143" w14:paraId="63CF7BEE" w14:textId="77777777" w:rsidTr="003452C2">
        <w:tc>
          <w:tcPr>
            <w:tcW w:w="1419" w:type="dxa"/>
          </w:tcPr>
          <w:p w14:paraId="63968F6A" w14:textId="799E60B1" w:rsidR="00877B85" w:rsidRPr="005F4143" w:rsidRDefault="00877B85" w:rsidP="003452C2">
            <w:pPr>
              <w:pStyle w:val="Tabletext"/>
            </w:pPr>
            <w:r w:rsidRPr="005F4143">
              <w:t>Single measure</w:t>
            </w:r>
          </w:p>
        </w:tc>
        <w:tc>
          <w:tcPr>
            <w:tcW w:w="3233" w:type="dxa"/>
          </w:tcPr>
          <w:p w14:paraId="2208D0C4" w14:textId="18A71697" w:rsidR="00877B85" w:rsidRPr="005F4143" w:rsidRDefault="00877B85" w:rsidP="003452C2">
            <w:pPr>
              <w:pStyle w:val="Tabletext"/>
            </w:pPr>
            <w:r w:rsidRPr="005F4143">
              <w:t>Number of notified gonorrhoea cases with high level resistance to Azithromycin</w:t>
            </w:r>
          </w:p>
        </w:tc>
        <w:tc>
          <w:tcPr>
            <w:tcW w:w="1439" w:type="dxa"/>
          </w:tcPr>
          <w:p w14:paraId="473DC153" w14:textId="77777777" w:rsidR="00877B85" w:rsidRPr="005F4143" w:rsidRDefault="00877B85" w:rsidP="003452C2">
            <w:pPr>
              <w:pStyle w:val="Tabletext"/>
            </w:pPr>
            <w:r w:rsidRPr="005F4143">
              <w:t xml:space="preserve">PHESS </w:t>
            </w:r>
          </w:p>
        </w:tc>
        <w:tc>
          <w:tcPr>
            <w:tcW w:w="1701" w:type="dxa"/>
          </w:tcPr>
          <w:p w14:paraId="272E69FE" w14:textId="04A3F381" w:rsidR="00877B85" w:rsidRPr="005F4143" w:rsidRDefault="00877B85" w:rsidP="003452C2">
            <w:pPr>
              <w:pStyle w:val="Tabletext"/>
            </w:pPr>
            <w:r w:rsidRPr="005F4143">
              <w:t>DH</w:t>
            </w:r>
          </w:p>
        </w:tc>
        <w:tc>
          <w:tcPr>
            <w:tcW w:w="1984" w:type="dxa"/>
          </w:tcPr>
          <w:p w14:paraId="3AA4EAC6" w14:textId="20C15A48" w:rsidR="00877B85" w:rsidRPr="005F4143" w:rsidRDefault="00877B85" w:rsidP="003452C2">
            <w:pPr>
              <w:pStyle w:val="Tabletext"/>
            </w:pPr>
            <w:r w:rsidRPr="005F4143">
              <w:t>Quarterly</w:t>
            </w:r>
          </w:p>
        </w:tc>
      </w:tr>
      <w:bookmarkEnd w:id="53"/>
    </w:tbl>
    <w:p w14:paraId="7BB3E5F7" w14:textId="0BB08AF4" w:rsidR="009221DB" w:rsidRPr="005F4143" w:rsidRDefault="009221DB" w:rsidP="00DE2FD2"/>
    <w:sectPr w:rsidR="009221DB" w:rsidRPr="005F4143" w:rsidSect="00780C3D">
      <w:headerReference w:type="even" r:id="rId30"/>
      <w:headerReference w:type="default" r:id="rId31"/>
      <w:footerReference w:type="even" r:id="rId32"/>
      <w:footerReference w:type="default" r:id="rId33"/>
      <w:headerReference w:type="first" r:id="rId34"/>
      <w:type w:val="continuous"/>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98B2" w14:textId="77777777" w:rsidR="00C4761E" w:rsidRDefault="00C4761E">
      <w:r>
        <w:separator/>
      </w:r>
    </w:p>
    <w:p w14:paraId="7EC3D5A7" w14:textId="77777777" w:rsidR="00C4761E" w:rsidRDefault="00C4761E"/>
  </w:endnote>
  <w:endnote w:type="continuationSeparator" w:id="0">
    <w:p w14:paraId="23672D73" w14:textId="77777777" w:rsidR="00C4761E" w:rsidRDefault="00C4761E">
      <w:r>
        <w:continuationSeparator/>
      </w:r>
    </w:p>
    <w:p w14:paraId="48476AA5" w14:textId="77777777" w:rsidR="00C4761E" w:rsidRDefault="00C4761E"/>
  </w:endnote>
  <w:endnote w:type="continuationNotice" w:id="1">
    <w:p w14:paraId="1BE320BA" w14:textId="77777777" w:rsidR="00C4761E" w:rsidRDefault="00C47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8C16" w14:textId="17755E62" w:rsidR="00EB4BC7" w:rsidRDefault="00EB4BC7">
    <w:pPr>
      <w:pStyle w:val="Footer"/>
    </w:pPr>
    <w:r>
      <w:rPr>
        <w:noProof/>
      </w:rPr>
      <mc:AlternateContent>
        <mc:Choice Requires="wps">
          <w:drawing>
            <wp:anchor distT="0" distB="0" distL="114300" distR="114300" simplePos="0" relativeHeight="251657728" behindDoc="0" locked="0" layoutInCell="0" allowOverlap="1" wp14:anchorId="58E55246" wp14:editId="762075ED">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AB0FB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E55246"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0AB0FB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CB5E" w14:textId="5B792A3C" w:rsidR="00431A70" w:rsidRDefault="00330C1E">
    <w:pPr>
      <w:pStyle w:val="Footer"/>
    </w:pPr>
    <w:r>
      <w:rPr>
        <w:noProof/>
        <w:lang w:eastAsia="en-AU"/>
      </w:rPr>
      <mc:AlternateContent>
        <mc:Choice Requires="wps">
          <w:drawing>
            <wp:anchor distT="0" distB="0" distL="114300" distR="114300" simplePos="0" relativeHeight="251668992" behindDoc="0" locked="0" layoutInCell="0" allowOverlap="1" wp14:anchorId="52562639" wp14:editId="242D3F4A">
              <wp:simplePos x="0" y="0"/>
              <wp:positionH relativeFrom="page">
                <wp:posOffset>0</wp:posOffset>
              </wp:positionH>
              <wp:positionV relativeFrom="page">
                <wp:posOffset>10189210</wp:posOffset>
              </wp:positionV>
              <wp:extent cx="7560310" cy="311785"/>
              <wp:effectExtent l="0" t="0" r="0" b="12065"/>
              <wp:wrapNone/>
              <wp:docPr id="13" name="MSIPCM51614e70ba519a734fb02f1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0B5DA" w14:textId="53C3F0DF" w:rsidR="00330C1E" w:rsidRPr="00330C1E" w:rsidRDefault="00330C1E" w:rsidP="00330C1E">
                          <w:pPr>
                            <w:spacing w:after="0"/>
                            <w:jc w:val="center"/>
                            <w:rPr>
                              <w:rFonts w:ascii="Arial Black" w:hAnsi="Arial Black"/>
                              <w:color w:val="000000"/>
                              <w:sz w:val="20"/>
                            </w:rPr>
                          </w:pPr>
                          <w:r w:rsidRPr="00330C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562639" id="_x0000_t202" coordsize="21600,21600" o:spt="202" path="m,l,21600r21600,l21600,xe">
              <v:stroke joinstyle="miter"/>
              <v:path gradientshapeok="t" o:connecttype="rect"/>
            </v:shapetype>
            <v:shape id="MSIPCM51614e70ba519a734fb02f14"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550B5DA" w14:textId="53C3F0DF" w:rsidR="00330C1E" w:rsidRPr="00330C1E" w:rsidRDefault="00330C1E" w:rsidP="00330C1E">
                    <w:pPr>
                      <w:spacing w:after="0"/>
                      <w:jc w:val="center"/>
                      <w:rPr>
                        <w:rFonts w:ascii="Arial Black" w:hAnsi="Arial Black"/>
                        <w:color w:val="000000"/>
                        <w:sz w:val="20"/>
                      </w:rPr>
                    </w:pPr>
                    <w:r w:rsidRPr="00330C1E">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0560" behindDoc="0" locked="0" layoutInCell="0" allowOverlap="1" wp14:anchorId="56590539" wp14:editId="302A4CED">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F5E4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6590539" id="Text Box 5" o:spid="_x0000_s102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05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6BF5E4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6C6B" w14:textId="4ED50547" w:rsidR="00EB4BC7" w:rsidRDefault="00330C1E">
    <w:pPr>
      <w:pStyle w:val="Footer"/>
    </w:pPr>
    <w:r>
      <w:rPr>
        <w:noProof/>
      </w:rPr>
      <mc:AlternateContent>
        <mc:Choice Requires="wps">
          <w:drawing>
            <wp:anchor distT="0" distB="0" distL="114300" distR="114300" simplePos="0" relativeHeight="251678208" behindDoc="0" locked="0" layoutInCell="0" allowOverlap="1" wp14:anchorId="5D385287" wp14:editId="4C956BBF">
              <wp:simplePos x="0" y="0"/>
              <wp:positionH relativeFrom="page">
                <wp:posOffset>0</wp:posOffset>
              </wp:positionH>
              <wp:positionV relativeFrom="page">
                <wp:posOffset>10189210</wp:posOffset>
              </wp:positionV>
              <wp:extent cx="7560310" cy="311785"/>
              <wp:effectExtent l="0" t="0" r="0" b="12065"/>
              <wp:wrapNone/>
              <wp:docPr id="14" name="MSIPCM43ad4512bc0a4b148a7e870e"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BB9F4F" w14:textId="7FFD65BF" w:rsidR="00330C1E" w:rsidRPr="00330C1E" w:rsidRDefault="00330C1E" w:rsidP="00330C1E">
                          <w:pPr>
                            <w:spacing w:after="0"/>
                            <w:jc w:val="center"/>
                            <w:rPr>
                              <w:rFonts w:ascii="Arial Black" w:hAnsi="Arial Black"/>
                              <w:color w:val="000000"/>
                              <w:sz w:val="20"/>
                            </w:rPr>
                          </w:pPr>
                          <w:r w:rsidRPr="00330C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385287" id="_x0000_t202" coordsize="21600,21600" o:spt="202" path="m,l,21600r21600,l21600,xe">
              <v:stroke joinstyle="miter"/>
              <v:path gradientshapeok="t" o:connecttype="rect"/>
            </v:shapetype>
            <v:shape id="MSIPCM43ad4512bc0a4b148a7e870e"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8BB9F4F" w14:textId="7FFD65BF" w:rsidR="00330C1E" w:rsidRPr="00330C1E" w:rsidRDefault="00330C1E" w:rsidP="00330C1E">
                    <w:pPr>
                      <w:spacing w:after="0"/>
                      <w:jc w:val="center"/>
                      <w:rPr>
                        <w:rFonts w:ascii="Arial Black" w:hAnsi="Arial Black"/>
                        <w:color w:val="000000"/>
                        <w:sz w:val="20"/>
                      </w:rPr>
                    </w:pPr>
                    <w:r w:rsidRPr="00330C1E">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43392" behindDoc="0" locked="0" layoutInCell="0" allowOverlap="1" wp14:anchorId="61D5E52E" wp14:editId="65C601AE">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9603B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1D5E52E"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433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709603B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0430" w14:textId="44AF790F" w:rsidR="00D63636" w:rsidRDefault="002C5B7C">
    <w:pPr>
      <w:pStyle w:val="Footer"/>
    </w:pPr>
    <w:r>
      <w:rPr>
        <w:noProof/>
        <w:lang w:eastAsia="en-AU"/>
      </w:rPr>
      <mc:AlternateContent>
        <mc:Choice Requires="wps">
          <w:drawing>
            <wp:anchor distT="0" distB="0" distL="114300" distR="114300" simplePos="0" relativeHeight="251659776" behindDoc="0" locked="0" layoutInCell="0" allowOverlap="1" wp14:anchorId="783B6698" wp14:editId="19DBD520">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870E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3B6698"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C0870E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5E79" w14:textId="4D2C85C3" w:rsidR="00431A70" w:rsidRDefault="00330C1E">
    <w:pPr>
      <w:pStyle w:val="Footer"/>
    </w:pPr>
    <w:r>
      <w:rPr>
        <w:noProof/>
        <w:lang w:eastAsia="en-AU"/>
      </w:rPr>
      <mc:AlternateContent>
        <mc:Choice Requires="wps">
          <w:drawing>
            <wp:anchor distT="0" distB="0" distL="114300" distR="114300" simplePos="0" relativeHeight="251670016" behindDoc="0" locked="0" layoutInCell="0" allowOverlap="1" wp14:anchorId="40146ED8" wp14:editId="7BFD17F3">
              <wp:simplePos x="0" y="0"/>
              <wp:positionH relativeFrom="page">
                <wp:posOffset>0</wp:posOffset>
              </wp:positionH>
              <wp:positionV relativeFrom="page">
                <wp:posOffset>10189210</wp:posOffset>
              </wp:positionV>
              <wp:extent cx="7560310" cy="311785"/>
              <wp:effectExtent l="0" t="0" r="0" b="12065"/>
              <wp:wrapNone/>
              <wp:docPr id="15" name="MSIPCM897148068cc95bd7279a0e4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47CC5C" w14:textId="77F07EF6" w:rsidR="00330C1E" w:rsidRPr="00330C1E" w:rsidRDefault="00330C1E" w:rsidP="00330C1E">
                          <w:pPr>
                            <w:spacing w:after="0"/>
                            <w:jc w:val="center"/>
                            <w:rPr>
                              <w:rFonts w:ascii="Arial Black" w:hAnsi="Arial Black"/>
                              <w:color w:val="000000"/>
                              <w:sz w:val="20"/>
                            </w:rPr>
                          </w:pPr>
                          <w:r w:rsidRPr="00330C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146ED8" id="_x0000_t202" coordsize="21600,21600" o:spt="202" path="m,l,21600r21600,l21600,xe">
              <v:stroke joinstyle="miter"/>
              <v:path gradientshapeok="t" o:connecttype="rect"/>
            </v:shapetype>
            <v:shape id="MSIPCM897148068cc95bd7279a0e49" o:spid="_x0000_s1032"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4047CC5C" w14:textId="77F07EF6" w:rsidR="00330C1E" w:rsidRPr="00330C1E" w:rsidRDefault="00330C1E" w:rsidP="00330C1E">
                    <w:pPr>
                      <w:spacing w:after="0"/>
                      <w:jc w:val="center"/>
                      <w:rPr>
                        <w:rFonts w:ascii="Arial Black" w:hAnsi="Arial Black"/>
                        <w:color w:val="000000"/>
                        <w:sz w:val="20"/>
                      </w:rPr>
                    </w:pPr>
                    <w:r w:rsidRPr="00330C1E">
                      <w:rPr>
                        <w:rFonts w:ascii="Arial Black" w:hAnsi="Arial Black"/>
                        <w:color w:val="000000"/>
                        <w:sz w:val="20"/>
                      </w:rPr>
                      <w:t>OFFICIAL</w:t>
                    </w:r>
                  </w:p>
                </w:txbxContent>
              </v:textbox>
              <w10:wrap anchorx="page" anchory="page"/>
            </v:shape>
          </w:pict>
        </mc:Fallback>
      </mc:AlternateContent>
    </w:r>
    <w:r w:rsidR="008977D1">
      <w:rPr>
        <w:noProof/>
        <w:lang w:eastAsia="en-AU"/>
      </w:rPr>
      <mc:AlternateContent>
        <mc:Choice Requires="wps">
          <w:drawing>
            <wp:anchor distT="0" distB="0" distL="114300" distR="114300" simplePos="0" relativeHeight="251660800" behindDoc="0" locked="0" layoutInCell="0" allowOverlap="1" wp14:anchorId="218BE280" wp14:editId="0E7D12FB">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E572D"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18BE280" id="Text Box 2" o:spid="_x0000_s1033"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5AAE572D"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752" behindDoc="0" locked="0" layoutInCell="0" allowOverlap="1" wp14:anchorId="6F4DEFC9" wp14:editId="1BF4F299">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A724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F4DEFC9" id="Text Box 11" o:spid="_x0000_s1034"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2B2A724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8D17" w14:textId="0230A016" w:rsidR="009261A0" w:rsidRDefault="009261A0">
    <w:pPr>
      <w:pStyle w:val="Footer"/>
    </w:pPr>
    <w:r>
      <w:rPr>
        <w:noProof/>
        <w:lang w:eastAsia="en-AU"/>
      </w:rPr>
      <mc:AlternateContent>
        <mc:Choice Requires="wps">
          <w:drawing>
            <wp:anchor distT="0" distB="0" distL="114300" distR="114300" simplePos="0" relativeHeight="251661824" behindDoc="0" locked="0" layoutInCell="0" allowOverlap="1" wp14:anchorId="511BCFF1" wp14:editId="0F495414">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CB5429" w14:textId="77777777" w:rsidR="009261A0" w:rsidRPr="002C5B7C" w:rsidRDefault="009261A0"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1BCFF1" id="_x0000_t202" coordsize="21600,21600" o:spt="202" path="m,l,21600r21600,l21600,xe">
              <v:stroke joinstyle="miter"/>
              <v:path gradientshapeok="t" o:connecttype="rect"/>
            </v:shapetype>
            <v:shape id="Text Box 8" o:spid="_x0000_s1035"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7FCB5429" w14:textId="77777777" w:rsidR="009261A0" w:rsidRPr="002C5B7C" w:rsidRDefault="009261A0"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9EC4" w14:textId="2C86E831" w:rsidR="009261A0" w:rsidRDefault="00330C1E">
    <w:pPr>
      <w:pStyle w:val="Footer"/>
    </w:pPr>
    <w:r>
      <w:rPr>
        <w:noProof/>
      </w:rPr>
      <mc:AlternateContent>
        <mc:Choice Requires="wps">
          <w:drawing>
            <wp:anchor distT="0" distB="0" distL="114300" distR="114300" simplePos="0" relativeHeight="251671040" behindDoc="0" locked="0" layoutInCell="0" allowOverlap="1" wp14:anchorId="4E867C90" wp14:editId="4C2EBB1C">
              <wp:simplePos x="0" y="0"/>
              <wp:positionH relativeFrom="page">
                <wp:posOffset>0</wp:posOffset>
              </wp:positionH>
              <wp:positionV relativeFrom="page">
                <wp:posOffset>10189210</wp:posOffset>
              </wp:positionV>
              <wp:extent cx="7560310" cy="311785"/>
              <wp:effectExtent l="0" t="0" r="0" b="12065"/>
              <wp:wrapNone/>
              <wp:docPr id="17" name="MSIPCM38ed422482229b78b88bc20c"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A1F3B6" w14:textId="25746A58" w:rsidR="00330C1E" w:rsidRPr="00330C1E" w:rsidRDefault="00330C1E" w:rsidP="00330C1E">
                          <w:pPr>
                            <w:spacing w:after="0"/>
                            <w:jc w:val="center"/>
                            <w:rPr>
                              <w:rFonts w:ascii="Arial Black" w:hAnsi="Arial Black"/>
                              <w:color w:val="000000"/>
                              <w:sz w:val="20"/>
                            </w:rPr>
                          </w:pPr>
                          <w:r w:rsidRPr="00330C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867C90" id="_x0000_t202" coordsize="21600,21600" o:spt="202" path="m,l,21600r21600,l21600,xe">
              <v:stroke joinstyle="miter"/>
              <v:path gradientshapeok="t" o:connecttype="rect"/>
            </v:shapetype>
            <v:shape id="MSIPCM38ed422482229b78b88bc20c" o:spid="_x0000_s1036"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710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60A1F3B6" w14:textId="25746A58" w:rsidR="00330C1E" w:rsidRPr="00330C1E" w:rsidRDefault="00330C1E" w:rsidP="00330C1E">
                    <w:pPr>
                      <w:spacing w:after="0"/>
                      <w:jc w:val="center"/>
                      <w:rPr>
                        <w:rFonts w:ascii="Arial Black" w:hAnsi="Arial Black"/>
                        <w:color w:val="000000"/>
                        <w:sz w:val="20"/>
                      </w:rPr>
                    </w:pPr>
                    <w:r w:rsidRPr="00330C1E">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ED75" w14:textId="231EBA53" w:rsidR="009221DB" w:rsidRDefault="009221DB">
    <w:pPr>
      <w:pStyle w:val="Footer"/>
    </w:pPr>
    <w:r>
      <w:rPr>
        <w:noProof/>
        <w:lang w:eastAsia="en-AU"/>
      </w:rPr>
      <mc:AlternateContent>
        <mc:Choice Requires="wps">
          <w:drawing>
            <wp:anchor distT="0" distB="0" distL="114300" distR="114300" simplePos="0" relativeHeight="251658247" behindDoc="0" locked="0" layoutInCell="0" allowOverlap="1" wp14:anchorId="4C002FCE" wp14:editId="3E36C156">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007F2" w14:textId="77777777" w:rsidR="009221DB" w:rsidRPr="002C5B7C" w:rsidRDefault="009221D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002FCE" id="_x0000_t202" coordsize="21600,21600" o:spt="202" path="m,l,21600r21600,l21600,xe">
              <v:stroke joinstyle="miter"/>
              <v:path gradientshapeok="t" o:connecttype="rect"/>
            </v:shapetype>
            <v:shape id="Text Box 9" o:spid="_x0000_s1037"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331007F2" w14:textId="77777777" w:rsidR="009221DB" w:rsidRPr="002C5B7C" w:rsidRDefault="009221D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41E2" w14:textId="02C54085" w:rsidR="009221DB" w:rsidRDefault="00EE33E1">
    <w:pPr>
      <w:pStyle w:val="Footer"/>
    </w:pPr>
    <w:r>
      <w:rPr>
        <w:noProof/>
      </w:rPr>
      <mc:AlternateContent>
        <mc:Choice Requires="wps">
          <w:drawing>
            <wp:anchor distT="0" distB="0" distL="114300" distR="114300" simplePos="0" relativeHeight="251658248" behindDoc="0" locked="0" layoutInCell="0" allowOverlap="1" wp14:anchorId="0203CD2E" wp14:editId="5E029231">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DF332" w14:textId="4D94E949" w:rsidR="00EE33E1" w:rsidRPr="00EE33E1" w:rsidRDefault="00EE33E1" w:rsidP="00EE33E1">
                          <w:pPr>
                            <w:spacing w:after="0"/>
                            <w:jc w:val="center"/>
                            <w:rPr>
                              <w:rFonts w:ascii="Arial Black" w:hAnsi="Arial Black"/>
                              <w:color w:val="000000"/>
                              <w:sz w:val="20"/>
                            </w:rPr>
                          </w:pPr>
                          <w:r w:rsidRPr="00EE33E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03CD2E" id="_x0000_t202" coordsize="21600,21600" o:spt="202" path="m,l,21600r21600,l21600,xe">
              <v:stroke joinstyle="miter"/>
              <v:path gradientshapeok="t" o:connecttype="rect"/>
            </v:shapetype>
            <v:shape id="Text Box 10" o:spid="_x0000_s1038" type="#_x0000_t202" alt="{&quot;HashCode&quot;:904758361,&quot;Height&quot;:841.0,&quot;Width&quot;:595.0,&quot;Placement&quot;:&quot;Footer&quot;,&quot;Index&quot;:&quot;Primary&quot;,&quot;Section&quot;:10,&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YxgPGAIAACwEAAAOAAAAAAAAAAAAAAAAAC4CAABkcnMvZTJvRG9jLnhtbFBLAQItABQA&#10;BgAIAAAAIQBIDV6a3wAAAAsBAAAPAAAAAAAAAAAAAAAAAHIEAABkcnMvZG93bnJldi54bWxQSwUG&#10;AAAAAAQABADzAAAAfgUAAAAA&#10;" o:allowincell="f" filled="f" stroked="f" strokeweight=".5pt">
              <v:textbox inset=",0,,0">
                <w:txbxContent>
                  <w:p w14:paraId="59ADF332" w14:textId="4D94E949" w:rsidR="00EE33E1" w:rsidRPr="00EE33E1" w:rsidRDefault="00EE33E1" w:rsidP="00EE33E1">
                    <w:pPr>
                      <w:spacing w:after="0"/>
                      <w:jc w:val="center"/>
                      <w:rPr>
                        <w:rFonts w:ascii="Arial Black" w:hAnsi="Arial Black"/>
                        <w:color w:val="000000"/>
                        <w:sz w:val="20"/>
                      </w:rPr>
                    </w:pPr>
                    <w:r w:rsidRPr="00EE33E1">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EE6C" w14:textId="77777777" w:rsidR="00C4761E" w:rsidRDefault="00C4761E" w:rsidP="00207717">
      <w:pPr>
        <w:spacing w:before="120"/>
      </w:pPr>
      <w:r>
        <w:separator/>
      </w:r>
    </w:p>
  </w:footnote>
  <w:footnote w:type="continuationSeparator" w:id="0">
    <w:p w14:paraId="1E997569" w14:textId="77777777" w:rsidR="00C4761E" w:rsidRDefault="00C4761E">
      <w:r>
        <w:continuationSeparator/>
      </w:r>
    </w:p>
    <w:p w14:paraId="0039F379" w14:textId="77777777" w:rsidR="00C4761E" w:rsidRDefault="00C4761E"/>
  </w:footnote>
  <w:footnote w:type="continuationNotice" w:id="1">
    <w:p w14:paraId="4A0C948F" w14:textId="77777777" w:rsidR="00C4761E" w:rsidRDefault="00C476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258AF723" w14:paraId="7EAC8848" w14:textId="77777777" w:rsidTr="00857690">
      <w:trPr>
        <w:trHeight w:val="300"/>
      </w:trPr>
      <w:tc>
        <w:tcPr>
          <w:tcW w:w="3095" w:type="dxa"/>
        </w:tcPr>
        <w:p w14:paraId="5FF9D183" w14:textId="66D40F8F" w:rsidR="258AF723" w:rsidRDefault="258AF723" w:rsidP="00D1619A">
          <w:pPr>
            <w:pStyle w:val="Header"/>
            <w:ind w:left="-115"/>
          </w:pPr>
        </w:p>
      </w:tc>
      <w:tc>
        <w:tcPr>
          <w:tcW w:w="3095" w:type="dxa"/>
        </w:tcPr>
        <w:p w14:paraId="4248BF78" w14:textId="69B57E66" w:rsidR="258AF723" w:rsidRDefault="258AF723" w:rsidP="00D1619A">
          <w:pPr>
            <w:pStyle w:val="Header"/>
            <w:jc w:val="center"/>
          </w:pPr>
        </w:p>
      </w:tc>
      <w:tc>
        <w:tcPr>
          <w:tcW w:w="3095" w:type="dxa"/>
        </w:tcPr>
        <w:p w14:paraId="40ED2B14" w14:textId="1BA076F8" w:rsidR="258AF723" w:rsidRDefault="258AF723" w:rsidP="00D1619A">
          <w:pPr>
            <w:pStyle w:val="Header"/>
            <w:ind w:right="-115"/>
            <w:jc w:val="right"/>
          </w:pPr>
        </w:p>
      </w:tc>
    </w:tr>
  </w:tbl>
  <w:p w14:paraId="0BC422DC" w14:textId="77777777" w:rsidR="002870BF" w:rsidRDefault="002870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258AF723" w14:paraId="1DABD6A4" w14:textId="77777777" w:rsidTr="00857690">
      <w:trPr>
        <w:trHeight w:val="300"/>
      </w:trPr>
      <w:tc>
        <w:tcPr>
          <w:tcW w:w="3095" w:type="dxa"/>
        </w:tcPr>
        <w:p w14:paraId="43CFF8D5" w14:textId="589FB10E" w:rsidR="258AF723" w:rsidRDefault="258AF723" w:rsidP="00857690">
          <w:pPr>
            <w:pStyle w:val="Header"/>
            <w:ind w:left="-115"/>
          </w:pPr>
        </w:p>
      </w:tc>
      <w:tc>
        <w:tcPr>
          <w:tcW w:w="3095" w:type="dxa"/>
        </w:tcPr>
        <w:p w14:paraId="01A77BF3" w14:textId="0D170D5A" w:rsidR="258AF723" w:rsidRDefault="258AF723" w:rsidP="00857690">
          <w:pPr>
            <w:pStyle w:val="Header"/>
            <w:jc w:val="center"/>
          </w:pPr>
        </w:p>
      </w:tc>
      <w:tc>
        <w:tcPr>
          <w:tcW w:w="3095" w:type="dxa"/>
        </w:tcPr>
        <w:p w14:paraId="790E4A71" w14:textId="6A21F1BF" w:rsidR="258AF723" w:rsidRDefault="258AF723" w:rsidP="00857690">
          <w:pPr>
            <w:pStyle w:val="Header"/>
            <w:ind w:right="-115"/>
            <w:jc w:val="right"/>
          </w:pPr>
        </w:p>
      </w:tc>
    </w:tr>
  </w:tbl>
  <w:p w14:paraId="1493DB31" w14:textId="77777777" w:rsidR="002870BF" w:rsidRDefault="002870B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258AF723" w14:paraId="2119AD8C" w14:textId="77777777" w:rsidTr="00857690">
      <w:trPr>
        <w:trHeight w:val="300"/>
      </w:trPr>
      <w:tc>
        <w:tcPr>
          <w:tcW w:w="3095" w:type="dxa"/>
        </w:tcPr>
        <w:p w14:paraId="3CDB9A04" w14:textId="4D4808A1" w:rsidR="258AF723" w:rsidRDefault="258AF723" w:rsidP="00857690">
          <w:pPr>
            <w:pStyle w:val="Header"/>
            <w:ind w:left="-115"/>
          </w:pPr>
        </w:p>
      </w:tc>
      <w:tc>
        <w:tcPr>
          <w:tcW w:w="3095" w:type="dxa"/>
        </w:tcPr>
        <w:p w14:paraId="0B95286F" w14:textId="0B5981E2" w:rsidR="258AF723" w:rsidRDefault="258AF723" w:rsidP="00857690">
          <w:pPr>
            <w:pStyle w:val="Header"/>
            <w:jc w:val="center"/>
          </w:pPr>
        </w:p>
      </w:tc>
      <w:tc>
        <w:tcPr>
          <w:tcW w:w="3095" w:type="dxa"/>
        </w:tcPr>
        <w:p w14:paraId="40DB0459" w14:textId="6E3F1E93" w:rsidR="258AF723" w:rsidRDefault="258AF723" w:rsidP="00857690">
          <w:pPr>
            <w:pStyle w:val="Header"/>
            <w:ind w:right="-115"/>
            <w:jc w:val="right"/>
          </w:pPr>
        </w:p>
      </w:tc>
    </w:tr>
  </w:tbl>
  <w:p w14:paraId="1F8E1590" w14:textId="77777777" w:rsidR="002870BF" w:rsidRDefault="002870B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EA0A" w14:textId="77777777" w:rsidR="009221DB" w:rsidRPr="00454A7D" w:rsidRDefault="009221DB" w:rsidP="00454A7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F4A" w14:textId="210B12BD" w:rsidR="009221DB" w:rsidRPr="00770262" w:rsidRDefault="009221DB" w:rsidP="00770262">
    <w:pPr>
      <w:pStyle w:val="Header"/>
    </w:pPr>
    <w:r w:rsidRPr="00770262">
      <w:t xml:space="preserve">Indicators for </w:t>
    </w:r>
    <w:r w:rsidR="00BA42DC">
      <w:t>h</w:t>
    </w:r>
    <w:r w:rsidRPr="004912AA">
      <w:t xml:space="preserve">epatitis B, </w:t>
    </w:r>
    <w:r w:rsidR="00BA42DC">
      <w:t>h</w:t>
    </w:r>
    <w:r w:rsidRPr="004912AA">
      <w:t>epatitis C, HIV</w:t>
    </w:r>
    <w:r>
      <w:t xml:space="preserve"> and STI</w:t>
    </w:r>
    <w:r w:rsidRPr="004912AA">
      <w:t xml:space="preserve"> </w:t>
    </w:r>
    <w:r w:rsidR="00BA42DC">
      <w:t>p</w:t>
    </w:r>
    <w:r w:rsidRPr="004912AA">
      <w:t xml:space="preserve">lans of the Victorian </w:t>
    </w:r>
    <w:r w:rsidR="00BA42DC">
      <w:t>s</w:t>
    </w:r>
    <w:r w:rsidRPr="004912AA">
      <w:t xml:space="preserve">exual and </w:t>
    </w:r>
    <w:r w:rsidR="00BA42DC">
      <w:t>r</w:t>
    </w:r>
    <w:r w:rsidRPr="004912AA">
      <w:t xml:space="preserve">eproductive </w:t>
    </w:r>
    <w:r w:rsidR="00BA42DC">
      <w:t>h</w:t>
    </w:r>
    <w:r w:rsidRPr="004912AA">
      <w:t xml:space="preserve">ealth and </w:t>
    </w:r>
    <w:r w:rsidR="00BA42DC">
      <w:t>v</w:t>
    </w:r>
    <w:r w:rsidRPr="004912AA">
      <w:t xml:space="preserve">iral </w:t>
    </w:r>
    <w:r w:rsidR="00BA42DC">
      <w:t>h</w:t>
    </w:r>
    <w:r w:rsidRPr="004912AA">
      <w:t xml:space="preserve">epatitis </w:t>
    </w:r>
    <w:r w:rsidR="00BA42DC">
      <w:t>s</w:t>
    </w:r>
    <w:r w:rsidRPr="004912AA">
      <w:t>trategy 2022-30.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258AF723" w14:paraId="07C8BB92" w14:textId="77777777" w:rsidTr="00857690">
      <w:trPr>
        <w:trHeight w:val="300"/>
      </w:trPr>
      <w:tc>
        <w:tcPr>
          <w:tcW w:w="3095" w:type="dxa"/>
        </w:tcPr>
        <w:p w14:paraId="2C7EFE63" w14:textId="707539B7" w:rsidR="258AF723" w:rsidRDefault="258AF723" w:rsidP="00857690">
          <w:pPr>
            <w:pStyle w:val="Header"/>
            <w:ind w:left="-115"/>
          </w:pPr>
        </w:p>
      </w:tc>
      <w:tc>
        <w:tcPr>
          <w:tcW w:w="3095" w:type="dxa"/>
        </w:tcPr>
        <w:p w14:paraId="014F010E" w14:textId="0DC5A3F7" w:rsidR="258AF723" w:rsidRDefault="258AF723" w:rsidP="00857690">
          <w:pPr>
            <w:pStyle w:val="Header"/>
            <w:jc w:val="center"/>
          </w:pPr>
        </w:p>
      </w:tc>
      <w:tc>
        <w:tcPr>
          <w:tcW w:w="3095" w:type="dxa"/>
        </w:tcPr>
        <w:p w14:paraId="1E46886D" w14:textId="4C927DEE" w:rsidR="258AF723" w:rsidRDefault="258AF723" w:rsidP="00857690">
          <w:pPr>
            <w:pStyle w:val="Header"/>
            <w:ind w:right="-115"/>
            <w:jc w:val="right"/>
          </w:pPr>
        </w:p>
      </w:tc>
    </w:tr>
  </w:tbl>
  <w:p w14:paraId="7BAF653B" w14:textId="77777777" w:rsidR="002870BF" w:rsidRDefault="0028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258AF723" w14:paraId="3A7F037E" w14:textId="77777777" w:rsidTr="00D1619A">
      <w:trPr>
        <w:trHeight w:val="300"/>
      </w:trPr>
      <w:tc>
        <w:tcPr>
          <w:tcW w:w="3095" w:type="dxa"/>
        </w:tcPr>
        <w:p w14:paraId="0C48010C" w14:textId="6ACF0BBA" w:rsidR="258AF723" w:rsidRDefault="258AF723" w:rsidP="00D1619A">
          <w:pPr>
            <w:pStyle w:val="Header"/>
            <w:ind w:left="-115"/>
          </w:pPr>
        </w:p>
      </w:tc>
      <w:tc>
        <w:tcPr>
          <w:tcW w:w="3095" w:type="dxa"/>
        </w:tcPr>
        <w:p w14:paraId="599F3D39" w14:textId="43EE4B6B" w:rsidR="258AF723" w:rsidRDefault="258AF723" w:rsidP="00857690">
          <w:pPr>
            <w:pStyle w:val="Header"/>
            <w:jc w:val="center"/>
          </w:pPr>
        </w:p>
      </w:tc>
      <w:tc>
        <w:tcPr>
          <w:tcW w:w="3095" w:type="dxa"/>
        </w:tcPr>
        <w:p w14:paraId="1078DA64" w14:textId="52D35B41" w:rsidR="258AF723" w:rsidRDefault="258AF723" w:rsidP="00857690">
          <w:pPr>
            <w:pStyle w:val="Header"/>
            <w:ind w:right="-115"/>
            <w:jc w:val="right"/>
          </w:pPr>
        </w:p>
      </w:tc>
    </w:tr>
  </w:tbl>
  <w:p w14:paraId="38CBE388" w14:textId="77777777" w:rsidR="002870BF" w:rsidRDefault="00287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E844" w14:textId="77777777" w:rsidR="00431A70" w:rsidRPr="00454A7D" w:rsidRDefault="00431A70" w:rsidP="00454A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DD3D" w14:textId="7F4F2F5D" w:rsidR="00562811" w:rsidRPr="00770262" w:rsidRDefault="00770262" w:rsidP="00770262">
    <w:pPr>
      <w:pStyle w:val="Header"/>
    </w:pPr>
    <w:r w:rsidRPr="00770262">
      <w:t xml:space="preserve">Indicators for </w:t>
    </w:r>
    <w:r w:rsidR="00D26007">
      <w:t xml:space="preserve">the </w:t>
    </w:r>
    <w:r w:rsidR="00D60D61">
      <w:t>h</w:t>
    </w:r>
    <w:r w:rsidRPr="004912AA">
      <w:t xml:space="preserve">epatitis B, </w:t>
    </w:r>
    <w:r w:rsidR="00D60D61">
      <w:t>h</w:t>
    </w:r>
    <w:r w:rsidRPr="004912AA">
      <w:t>epatitis C, HIV</w:t>
    </w:r>
    <w:r w:rsidR="00566063">
      <w:t xml:space="preserve"> and STI</w:t>
    </w:r>
    <w:r w:rsidRPr="004912AA">
      <w:t xml:space="preserve"> </w:t>
    </w:r>
    <w:r w:rsidR="00123EB4">
      <w:t>p</w:t>
    </w:r>
    <w:r w:rsidRPr="004912AA">
      <w:t xml:space="preserve">lans of the Victorian </w:t>
    </w:r>
    <w:r w:rsidR="00D26007">
      <w:t>s</w:t>
    </w:r>
    <w:r w:rsidRPr="004912AA">
      <w:t xml:space="preserve">exual and </w:t>
    </w:r>
    <w:r w:rsidR="00D26007">
      <w:t>r</w:t>
    </w:r>
    <w:r w:rsidRPr="004912AA">
      <w:t xml:space="preserve">eproductive </w:t>
    </w:r>
    <w:r w:rsidR="00D26007">
      <w:t>h</w:t>
    </w:r>
    <w:r w:rsidRPr="004912AA">
      <w:t xml:space="preserve">ealth and </w:t>
    </w:r>
    <w:r w:rsidR="00D26007">
      <w:t>v</w:t>
    </w:r>
    <w:r w:rsidRPr="004912AA">
      <w:t xml:space="preserve">iral </w:t>
    </w:r>
    <w:r w:rsidR="00D26007">
      <w:t>h</w:t>
    </w:r>
    <w:r w:rsidRPr="004912AA">
      <w:t xml:space="preserve">epatitis </w:t>
    </w:r>
    <w:r w:rsidR="00D26007">
      <w:t>s</w:t>
    </w:r>
    <w:r w:rsidRPr="004912AA">
      <w:t>trategy 2022</w:t>
    </w:r>
    <w:r w:rsidR="007A6EF8" w:rsidRPr="007A6EF8">
      <w:t>–</w:t>
    </w:r>
    <w:r w:rsidRPr="004912AA">
      <w:t>30.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258AF723" w14:paraId="3A0B2C84" w14:textId="77777777" w:rsidTr="003C2ED6">
      <w:trPr>
        <w:trHeight w:val="300"/>
      </w:trPr>
      <w:tc>
        <w:tcPr>
          <w:tcW w:w="3095" w:type="dxa"/>
        </w:tcPr>
        <w:p w14:paraId="7F0574A5" w14:textId="0E63BF97" w:rsidR="258AF723" w:rsidRDefault="258AF723" w:rsidP="00D1619A">
          <w:pPr>
            <w:pStyle w:val="Header"/>
            <w:ind w:left="-115"/>
          </w:pPr>
        </w:p>
      </w:tc>
      <w:tc>
        <w:tcPr>
          <w:tcW w:w="3095" w:type="dxa"/>
        </w:tcPr>
        <w:p w14:paraId="331CC6D6" w14:textId="130A7DF0" w:rsidR="258AF723" w:rsidRDefault="258AF723" w:rsidP="00D1619A">
          <w:pPr>
            <w:pStyle w:val="Header"/>
            <w:jc w:val="center"/>
          </w:pPr>
        </w:p>
      </w:tc>
      <w:tc>
        <w:tcPr>
          <w:tcW w:w="3095" w:type="dxa"/>
        </w:tcPr>
        <w:p w14:paraId="302D2901" w14:textId="04D77830" w:rsidR="258AF723" w:rsidRDefault="258AF723" w:rsidP="00D1619A">
          <w:pPr>
            <w:pStyle w:val="Header"/>
            <w:ind w:right="-115"/>
            <w:jc w:val="right"/>
          </w:pPr>
        </w:p>
      </w:tc>
    </w:tr>
  </w:tbl>
  <w:p w14:paraId="61BC1F5E" w14:textId="77777777" w:rsidR="002870BF" w:rsidRDefault="002870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90"/>
      <w:gridCol w:w="1490"/>
      <w:gridCol w:w="1490"/>
    </w:tblGrid>
    <w:tr w:rsidR="258AF723" w14:paraId="76C9211C" w14:textId="77777777" w:rsidTr="00D1619A">
      <w:trPr>
        <w:trHeight w:val="300"/>
      </w:trPr>
      <w:tc>
        <w:tcPr>
          <w:tcW w:w="1490" w:type="dxa"/>
        </w:tcPr>
        <w:p w14:paraId="53CCBEE1" w14:textId="3A1E353E" w:rsidR="258AF723" w:rsidRDefault="258AF723" w:rsidP="00D1619A">
          <w:pPr>
            <w:pStyle w:val="Header"/>
            <w:ind w:left="-115"/>
          </w:pPr>
        </w:p>
      </w:tc>
      <w:tc>
        <w:tcPr>
          <w:tcW w:w="1490" w:type="dxa"/>
        </w:tcPr>
        <w:p w14:paraId="41F2D3D6" w14:textId="1D56B8AF" w:rsidR="258AF723" w:rsidRDefault="258AF723" w:rsidP="00857690">
          <w:pPr>
            <w:pStyle w:val="Header"/>
            <w:jc w:val="center"/>
          </w:pPr>
        </w:p>
      </w:tc>
      <w:tc>
        <w:tcPr>
          <w:tcW w:w="1490" w:type="dxa"/>
        </w:tcPr>
        <w:p w14:paraId="41ABAA21" w14:textId="6868C9CB" w:rsidR="258AF723" w:rsidRDefault="258AF723" w:rsidP="00857690">
          <w:pPr>
            <w:pStyle w:val="Header"/>
            <w:ind w:right="-115"/>
            <w:jc w:val="right"/>
          </w:pPr>
        </w:p>
      </w:tc>
    </w:tr>
  </w:tbl>
  <w:p w14:paraId="343AEEFA" w14:textId="77777777" w:rsidR="002870BF" w:rsidRDefault="002870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6284" w14:textId="77777777" w:rsidR="009261A0" w:rsidRPr="00454A7D" w:rsidRDefault="009261A0" w:rsidP="00454A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4BF9" w14:textId="77777777" w:rsidR="009261A0" w:rsidRPr="00770262" w:rsidRDefault="009261A0" w:rsidP="00770262">
    <w:pPr>
      <w:pStyle w:val="Header"/>
    </w:pPr>
    <w:r w:rsidRPr="00770262">
      <w:t xml:space="preserve">Indicators for </w:t>
    </w:r>
    <w:r w:rsidRPr="004912AA">
      <w:t>Hepatitis B, Hepatitis C, HIV</w:t>
    </w:r>
    <w:r>
      <w:t xml:space="preserve"> and STI</w:t>
    </w:r>
    <w:r w:rsidRPr="004912AA">
      <w:t xml:space="preserve"> Plans of the Victorian Sexual and Reproductive Health and Viral Hepatitis Strategy 2022-2030.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2F10" w14:textId="7B85BA6A" w:rsidR="002870BF" w:rsidRDefault="001774E4">
    <w:pPr>
      <w:pStyle w:val="Header"/>
    </w:pPr>
    <w:r w:rsidRPr="00770262">
      <w:t xml:space="preserve">Indicators for </w:t>
    </w:r>
    <w:r>
      <w:t>the h</w:t>
    </w:r>
    <w:r w:rsidRPr="004912AA">
      <w:t xml:space="preserve">epatitis B, </w:t>
    </w:r>
    <w:r>
      <w:t>h</w:t>
    </w:r>
    <w:r w:rsidRPr="004912AA">
      <w:t>epatitis C, HIV</w:t>
    </w:r>
    <w:r>
      <w:t xml:space="preserve"> and STI</w:t>
    </w:r>
    <w:r w:rsidRPr="004912AA">
      <w:t xml:space="preserve"> </w:t>
    </w:r>
    <w:r>
      <w:t>p</w:t>
    </w:r>
    <w:r w:rsidRPr="004912AA">
      <w:t xml:space="preserve">lans of the Victorian </w:t>
    </w:r>
    <w:r>
      <w:t>s</w:t>
    </w:r>
    <w:r w:rsidRPr="004912AA">
      <w:t xml:space="preserve">exual and </w:t>
    </w:r>
    <w:r>
      <w:t>r</w:t>
    </w:r>
    <w:r w:rsidRPr="004912AA">
      <w:t xml:space="preserve">eproductive </w:t>
    </w:r>
    <w:r>
      <w:t>h</w:t>
    </w:r>
    <w:r w:rsidRPr="004912AA">
      <w:t xml:space="preserve">ealth and </w:t>
    </w:r>
    <w:r>
      <w:t>v</w:t>
    </w:r>
    <w:r w:rsidRPr="004912AA">
      <w:t xml:space="preserve">iral </w:t>
    </w:r>
    <w:r>
      <w:t>h</w:t>
    </w:r>
    <w:r w:rsidRPr="004912AA">
      <w:t xml:space="preserve">epatitis </w:t>
    </w:r>
    <w:r>
      <w:t>s</w:t>
    </w:r>
    <w:r w:rsidRPr="004912AA">
      <w:t>trategy 2022-30.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11818C7"/>
    <w:multiLevelType w:val="multilevel"/>
    <w:tmpl w:val="80C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16E024"/>
    <w:multiLevelType w:val="hybridMultilevel"/>
    <w:tmpl w:val="7578FDAE"/>
    <w:lvl w:ilvl="0" w:tplc="83E2DEF8">
      <w:start w:val="1"/>
      <w:numFmt w:val="bullet"/>
      <w:lvlText w:val="·"/>
      <w:lvlJc w:val="left"/>
      <w:pPr>
        <w:ind w:left="720" w:hanging="360"/>
      </w:pPr>
      <w:rPr>
        <w:rFonts w:ascii="Symbol" w:hAnsi="Symbol" w:hint="default"/>
      </w:rPr>
    </w:lvl>
    <w:lvl w:ilvl="1" w:tplc="4F98FE50">
      <w:start w:val="1"/>
      <w:numFmt w:val="bullet"/>
      <w:lvlText w:val="o"/>
      <w:lvlJc w:val="left"/>
      <w:pPr>
        <w:ind w:left="1440" w:hanging="360"/>
      </w:pPr>
      <w:rPr>
        <w:rFonts w:ascii="Courier New" w:hAnsi="Courier New" w:hint="default"/>
      </w:rPr>
    </w:lvl>
    <w:lvl w:ilvl="2" w:tplc="D9A8C496">
      <w:start w:val="1"/>
      <w:numFmt w:val="bullet"/>
      <w:lvlText w:val=""/>
      <w:lvlJc w:val="left"/>
      <w:pPr>
        <w:ind w:left="2160" w:hanging="360"/>
      </w:pPr>
      <w:rPr>
        <w:rFonts w:ascii="Wingdings" w:hAnsi="Wingdings" w:hint="default"/>
      </w:rPr>
    </w:lvl>
    <w:lvl w:ilvl="3" w:tplc="492465CC">
      <w:start w:val="1"/>
      <w:numFmt w:val="bullet"/>
      <w:lvlText w:val=""/>
      <w:lvlJc w:val="left"/>
      <w:pPr>
        <w:ind w:left="2880" w:hanging="360"/>
      </w:pPr>
      <w:rPr>
        <w:rFonts w:ascii="Symbol" w:hAnsi="Symbol" w:hint="default"/>
      </w:rPr>
    </w:lvl>
    <w:lvl w:ilvl="4" w:tplc="9E92CDEE">
      <w:start w:val="1"/>
      <w:numFmt w:val="bullet"/>
      <w:lvlText w:val="o"/>
      <w:lvlJc w:val="left"/>
      <w:pPr>
        <w:ind w:left="3600" w:hanging="360"/>
      </w:pPr>
      <w:rPr>
        <w:rFonts w:ascii="Courier New" w:hAnsi="Courier New" w:hint="default"/>
      </w:rPr>
    </w:lvl>
    <w:lvl w:ilvl="5" w:tplc="99AE2D2A">
      <w:start w:val="1"/>
      <w:numFmt w:val="bullet"/>
      <w:lvlText w:val=""/>
      <w:lvlJc w:val="left"/>
      <w:pPr>
        <w:ind w:left="4320" w:hanging="360"/>
      </w:pPr>
      <w:rPr>
        <w:rFonts w:ascii="Wingdings" w:hAnsi="Wingdings" w:hint="default"/>
      </w:rPr>
    </w:lvl>
    <w:lvl w:ilvl="6" w:tplc="2E66520C">
      <w:start w:val="1"/>
      <w:numFmt w:val="bullet"/>
      <w:lvlText w:val=""/>
      <w:lvlJc w:val="left"/>
      <w:pPr>
        <w:ind w:left="5040" w:hanging="360"/>
      </w:pPr>
      <w:rPr>
        <w:rFonts w:ascii="Symbol" w:hAnsi="Symbol" w:hint="default"/>
      </w:rPr>
    </w:lvl>
    <w:lvl w:ilvl="7" w:tplc="00BA4246">
      <w:start w:val="1"/>
      <w:numFmt w:val="bullet"/>
      <w:lvlText w:val="o"/>
      <w:lvlJc w:val="left"/>
      <w:pPr>
        <w:ind w:left="5760" w:hanging="360"/>
      </w:pPr>
      <w:rPr>
        <w:rFonts w:ascii="Courier New" w:hAnsi="Courier New" w:hint="default"/>
      </w:rPr>
    </w:lvl>
    <w:lvl w:ilvl="8" w:tplc="E34A2958">
      <w:start w:val="1"/>
      <w:numFmt w:val="bullet"/>
      <w:lvlText w:val=""/>
      <w:lvlJc w:val="left"/>
      <w:pPr>
        <w:ind w:left="6480" w:hanging="360"/>
      </w:pPr>
      <w:rPr>
        <w:rFonts w:ascii="Wingdings" w:hAnsi="Wingdings" w:hint="default"/>
      </w:rPr>
    </w:lvl>
  </w:abstractNum>
  <w:abstractNum w:abstractNumId="4" w15:restartNumberingAfterBreak="0">
    <w:nsid w:val="3A7B42F2"/>
    <w:multiLevelType w:val="hybridMultilevel"/>
    <w:tmpl w:val="EEB2C85E"/>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cs="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B6B44F9"/>
    <w:multiLevelType w:val="multilevel"/>
    <w:tmpl w:val="960A753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7813698">
    <w:abstractNumId w:val="6"/>
  </w:num>
  <w:num w:numId="2" w16cid:durableId="1680888884">
    <w:abstractNumId w:val="9"/>
  </w:num>
  <w:num w:numId="3" w16cid:durableId="588392462">
    <w:abstractNumId w:val="8"/>
  </w:num>
  <w:num w:numId="4" w16cid:durableId="2012680373">
    <w:abstractNumId w:val="10"/>
  </w:num>
  <w:num w:numId="5" w16cid:durableId="2142915909">
    <w:abstractNumId w:val="7"/>
  </w:num>
  <w:num w:numId="6" w16cid:durableId="2012098493">
    <w:abstractNumId w:val="1"/>
  </w:num>
  <w:num w:numId="7" w16cid:durableId="1012882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2668020">
    <w:abstractNumId w:val="2"/>
  </w:num>
  <w:num w:numId="9" w16cid:durableId="1730222945">
    <w:abstractNumId w:val="11"/>
  </w:num>
  <w:num w:numId="10" w16cid:durableId="1144853665">
    <w:abstractNumId w:val="4"/>
  </w:num>
  <w:num w:numId="11" w16cid:durableId="1656715827">
    <w:abstractNumId w:val="5"/>
  </w:num>
  <w:num w:numId="12" w16cid:durableId="1635797171">
    <w:abstractNumId w:val="3"/>
  </w:num>
  <w:num w:numId="13" w16cid:durableId="98628277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12"/>
    <w:rsid w:val="00000719"/>
    <w:rsid w:val="000021D5"/>
    <w:rsid w:val="00002D68"/>
    <w:rsid w:val="000033F7"/>
    <w:rsid w:val="00003403"/>
    <w:rsid w:val="000046B9"/>
    <w:rsid w:val="00005347"/>
    <w:rsid w:val="000072B6"/>
    <w:rsid w:val="00007CCA"/>
    <w:rsid w:val="0001021B"/>
    <w:rsid w:val="000119D5"/>
    <w:rsid w:val="00011D89"/>
    <w:rsid w:val="000130F1"/>
    <w:rsid w:val="000134D8"/>
    <w:rsid w:val="0001403C"/>
    <w:rsid w:val="00014ED9"/>
    <w:rsid w:val="000154FD"/>
    <w:rsid w:val="00015AD8"/>
    <w:rsid w:val="000170F9"/>
    <w:rsid w:val="00017BD1"/>
    <w:rsid w:val="00017DC4"/>
    <w:rsid w:val="000215C7"/>
    <w:rsid w:val="00022271"/>
    <w:rsid w:val="000235B4"/>
    <w:rsid w:val="000235E8"/>
    <w:rsid w:val="00024D89"/>
    <w:rsid w:val="000250B6"/>
    <w:rsid w:val="00025436"/>
    <w:rsid w:val="00025476"/>
    <w:rsid w:val="0002568E"/>
    <w:rsid w:val="00026619"/>
    <w:rsid w:val="00030879"/>
    <w:rsid w:val="00030CDD"/>
    <w:rsid w:val="00032B25"/>
    <w:rsid w:val="00033D81"/>
    <w:rsid w:val="00033DC9"/>
    <w:rsid w:val="00034CF0"/>
    <w:rsid w:val="0003639A"/>
    <w:rsid w:val="00037366"/>
    <w:rsid w:val="00037AD0"/>
    <w:rsid w:val="0004013F"/>
    <w:rsid w:val="0004041F"/>
    <w:rsid w:val="0004099D"/>
    <w:rsid w:val="00040B75"/>
    <w:rsid w:val="00040DC5"/>
    <w:rsid w:val="00041BF0"/>
    <w:rsid w:val="00042C8A"/>
    <w:rsid w:val="0004536B"/>
    <w:rsid w:val="00046B68"/>
    <w:rsid w:val="00046F94"/>
    <w:rsid w:val="000511BE"/>
    <w:rsid w:val="000514C6"/>
    <w:rsid w:val="00051E0B"/>
    <w:rsid w:val="000527DD"/>
    <w:rsid w:val="00052F81"/>
    <w:rsid w:val="00053977"/>
    <w:rsid w:val="000542E3"/>
    <w:rsid w:val="0005616E"/>
    <w:rsid w:val="00056EC4"/>
    <w:rsid w:val="00057554"/>
    <w:rsid w:val="00057597"/>
    <w:rsid w:val="000578B2"/>
    <w:rsid w:val="00060959"/>
    <w:rsid w:val="00060C8F"/>
    <w:rsid w:val="00060CD1"/>
    <w:rsid w:val="000611AB"/>
    <w:rsid w:val="0006298A"/>
    <w:rsid w:val="00062B12"/>
    <w:rsid w:val="00064946"/>
    <w:rsid w:val="00064CC9"/>
    <w:rsid w:val="00064EA0"/>
    <w:rsid w:val="00065E6A"/>
    <w:rsid w:val="000663CD"/>
    <w:rsid w:val="000703BB"/>
    <w:rsid w:val="00070965"/>
    <w:rsid w:val="00071E59"/>
    <w:rsid w:val="000733FE"/>
    <w:rsid w:val="000740EC"/>
    <w:rsid w:val="00074219"/>
    <w:rsid w:val="00074ED5"/>
    <w:rsid w:val="000757F5"/>
    <w:rsid w:val="00075C5B"/>
    <w:rsid w:val="0008057B"/>
    <w:rsid w:val="00081AD4"/>
    <w:rsid w:val="0008204A"/>
    <w:rsid w:val="00082774"/>
    <w:rsid w:val="0008299B"/>
    <w:rsid w:val="0008508E"/>
    <w:rsid w:val="000855F1"/>
    <w:rsid w:val="00087951"/>
    <w:rsid w:val="000902C5"/>
    <w:rsid w:val="0009113B"/>
    <w:rsid w:val="00092254"/>
    <w:rsid w:val="00093402"/>
    <w:rsid w:val="00094DA3"/>
    <w:rsid w:val="00096CD1"/>
    <w:rsid w:val="000A012C"/>
    <w:rsid w:val="000A0EB9"/>
    <w:rsid w:val="000A1234"/>
    <w:rsid w:val="000A186C"/>
    <w:rsid w:val="000A1EA4"/>
    <w:rsid w:val="000A2476"/>
    <w:rsid w:val="000A276F"/>
    <w:rsid w:val="000A2D0D"/>
    <w:rsid w:val="000A2E3F"/>
    <w:rsid w:val="000A455E"/>
    <w:rsid w:val="000A55CD"/>
    <w:rsid w:val="000A641A"/>
    <w:rsid w:val="000A6A88"/>
    <w:rsid w:val="000B0E5B"/>
    <w:rsid w:val="000B14BF"/>
    <w:rsid w:val="000B1E36"/>
    <w:rsid w:val="000B1F12"/>
    <w:rsid w:val="000B27C3"/>
    <w:rsid w:val="000B2F81"/>
    <w:rsid w:val="000B323B"/>
    <w:rsid w:val="000B354C"/>
    <w:rsid w:val="000B3EDB"/>
    <w:rsid w:val="000B40B1"/>
    <w:rsid w:val="000B42E7"/>
    <w:rsid w:val="000B441B"/>
    <w:rsid w:val="000B4CAC"/>
    <w:rsid w:val="000B543D"/>
    <w:rsid w:val="000B55F9"/>
    <w:rsid w:val="000B5BF7"/>
    <w:rsid w:val="000B678F"/>
    <w:rsid w:val="000B6A3E"/>
    <w:rsid w:val="000B6BC8"/>
    <w:rsid w:val="000B6F2B"/>
    <w:rsid w:val="000B76EA"/>
    <w:rsid w:val="000C02E2"/>
    <w:rsid w:val="000C0303"/>
    <w:rsid w:val="000C1379"/>
    <w:rsid w:val="000C2DC8"/>
    <w:rsid w:val="000C32F7"/>
    <w:rsid w:val="000C32FB"/>
    <w:rsid w:val="000C42EA"/>
    <w:rsid w:val="000C4546"/>
    <w:rsid w:val="000C4C0D"/>
    <w:rsid w:val="000C5AAA"/>
    <w:rsid w:val="000C5C75"/>
    <w:rsid w:val="000C5F96"/>
    <w:rsid w:val="000C661E"/>
    <w:rsid w:val="000C6A39"/>
    <w:rsid w:val="000D037F"/>
    <w:rsid w:val="000D039D"/>
    <w:rsid w:val="000D0852"/>
    <w:rsid w:val="000D0968"/>
    <w:rsid w:val="000D1242"/>
    <w:rsid w:val="000D1616"/>
    <w:rsid w:val="000D2ABA"/>
    <w:rsid w:val="000D323D"/>
    <w:rsid w:val="000D35CE"/>
    <w:rsid w:val="000D3971"/>
    <w:rsid w:val="000D3D5B"/>
    <w:rsid w:val="000D4455"/>
    <w:rsid w:val="000D56A5"/>
    <w:rsid w:val="000D63B6"/>
    <w:rsid w:val="000D6725"/>
    <w:rsid w:val="000D6921"/>
    <w:rsid w:val="000E08C0"/>
    <w:rsid w:val="000E0970"/>
    <w:rsid w:val="000E16CC"/>
    <w:rsid w:val="000E19DD"/>
    <w:rsid w:val="000E2302"/>
    <w:rsid w:val="000E351B"/>
    <w:rsid w:val="000E3A66"/>
    <w:rsid w:val="000E3CC7"/>
    <w:rsid w:val="000E4578"/>
    <w:rsid w:val="000E4AD9"/>
    <w:rsid w:val="000E4E52"/>
    <w:rsid w:val="000E56B7"/>
    <w:rsid w:val="000E63B8"/>
    <w:rsid w:val="000E6BD4"/>
    <w:rsid w:val="000E6D6D"/>
    <w:rsid w:val="000E78AE"/>
    <w:rsid w:val="000E7EC1"/>
    <w:rsid w:val="000F0E74"/>
    <w:rsid w:val="000F160F"/>
    <w:rsid w:val="000F1CFE"/>
    <w:rsid w:val="000F1F1E"/>
    <w:rsid w:val="000F2259"/>
    <w:rsid w:val="000F271B"/>
    <w:rsid w:val="000F2DDA"/>
    <w:rsid w:val="000F2EA0"/>
    <w:rsid w:val="000F3CFB"/>
    <w:rsid w:val="000F4926"/>
    <w:rsid w:val="000F5213"/>
    <w:rsid w:val="000F6C18"/>
    <w:rsid w:val="00101001"/>
    <w:rsid w:val="00101D04"/>
    <w:rsid w:val="00101D30"/>
    <w:rsid w:val="00102DB7"/>
    <w:rsid w:val="00103276"/>
    <w:rsid w:val="001034CC"/>
    <w:rsid w:val="0010392D"/>
    <w:rsid w:val="00103F0E"/>
    <w:rsid w:val="0010447F"/>
    <w:rsid w:val="001046DA"/>
    <w:rsid w:val="00104DAD"/>
    <w:rsid w:val="00104FE3"/>
    <w:rsid w:val="0010557C"/>
    <w:rsid w:val="001057D9"/>
    <w:rsid w:val="001061AB"/>
    <w:rsid w:val="00106505"/>
    <w:rsid w:val="0010714F"/>
    <w:rsid w:val="001114F2"/>
    <w:rsid w:val="00111679"/>
    <w:rsid w:val="001120C5"/>
    <w:rsid w:val="0011333F"/>
    <w:rsid w:val="001134CB"/>
    <w:rsid w:val="00113E7B"/>
    <w:rsid w:val="00113E8B"/>
    <w:rsid w:val="001141E1"/>
    <w:rsid w:val="00117B7E"/>
    <w:rsid w:val="00117C10"/>
    <w:rsid w:val="00120BD3"/>
    <w:rsid w:val="00121FE7"/>
    <w:rsid w:val="00122FEA"/>
    <w:rsid w:val="001232BD"/>
    <w:rsid w:val="00123662"/>
    <w:rsid w:val="001236DC"/>
    <w:rsid w:val="00123EB4"/>
    <w:rsid w:val="00124ED5"/>
    <w:rsid w:val="00125151"/>
    <w:rsid w:val="001259F3"/>
    <w:rsid w:val="00126A1D"/>
    <w:rsid w:val="00126A42"/>
    <w:rsid w:val="001275A5"/>
    <w:rsid w:val="001276FA"/>
    <w:rsid w:val="00127AA3"/>
    <w:rsid w:val="001303F4"/>
    <w:rsid w:val="00130989"/>
    <w:rsid w:val="00130F76"/>
    <w:rsid w:val="00131059"/>
    <w:rsid w:val="001311D2"/>
    <w:rsid w:val="00131839"/>
    <w:rsid w:val="00131F31"/>
    <w:rsid w:val="00133146"/>
    <w:rsid w:val="001338D2"/>
    <w:rsid w:val="00133DBC"/>
    <w:rsid w:val="001357DF"/>
    <w:rsid w:val="00137267"/>
    <w:rsid w:val="001415E4"/>
    <w:rsid w:val="001434E7"/>
    <w:rsid w:val="001447B3"/>
    <w:rsid w:val="00144B4E"/>
    <w:rsid w:val="00145191"/>
    <w:rsid w:val="0014647C"/>
    <w:rsid w:val="00146D84"/>
    <w:rsid w:val="001477DF"/>
    <w:rsid w:val="00150988"/>
    <w:rsid w:val="00150A0C"/>
    <w:rsid w:val="00150D1F"/>
    <w:rsid w:val="0015110F"/>
    <w:rsid w:val="0015188E"/>
    <w:rsid w:val="00152073"/>
    <w:rsid w:val="00152329"/>
    <w:rsid w:val="00153087"/>
    <w:rsid w:val="00153D2A"/>
    <w:rsid w:val="00154970"/>
    <w:rsid w:val="0015617E"/>
    <w:rsid w:val="00156598"/>
    <w:rsid w:val="00156B1A"/>
    <w:rsid w:val="00157298"/>
    <w:rsid w:val="00161939"/>
    <w:rsid w:val="00161AA0"/>
    <w:rsid w:val="00161B47"/>
    <w:rsid w:val="00161D2E"/>
    <w:rsid w:val="00161F3E"/>
    <w:rsid w:val="00162093"/>
    <w:rsid w:val="00162CA9"/>
    <w:rsid w:val="001639BA"/>
    <w:rsid w:val="001639E1"/>
    <w:rsid w:val="00164E96"/>
    <w:rsid w:val="00165459"/>
    <w:rsid w:val="001658C2"/>
    <w:rsid w:val="00165A57"/>
    <w:rsid w:val="001677EC"/>
    <w:rsid w:val="001712C2"/>
    <w:rsid w:val="001713C4"/>
    <w:rsid w:val="0017151A"/>
    <w:rsid w:val="00172BAF"/>
    <w:rsid w:val="001732E5"/>
    <w:rsid w:val="00173D0B"/>
    <w:rsid w:val="00174161"/>
    <w:rsid w:val="001745C5"/>
    <w:rsid w:val="0017622A"/>
    <w:rsid w:val="0017674D"/>
    <w:rsid w:val="001771DD"/>
    <w:rsid w:val="001774E4"/>
    <w:rsid w:val="00177642"/>
    <w:rsid w:val="00177995"/>
    <w:rsid w:val="00177A8C"/>
    <w:rsid w:val="00177F88"/>
    <w:rsid w:val="00182398"/>
    <w:rsid w:val="0018244E"/>
    <w:rsid w:val="00182A18"/>
    <w:rsid w:val="0018337F"/>
    <w:rsid w:val="001841C6"/>
    <w:rsid w:val="00186B33"/>
    <w:rsid w:val="00186EA9"/>
    <w:rsid w:val="001875FF"/>
    <w:rsid w:val="00187D0B"/>
    <w:rsid w:val="0019027D"/>
    <w:rsid w:val="00190341"/>
    <w:rsid w:val="00190D53"/>
    <w:rsid w:val="001917F9"/>
    <w:rsid w:val="001920FB"/>
    <w:rsid w:val="0019276B"/>
    <w:rsid w:val="00192F9D"/>
    <w:rsid w:val="001941FA"/>
    <w:rsid w:val="001964A8"/>
    <w:rsid w:val="00196EB8"/>
    <w:rsid w:val="00196EFB"/>
    <w:rsid w:val="001979FF"/>
    <w:rsid w:val="00197B17"/>
    <w:rsid w:val="001A06CA"/>
    <w:rsid w:val="001A1265"/>
    <w:rsid w:val="001A1950"/>
    <w:rsid w:val="001A1ADE"/>
    <w:rsid w:val="001A1C54"/>
    <w:rsid w:val="001A1CD5"/>
    <w:rsid w:val="001A285F"/>
    <w:rsid w:val="001A2AFA"/>
    <w:rsid w:val="001A3ACE"/>
    <w:rsid w:val="001A4249"/>
    <w:rsid w:val="001A5085"/>
    <w:rsid w:val="001A50D9"/>
    <w:rsid w:val="001A6272"/>
    <w:rsid w:val="001A6713"/>
    <w:rsid w:val="001A7DB7"/>
    <w:rsid w:val="001B058F"/>
    <w:rsid w:val="001B075D"/>
    <w:rsid w:val="001B17BB"/>
    <w:rsid w:val="001B1997"/>
    <w:rsid w:val="001B2648"/>
    <w:rsid w:val="001B3A70"/>
    <w:rsid w:val="001B5457"/>
    <w:rsid w:val="001B59BE"/>
    <w:rsid w:val="001B6B96"/>
    <w:rsid w:val="001B738B"/>
    <w:rsid w:val="001C09DB"/>
    <w:rsid w:val="001C189D"/>
    <w:rsid w:val="001C1BCF"/>
    <w:rsid w:val="001C277E"/>
    <w:rsid w:val="001C2A72"/>
    <w:rsid w:val="001C2D0E"/>
    <w:rsid w:val="001C31B7"/>
    <w:rsid w:val="001C3987"/>
    <w:rsid w:val="001C4CA9"/>
    <w:rsid w:val="001C5B6D"/>
    <w:rsid w:val="001C69CD"/>
    <w:rsid w:val="001C6FDA"/>
    <w:rsid w:val="001C7BAE"/>
    <w:rsid w:val="001D05D9"/>
    <w:rsid w:val="001D0B75"/>
    <w:rsid w:val="001D2A12"/>
    <w:rsid w:val="001D30FD"/>
    <w:rsid w:val="001D39A5"/>
    <w:rsid w:val="001D3C09"/>
    <w:rsid w:val="001D44D8"/>
    <w:rsid w:val="001D44E8"/>
    <w:rsid w:val="001D60EC"/>
    <w:rsid w:val="001D6F59"/>
    <w:rsid w:val="001E0131"/>
    <w:rsid w:val="001E14D5"/>
    <w:rsid w:val="001E1986"/>
    <w:rsid w:val="001E19F7"/>
    <w:rsid w:val="001E1AC0"/>
    <w:rsid w:val="001E1CCE"/>
    <w:rsid w:val="001E2732"/>
    <w:rsid w:val="001E44DF"/>
    <w:rsid w:val="001E5431"/>
    <w:rsid w:val="001E5B7E"/>
    <w:rsid w:val="001E6833"/>
    <w:rsid w:val="001E68A5"/>
    <w:rsid w:val="001E6BB0"/>
    <w:rsid w:val="001E6F08"/>
    <w:rsid w:val="001E7282"/>
    <w:rsid w:val="001F0376"/>
    <w:rsid w:val="001F0C7B"/>
    <w:rsid w:val="001F1E89"/>
    <w:rsid w:val="001F224F"/>
    <w:rsid w:val="001F23A9"/>
    <w:rsid w:val="001F3826"/>
    <w:rsid w:val="001F3F5E"/>
    <w:rsid w:val="001F51E9"/>
    <w:rsid w:val="001F5A4A"/>
    <w:rsid w:val="001F64D5"/>
    <w:rsid w:val="001F6BA9"/>
    <w:rsid w:val="001F6C90"/>
    <w:rsid w:val="001F6E46"/>
    <w:rsid w:val="001F7C91"/>
    <w:rsid w:val="001F7D55"/>
    <w:rsid w:val="0020039D"/>
    <w:rsid w:val="00200ADC"/>
    <w:rsid w:val="00200F43"/>
    <w:rsid w:val="002019CA"/>
    <w:rsid w:val="00202886"/>
    <w:rsid w:val="00202A63"/>
    <w:rsid w:val="00202C20"/>
    <w:rsid w:val="00202C24"/>
    <w:rsid w:val="002033B7"/>
    <w:rsid w:val="00203A08"/>
    <w:rsid w:val="00205465"/>
    <w:rsid w:val="00205C2C"/>
    <w:rsid w:val="0020604E"/>
    <w:rsid w:val="00206463"/>
    <w:rsid w:val="0020690F"/>
    <w:rsid w:val="00206B2C"/>
    <w:rsid w:val="00206F2F"/>
    <w:rsid w:val="00207497"/>
    <w:rsid w:val="00207717"/>
    <w:rsid w:val="00210269"/>
    <w:rsid w:val="0021053D"/>
    <w:rsid w:val="002105F8"/>
    <w:rsid w:val="00210A92"/>
    <w:rsid w:val="00210E0C"/>
    <w:rsid w:val="00212B95"/>
    <w:rsid w:val="00213CD4"/>
    <w:rsid w:val="00213DAA"/>
    <w:rsid w:val="00214032"/>
    <w:rsid w:val="00215CC8"/>
    <w:rsid w:val="00216C03"/>
    <w:rsid w:val="00216E9F"/>
    <w:rsid w:val="00216F57"/>
    <w:rsid w:val="00220350"/>
    <w:rsid w:val="00220A1A"/>
    <w:rsid w:val="00220C04"/>
    <w:rsid w:val="0022166E"/>
    <w:rsid w:val="0022278D"/>
    <w:rsid w:val="00222DBB"/>
    <w:rsid w:val="00223545"/>
    <w:rsid w:val="00223772"/>
    <w:rsid w:val="00223CAE"/>
    <w:rsid w:val="00224372"/>
    <w:rsid w:val="00224422"/>
    <w:rsid w:val="0022701F"/>
    <w:rsid w:val="00227486"/>
    <w:rsid w:val="00227C68"/>
    <w:rsid w:val="00231C2D"/>
    <w:rsid w:val="00232ADE"/>
    <w:rsid w:val="00232DE6"/>
    <w:rsid w:val="002333F5"/>
    <w:rsid w:val="00233724"/>
    <w:rsid w:val="00233CB3"/>
    <w:rsid w:val="002343D8"/>
    <w:rsid w:val="00234645"/>
    <w:rsid w:val="00234D49"/>
    <w:rsid w:val="0023534E"/>
    <w:rsid w:val="00236263"/>
    <w:rsid w:val="002365B4"/>
    <w:rsid w:val="00237115"/>
    <w:rsid w:val="0023760B"/>
    <w:rsid w:val="0024034C"/>
    <w:rsid w:val="00240924"/>
    <w:rsid w:val="00241472"/>
    <w:rsid w:val="00242504"/>
    <w:rsid w:val="002432E1"/>
    <w:rsid w:val="00244FD4"/>
    <w:rsid w:val="002455B3"/>
    <w:rsid w:val="00245F1D"/>
    <w:rsid w:val="00246207"/>
    <w:rsid w:val="00246552"/>
    <w:rsid w:val="0024678C"/>
    <w:rsid w:val="00246A24"/>
    <w:rsid w:val="00246C5E"/>
    <w:rsid w:val="00247844"/>
    <w:rsid w:val="002478FE"/>
    <w:rsid w:val="00250960"/>
    <w:rsid w:val="00251343"/>
    <w:rsid w:val="00251595"/>
    <w:rsid w:val="00252866"/>
    <w:rsid w:val="00252F46"/>
    <w:rsid w:val="002536A4"/>
    <w:rsid w:val="002538AD"/>
    <w:rsid w:val="00254321"/>
    <w:rsid w:val="002545EE"/>
    <w:rsid w:val="00254F58"/>
    <w:rsid w:val="002551DF"/>
    <w:rsid w:val="0025625E"/>
    <w:rsid w:val="002562B8"/>
    <w:rsid w:val="002572F7"/>
    <w:rsid w:val="00257420"/>
    <w:rsid w:val="002620BC"/>
    <w:rsid w:val="00262802"/>
    <w:rsid w:val="0026332C"/>
    <w:rsid w:val="00263A90"/>
    <w:rsid w:val="0026408B"/>
    <w:rsid w:val="002645B2"/>
    <w:rsid w:val="00264B35"/>
    <w:rsid w:val="00265026"/>
    <w:rsid w:val="002669BC"/>
    <w:rsid w:val="00267C3E"/>
    <w:rsid w:val="00267F74"/>
    <w:rsid w:val="00270214"/>
    <w:rsid w:val="0027025B"/>
    <w:rsid w:val="002709BB"/>
    <w:rsid w:val="00271190"/>
    <w:rsid w:val="0027131C"/>
    <w:rsid w:val="00271A92"/>
    <w:rsid w:val="00271EFE"/>
    <w:rsid w:val="00271F09"/>
    <w:rsid w:val="00272255"/>
    <w:rsid w:val="00273833"/>
    <w:rsid w:val="00273BAC"/>
    <w:rsid w:val="0027417F"/>
    <w:rsid w:val="002753E9"/>
    <w:rsid w:val="002763B3"/>
    <w:rsid w:val="00276962"/>
    <w:rsid w:val="002770B5"/>
    <w:rsid w:val="002802E3"/>
    <w:rsid w:val="002814B8"/>
    <w:rsid w:val="0028213D"/>
    <w:rsid w:val="002827D7"/>
    <w:rsid w:val="00282D5F"/>
    <w:rsid w:val="00284BEF"/>
    <w:rsid w:val="00284C31"/>
    <w:rsid w:val="00285ED6"/>
    <w:rsid w:val="00285F82"/>
    <w:rsid w:val="002862F1"/>
    <w:rsid w:val="002870BF"/>
    <w:rsid w:val="00287FB1"/>
    <w:rsid w:val="002903EB"/>
    <w:rsid w:val="00291373"/>
    <w:rsid w:val="00294691"/>
    <w:rsid w:val="002949B7"/>
    <w:rsid w:val="002952B8"/>
    <w:rsid w:val="00295750"/>
    <w:rsid w:val="0029597D"/>
    <w:rsid w:val="002962C3"/>
    <w:rsid w:val="0029752B"/>
    <w:rsid w:val="00297F46"/>
    <w:rsid w:val="002A0A7C"/>
    <w:rsid w:val="002A0A9C"/>
    <w:rsid w:val="002A0AAD"/>
    <w:rsid w:val="002A0FD5"/>
    <w:rsid w:val="002A1976"/>
    <w:rsid w:val="002A1C75"/>
    <w:rsid w:val="002A3A1B"/>
    <w:rsid w:val="002A3C89"/>
    <w:rsid w:val="002A411C"/>
    <w:rsid w:val="002A483C"/>
    <w:rsid w:val="002A5472"/>
    <w:rsid w:val="002A5CC8"/>
    <w:rsid w:val="002A6A90"/>
    <w:rsid w:val="002B03EB"/>
    <w:rsid w:val="002B0BF6"/>
    <w:rsid w:val="002B0C7C"/>
    <w:rsid w:val="002B10D3"/>
    <w:rsid w:val="002B10D6"/>
    <w:rsid w:val="002B14F6"/>
    <w:rsid w:val="002B1729"/>
    <w:rsid w:val="002B36C7"/>
    <w:rsid w:val="002B4DD4"/>
    <w:rsid w:val="002B5277"/>
    <w:rsid w:val="002B5305"/>
    <w:rsid w:val="002B5375"/>
    <w:rsid w:val="002B5B27"/>
    <w:rsid w:val="002B5BF2"/>
    <w:rsid w:val="002B6073"/>
    <w:rsid w:val="002B77C1"/>
    <w:rsid w:val="002C0C56"/>
    <w:rsid w:val="002C0ED7"/>
    <w:rsid w:val="002C2728"/>
    <w:rsid w:val="002C29F1"/>
    <w:rsid w:val="002C2EEB"/>
    <w:rsid w:val="002C3453"/>
    <w:rsid w:val="002C41D8"/>
    <w:rsid w:val="002C452E"/>
    <w:rsid w:val="002C4A27"/>
    <w:rsid w:val="002C5238"/>
    <w:rsid w:val="002C5B7C"/>
    <w:rsid w:val="002C5B82"/>
    <w:rsid w:val="002C6A7C"/>
    <w:rsid w:val="002C701B"/>
    <w:rsid w:val="002D05A6"/>
    <w:rsid w:val="002D11E6"/>
    <w:rsid w:val="002D1E0D"/>
    <w:rsid w:val="002D3AE1"/>
    <w:rsid w:val="002D4751"/>
    <w:rsid w:val="002D5006"/>
    <w:rsid w:val="002D5035"/>
    <w:rsid w:val="002D5330"/>
    <w:rsid w:val="002D605F"/>
    <w:rsid w:val="002D65FA"/>
    <w:rsid w:val="002D7C61"/>
    <w:rsid w:val="002E01D0"/>
    <w:rsid w:val="002E0CB7"/>
    <w:rsid w:val="002E0CFE"/>
    <w:rsid w:val="002E0FF1"/>
    <w:rsid w:val="002E1078"/>
    <w:rsid w:val="002E161D"/>
    <w:rsid w:val="002E2620"/>
    <w:rsid w:val="002E28A2"/>
    <w:rsid w:val="002E3100"/>
    <w:rsid w:val="002E42F4"/>
    <w:rsid w:val="002E4A06"/>
    <w:rsid w:val="002E523D"/>
    <w:rsid w:val="002E551D"/>
    <w:rsid w:val="002E5522"/>
    <w:rsid w:val="002E603C"/>
    <w:rsid w:val="002E6C95"/>
    <w:rsid w:val="002E7C36"/>
    <w:rsid w:val="002F0670"/>
    <w:rsid w:val="002F123A"/>
    <w:rsid w:val="002F303B"/>
    <w:rsid w:val="002F3B48"/>
    <w:rsid w:val="002F3B7D"/>
    <w:rsid w:val="002F3D32"/>
    <w:rsid w:val="002F4C3B"/>
    <w:rsid w:val="002F5187"/>
    <w:rsid w:val="002F5F2E"/>
    <w:rsid w:val="002F5F31"/>
    <w:rsid w:val="002F5F46"/>
    <w:rsid w:val="002F671F"/>
    <w:rsid w:val="002F67EE"/>
    <w:rsid w:val="002F76D8"/>
    <w:rsid w:val="002F7C99"/>
    <w:rsid w:val="002F7F23"/>
    <w:rsid w:val="00301B51"/>
    <w:rsid w:val="00302216"/>
    <w:rsid w:val="00303CEC"/>
    <w:rsid w:val="00303E53"/>
    <w:rsid w:val="00304DF8"/>
    <w:rsid w:val="0030535D"/>
    <w:rsid w:val="00305CC1"/>
    <w:rsid w:val="00306E5F"/>
    <w:rsid w:val="00307BC9"/>
    <w:rsid w:val="00307E14"/>
    <w:rsid w:val="003100E0"/>
    <w:rsid w:val="0031139D"/>
    <w:rsid w:val="003115D7"/>
    <w:rsid w:val="00311F70"/>
    <w:rsid w:val="00312B01"/>
    <w:rsid w:val="00314054"/>
    <w:rsid w:val="00314387"/>
    <w:rsid w:val="00314412"/>
    <w:rsid w:val="00315A16"/>
    <w:rsid w:val="00316DF5"/>
    <w:rsid w:val="00316F27"/>
    <w:rsid w:val="0031751A"/>
    <w:rsid w:val="003177FF"/>
    <w:rsid w:val="00320144"/>
    <w:rsid w:val="003207D1"/>
    <w:rsid w:val="00320E72"/>
    <w:rsid w:val="003214F1"/>
    <w:rsid w:val="00321A45"/>
    <w:rsid w:val="00322408"/>
    <w:rsid w:val="00322E4B"/>
    <w:rsid w:val="0032351F"/>
    <w:rsid w:val="00324865"/>
    <w:rsid w:val="0032490F"/>
    <w:rsid w:val="003253CE"/>
    <w:rsid w:val="00327870"/>
    <w:rsid w:val="00330C09"/>
    <w:rsid w:val="00330C1E"/>
    <w:rsid w:val="00330DF1"/>
    <w:rsid w:val="00331B04"/>
    <w:rsid w:val="00331E4C"/>
    <w:rsid w:val="0033259D"/>
    <w:rsid w:val="00332DE2"/>
    <w:rsid w:val="003333D2"/>
    <w:rsid w:val="0033365E"/>
    <w:rsid w:val="00334686"/>
    <w:rsid w:val="0033478B"/>
    <w:rsid w:val="003361A5"/>
    <w:rsid w:val="00337339"/>
    <w:rsid w:val="00337F87"/>
    <w:rsid w:val="00340345"/>
    <w:rsid w:val="003406C6"/>
    <w:rsid w:val="0034146D"/>
    <w:rsid w:val="003418CC"/>
    <w:rsid w:val="003422F3"/>
    <w:rsid w:val="003423AD"/>
    <w:rsid w:val="0034308F"/>
    <w:rsid w:val="003434EE"/>
    <w:rsid w:val="003452C2"/>
    <w:rsid w:val="003459BD"/>
    <w:rsid w:val="0034675D"/>
    <w:rsid w:val="00346E4C"/>
    <w:rsid w:val="00347239"/>
    <w:rsid w:val="00347858"/>
    <w:rsid w:val="00347BE6"/>
    <w:rsid w:val="00350777"/>
    <w:rsid w:val="00350D38"/>
    <w:rsid w:val="00351B36"/>
    <w:rsid w:val="00351FCC"/>
    <w:rsid w:val="00353A00"/>
    <w:rsid w:val="003551C1"/>
    <w:rsid w:val="0035743C"/>
    <w:rsid w:val="003576A6"/>
    <w:rsid w:val="00357B4E"/>
    <w:rsid w:val="00362CA2"/>
    <w:rsid w:val="00363BDB"/>
    <w:rsid w:val="00363E9A"/>
    <w:rsid w:val="00365906"/>
    <w:rsid w:val="00367EDE"/>
    <w:rsid w:val="00367F09"/>
    <w:rsid w:val="00370408"/>
    <w:rsid w:val="003715AE"/>
    <w:rsid w:val="003716FD"/>
    <w:rsid w:val="00371766"/>
    <w:rsid w:val="0037204B"/>
    <w:rsid w:val="003744CF"/>
    <w:rsid w:val="00374717"/>
    <w:rsid w:val="00374E87"/>
    <w:rsid w:val="0037676C"/>
    <w:rsid w:val="00376A29"/>
    <w:rsid w:val="00376CEC"/>
    <w:rsid w:val="0037706B"/>
    <w:rsid w:val="003771CF"/>
    <w:rsid w:val="00377414"/>
    <w:rsid w:val="00377551"/>
    <w:rsid w:val="00380163"/>
    <w:rsid w:val="00380528"/>
    <w:rsid w:val="00380596"/>
    <w:rsid w:val="00380F89"/>
    <w:rsid w:val="00381043"/>
    <w:rsid w:val="003829E5"/>
    <w:rsid w:val="00384754"/>
    <w:rsid w:val="00384F8B"/>
    <w:rsid w:val="003857FE"/>
    <w:rsid w:val="00385D3F"/>
    <w:rsid w:val="00386109"/>
    <w:rsid w:val="00386815"/>
    <w:rsid w:val="00386944"/>
    <w:rsid w:val="003870D6"/>
    <w:rsid w:val="00390E16"/>
    <w:rsid w:val="00392CE1"/>
    <w:rsid w:val="003956CC"/>
    <w:rsid w:val="00395BAA"/>
    <w:rsid w:val="00395C9A"/>
    <w:rsid w:val="00396297"/>
    <w:rsid w:val="003967A3"/>
    <w:rsid w:val="00396DC5"/>
    <w:rsid w:val="00397462"/>
    <w:rsid w:val="00397CD6"/>
    <w:rsid w:val="00397FFC"/>
    <w:rsid w:val="003A00C2"/>
    <w:rsid w:val="003A0853"/>
    <w:rsid w:val="003A27D6"/>
    <w:rsid w:val="003A2DA9"/>
    <w:rsid w:val="003A5519"/>
    <w:rsid w:val="003A5B5F"/>
    <w:rsid w:val="003A5BB8"/>
    <w:rsid w:val="003A5DD6"/>
    <w:rsid w:val="003A6B67"/>
    <w:rsid w:val="003A7361"/>
    <w:rsid w:val="003B06E5"/>
    <w:rsid w:val="003B0804"/>
    <w:rsid w:val="003B10E1"/>
    <w:rsid w:val="003B1322"/>
    <w:rsid w:val="003B13B6"/>
    <w:rsid w:val="003B14C3"/>
    <w:rsid w:val="003B15E6"/>
    <w:rsid w:val="003B22EF"/>
    <w:rsid w:val="003B272F"/>
    <w:rsid w:val="003B349F"/>
    <w:rsid w:val="003B408A"/>
    <w:rsid w:val="003B5256"/>
    <w:rsid w:val="003B5A5C"/>
    <w:rsid w:val="003B66C8"/>
    <w:rsid w:val="003B7C95"/>
    <w:rsid w:val="003C08A2"/>
    <w:rsid w:val="003C1E34"/>
    <w:rsid w:val="003C2045"/>
    <w:rsid w:val="003C21F4"/>
    <w:rsid w:val="003C261D"/>
    <w:rsid w:val="003C2ED6"/>
    <w:rsid w:val="003C34F0"/>
    <w:rsid w:val="003C43A1"/>
    <w:rsid w:val="003C4FC0"/>
    <w:rsid w:val="003C50EE"/>
    <w:rsid w:val="003C524B"/>
    <w:rsid w:val="003C55F4"/>
    <w:rsid w:val="003C59D0"/>
    <w:rsid w:val="003C7897"/>
    <w:rsid w:val="003C7A3F"/>
    <w:rsid w:val="003C7C73"/>
    <w:rsid w:val="003D0AED"/>
    <w:rsid w:val="003D2236"/>
    <w:rsid w:val="003D2766"/>
    <w:rsid w:val="003D2A74"/>
    <w:rsid w:val="003D326D"/>
    <w:rsid w:val="003D3D88"/>
    <w:rsid w:val="003D3E8F"/>
    <w:rsid w:val="003D3EB7"/>
    <w:rsid w:val="003D41C7"/>
    <w:rsid w:val="003D4B7A"/>
    <w:rsid w:val="003D5AA4"/>
    <w:rsid w:val="003D5CE0"/>
    <w:rsid w:val="003D6120"/>
    <w:rsid w:val="003D6317"/>
    <w:rsid w:val="003D6475"/>
    <w:rsid w:val="003D6EE6"/>
    <w:rsid w:val="003D7B5F"/>
    <w:rsid w:val="003E04DD"/>
    <w:rsid w:val="003E108C"/>
    <w:rsid w:val="003E1F5A"/>
    <w:rsid w:val="003E375C"/>
    <w:rsid w:val="003E4086"/>
    <w:rsid w:val="003E569F"/>
    <w:rsid w:val="003E5A78"/>
    <w:rsid w:val="003E639E"/>
    <w:rsid w:val="003E6B95"/>
    <w:rsid w:val="003E7115"/>
    <w:rsid w:val="003E71E5"/>
    <w:rsid w:val="003F0445"/>
    <w:rsid w:val="003F05C6"/>
    <w:rsid w:val="003F0CF0"/>
    <w:rsid w:val="003F14B1"/>
    <w:rsid w:val="003F2B20"/>
    <w:rsid w:val="003F3289"/>
    <w:rsid w:val="003F335B"/>
    <w:rsid w:val="003F3C62"/>
    <w:rsid w:val="003F47AB"/>
    <w:rsid w:val="003F49E5"/>
    <w:rsid w:val="003F4BE3"/>
    <w:rsid w:val="003F521B"/>
    <w:rsid w:val="003F5CB9"/>
    <w:rsid w:val="003F6B26"/>
    <w:rsid w:val="003F731C"/>
    <w:rsid w:val="003F74C4"/>
    <w:rsid w:val="003F779D"/>
    <w:rsid w:val="003F7E97"/>
    <w:rsid w:val="004013C7"/>
    <w:rsid w:val="0040151B"/>
    <w:rsid w:val="00401B99"/>
    <w:rsid w:val="00401FCF"/>
    <w:rsid w:val="00401FD7"/>
    <w:rsid w:val="004024C4"/>
    <w:rsid w:val="00402A80"/>
    <w:rsid w:val="00402EBA"/>
    <w:rsid w:val="004037BE"/>
    <w:rsid w:val="004037F8"/>
    <w:rsid w:val="004052D7"/>
    <w:rsid w:val="004055B0"/>
    <w:rsid w:val="00405E06"/>
    <w:rsid w:val="00406285"/>
    <w:rsid w:val="0040697C"/>
    <w:rsid w:val="00406D94"/>
    <w:rsid w:val="00406FBE"/>
    <w:rsid w:val="004115A2"/>
    <w:rsid w:val="0041244A"/>
    <w:rsid w:val="00413A33"/>
    <w:rsid w:val="004148F9"/>
    <w:rsid w:val="00414E94"/>
    <w:rsid w:val="00415857"/>
    <w:rsid w:val="00416877"/>
    <w:rsid w:val="004170DC"/>
    <w:rsid w:val="00417ACC"/>
    <w:rsid w:val="00417FDE"/>
    <w:rsid w:val="0042084E"/>
    <w:rsid w:val="00421DBF"/>
    <w:rsid w:val="00421EEF"/>
    <w:rsid w:val="00423FA9"/>
    <w:rsid w:val="0042470F"/>
    <w:rsid w:val="00424D65"/>
    <w:rsid w:val="00424F7C"/>
    <w:rsid w:val="0042680E"/>
    <w:rsid w:val="00430393"/>
    <w:rsid w:val="00430671"/>
    <w:rsid w:val="004315BD"/>
    <w:rsid w:val="00431806"/>
    <w:rsid w:val="00431A70"/>
    <w:rsid w:val="00431F42"/>
    <w:rsid w:val="0043383B"/>
    <w:rsid w:val="00433A1E"/>
    <w:rsid w:val="00433D66"/>
    <w:rsid w:val="00434F00"/>
    <w:rsid w:val="00435936"/>
    <w:rsid w:val="00435E6E"/>
    <w:rsid w:val="00436AC9"/>
    <w:rsid w:val="00437223"/>
    <w:rsid w:val="004405ED"/>
    <w:rsid w:val="00440D03"/>
    <w:rsid w:val="00440D2B"/>
    <w:rsid w:val="004418BD"/>
    <w:rsid w:val="00442A9C"/>
    <w:rsid w:val="00442C6C"/>
    <w:rsid w:val="004431FB"/>
    <w:rsid w:val="00443CBE"/>
    <w:rsid w:val="00443E8A"/>
    <w:rsid w:val="004441BC"/>
    <w:rsid w:val="00444AAA"/>
    <w:rsid w:val="004468B4"/>
    <w:rsid w:val="00446D86"/>
    <w:rsid w:val="0045075B"/>
    <w:rsid w:val="00450B02"/>
    <w:rsid w:val="00450FD3"/>
    <w:rsid w:val="0045132E"/>
    <w:rsid w:val="004513D5"/>
    <w:rsid w:val="00451ECA"/>
    <w:rsid w:val="0045230A"/>
    <w:rsid w:val="0045397B"/>
    <w:rsid w:val="00454A7D"/>
    <w:rsid w:val="00454AD0"/>
    <w:rsid w:val="00454F4D"/>
    <w:rsid w:val="004557BC"/>
    <w:rsid w:val="004557DB"/>
    <w:rsid w:val="00455C54"/>
    <w:rsid w:val="0045620B"/>
    <w:rsid w:val="00456EFE"/>
    <w:rsid w:val="00457337"/>
    <w:rsid w:val="004579A2"/>
    <w:rsid w:val="00460935"/>
    <w:rsid w:val="00460A73"/>
    <w:rsid w:val="00461459"/>
    <w:rsid w:val="00462E3D"/>
    <w:rsid w:val="0046379D"/>
    <w:rsid w:val="0046471B"/>
    <w:rsid w:val="00464CB5"/>
    <w:rsid w:val="00464FD9"/>
    <w:rsid w:val="004658AC"/>
    <w:rsid w:val="00465BC0"/>
    <w:rsid w:val="0046649C"/>
    <w:rsid w:val="00466E79"/>
    <w:rsid w:val="00470D7D"/>
    <w:rsid w:val="004727CA"/>
    <w:rsid w:val="00472DC8"/>
    <w:rsid w:val="0047372D"/>
    <w:rsid w:val="00473BA3"/>
    <w:rsid w:val="004743DD"/>
    <w:rsid w:val="00474918"/>
    <w:rsid w:val="00474CEA"/>
    <w:rsid w:val="004759ED"/>
    <w:rsid w:val="00480C47"/>
    <w:rsid w:val="00481B1D"/>
    <w:rsid w:val="0048334D"/>
    <w:rsid w:val="00483968"/>
    <w:rsid w:val="0048405D"/>
    <w:rsid w:val="004841BE"/>
    <w:rsid w:val="00484646"/>
    <w:rsid w:val="00484F86"/>
    <w:rsid w:val="004852CD"/>
    <w:rsid w:val="004856CE"/>
    <w:rsid w:val="004865BF"/>
    <w:rsid w:val="0048666F"/>
    <w:rsid w:val="004868BF"/>
    <w:rsid w:val="00486DD3"/>
    <w:rsid w:val="00487C10"/>
    <w:rsid w:val="00490746"/>
    <w:rsid w:val="00490852"/>
    <w:rsid w:val="00490B2C"/>
    <w:rsid w:val="004910D8"/>
    <w:rsid w:val="004912AA"/>
    <w:rsid w:val="00491C9C"/>
    <w:rsid w:val="00492F30"/>
    <w:rsid w:val="004943F5"/>
    <w:rsid w:val="004946F4"/>
    <w:rsid w:val="0049487E"/>
    <w:rsid w:val="00494F4D"/>
    <w:rsid w:val="004956BD"/>
    <w:rsid w:val="00495FCD"/>
    <w:rsid w:val="0049675C"/>
    <w:rsid w:val="0049788E"/>
    <w:rsid w:val="00497EC1"/>
    <w:rsid w:val="004A04C5"/>
    <w:rsid w:val="004A04FC"/>
    <w:rsid w:val="004A0F64"/>
    <w:rsid w:val="004A160D"/>
    <w:rsid w:val="004A1689"/>
    <w:rsid w:val="004A1928"/>
    <w:rsid w:val="004A1D0F"/>
    <w:rsid w:val="004A3E81"/>
    <w:rsid w:val="004A4195"/>
    <w:rsid w:val="004A5132"/>
    <w:rsid w:val="004A5C62"/>
    <w:rsid w:val="004A5CE5"/>
    <w:rsid w:val="004A6AED"/>
    <w:rsid w:val="004A707D"/>
    <w:rsid w:val="004A7BC6"/>
    <w:rsid w:val="004A7EC9"/>
    <w:rsid w:val="004B0974"/>
    <w:rsid w:val="004B109A"/>
    <w:rsid w:val="004B1286"/>
    <w:rsid w:val="004B32CB"/>
    <w:rsid w:val="004B4185"/>
    <w:rsid w:val="004B449B"/>
    <w:rsid w:val="004B5D1A"/>
    <w:rsid w:val="004B6E55"/>
    <w:rsid w:val="004B776D"/>
    <w:rsid w:val="004C12F3"/>
    <w:rsid w:val="004C25F4"/>
    <w:rsid w:val="004C3369"/>
    <w:rsid w:val="004C33FD"/>
    <w:rsid w:val="004C429F"/>
    <w:rsid w:val="004C482B"/>
    <w:rsid w:val="004C531A"/>
    <w:rsid w:val="004C5541"/>
    <w:rsid w:val="004C5AF1"/>
    <w:rsid w:val="004C6EEE"/>
    <w:rsid w:val="004C702B"/>
    <w:rsid w:val="004C75C4"/>
    <w:rsid w:val="004C7B1B"/>
    <w:rsid w:val="004D0033"/>
    <w:rsid w:val="004D016B"/>
    <w:rsid w:val="004D1B22"/>
    <w:rsid w:val="004D23CC"/>
    <w:rsid w:val="004D36F2"/>
    <w:rsid w:val="004D3E42"/>
    <w:rsid w:val="004D695E"/>
    <w:rsid w:val="004D6DDE"/>
    <w:rsid w:val="004D768D"/>
    <w:rsid w:val="004D7F87"/>
    <w:rsid w:val="004E1106"/>
    <w:rsid w:val="004E138F"/>
    <w:rsid w:val="004E21A0"/>
    <w:rsid w:val="004E2E60"/>
    <w:rsid w:val="004E4649"/>
    <w:rsid w:val="004E48B8"/>
    <w:rsid w:val="004E4C1B"/>
    <w:rsid w:val="004E5C2B"/>
    <w:rsid w:val="004F00DD"/>
    <w:rsid w:val="004F2133"/>
    <w:rsid w:val="004F2217"/>
    <w:rsid w:val="004F463A"/>
    <w:rsid w:val="004F5398"/>
    <w:rsid w:val="004F55F1"/>
    <w:rsid w:val="004F6936"/>
    <w:rsid w:val="00500244"/>
    <w:rsid w:val="005033D1"/>
    <w:rsid w:val="00503DC6"/>
    <w:rsid w:val="00504917"/>
    <w:rsid w:val="00505233"/>
    <w:rsid w:val="00506108"/>
    <w:rsid w:val="00506C81"/>
    <w:rsid w:val="00506F5D"/>
    <w:rsid w:val="005076B1"/>
    <w:rsid w:val="00510C37"/>
    <w:rsid w:val="00511BE8"/>
    <w:rsid w:val="005126D0"/>
    <w:rsid w:val="00513E48"/>
    <w:rsid w:val="00514667"/>
    <w:rsid w:val="00514905"/>
    <w:rsid w:val="0051568D"/>
    <w:rsid w:val="00515BBE"/>
    <w:rsid w:val="00516151"/>
    <w:rsid w:val="005166B6"/>
    <w:rsid w:val="00517130"/>
    <w:rsid w:val="0052175C"/>
    <w:rsid w:val="0052195D"/>
    <w:rsid w:val="00521C72"/>
    <w:rsid w:val="00522CE0"/>
    <w:rsid w:val="0052384A"/>
    <w:rsid w:val="005241B1"/>
    <w:rsid w:val="00525B8B"/>
    <w:rsid w:val="00525C8E"/>
    <w:rsid w:val="00525D4F"/>
    <w:rsid w:val="0052674D"/>
    <w:rsid w:val="00526AC7"/>
    <w:rsid w:val="00526C15"/>
    <w:rsid w:val="005277A5"/>
    <w:rsid w:val="005306A9"/>
    <w:rsid w:val="00530FF7"/>
    <w:rsid w:val="00532407"/>
    <w:rsid w:val="00534259"/>
    <w:rsid w:val="00534CDC"/>
    <w:rsid w:val="00535B31"/>
    <w:rsid w:val="00536499"/>
    <w:rsid w:val="0053702B"/>
    <w:rsid w:val="005371B7"/>
    <w:rsid w:val="00537413"/>
    <w:rsid w:val="0053794F"/>
    <w:rsid w:val="005402A1"/>
    <w:rsid w:val="005410C6"/>
    <w:rsid w:val="00541238"/>
    <w:rsid w:val="00541B6A"/>
    <w:rsid w:val="00542A03"/>
    <w:rsid w:val="00543903"/>
    <w:rsid w:val="00543A1A"/>
    <w:rsid w:val="00543BCC"/>
    <w:rsid w:val="00543F11"/>
    <w:rsid w:val="00544135"/>
    <w:rsid w:val="00546305"/>
    <w:rsid w:val="00546A71"/>
    <w:rsid w:val="005471FB"/>
    <w:rsid w:val="005479E9"/>
    <w:rsid w:val="00547A95"/>
    <w:rsid w:val="0055119B"/>
    <w:rsid w:val="00553100"/>
    <w:rsid w:val="00554D85"/>
    <w:rsid w:val="00555A7B"/>
    <w:rsid w:val="00555C7E"/>
    <w:rsid w:val="00557685"/>
    <w:rsid w:val="005579B1"/>
    <w:rsid w:val="00561010"/>
    <w:rsid w:val="00561150"/>
    <w:rsid w:val="00561202"/>
    <w:rsid w:val="005613B8"/>
    <w:rsid w:val="00561954"/>
    <w:rsid w:val="00562047"/>
    <w:rsid w:val="00562507"/>
    <w:rsid w:val="00562811"/>
    <w:rsid w:val="00562E2C"/>
    <w:rsid w:val="005630E5"/>
    <w:rsid w:val="00563144"/>
    <w:rsid w:val="005639C6"/>
    <w:rsid w:val="00563CD3"/>
    <w:rsid w:val="00563ED2"/>
    <w:rsid w:val="005641E3"/>
    <w:rsid w:val="00564224"/>
    <w:rsid w:val="0056477A"/>
    <w:rsid w:val="00564A9A"/>
    <w:rsid w:val="00564C72"/>
    <w:rsid w:val="00566063"/>
    <w:rsid w:val="00567C0D"/>
    <w:rsid w:val="00567C85"/>
    <w:rsid w:val="00571B0B"/>
    <w:rsid w:val="00572031"/>
    <w:rsid w:val="00572282"/>
    <w:rsid w:val="005722AB"/>
    <w:rsid w:val="00573CE3"/>
    <w:rsid w:val="00573FAB"/>
    <w:rsid w:val="0057412D"/>
    <w:rsid w:val="00574798"/>
    <w:rsid w:val="0057531A"/>
    <w:rsid w:val="0057544A"/>
    <w:rsid w:val="005763D7"/>
    <w:rsid w:val="00576E84"/>
    <w:rsid w:val="005773A2"/>
    <w:rsid w:val="00577A8A"/>
    <w:rsid w:val="00580394"/>
    <w:rsid w:val="005809CD"/>
    <w:rsid w:val="00580A81"/>
    <w:rsid w:val="0058148A"/>
    <w:rsid w:val="005817DA"/>
    <w:rsid w:val="005818F5"/>
    <w:rsid w:val="00582B8C"/>
    <w:rsid w:val="00582BE6"/>
    <w:rsid w:val="00582E74"/>
    <w:rsid w:val="00583F49"/>
    <w:rsid w:val="005846B6"/>
    <w:rsid w:val="00586070"/>
    <w:rsid w:val="0058731E"/>
    <w:rsid w:val="0058757E"/>
    <w:rsid w:val="00587625"/>
    <w:rsid w:val="00587C10"/>
    <w:rsid w:val="00591F6C"/>
    <w:rsid w:val="00592489"/>
    <w:rsid w:val="005924C4"/>
    <w:rsid w:val="00592E7E"/>
    <w:rsid w:val="00592FB6"/>
    <w:rsid w:val="005951D5"/>
    <w:rsid w:val="00596A4B"/>
    <w:rsid w:val="005973ED"/>
    <w:rsid w:val="00597507"/>
    <w:rsid w:val="005976F8"/>
    <w:rsid w:val="005A067D"/>
    <w:rsid w:val="005A06B1"/>
    <w:rsid w:val="005A1288"/>
    <w:rsid w:val="005A36D9"/>
    <w:rsid w:val="005A417B"/>
    <w:rsid w:val="005A46F6"/>
    <w:rsid w:val="005A479D"/>
    <w:rsid w:val="005A4E97"/>
    <w:rsid w:val="005A5221"/>
    <w:rsid w:val="005A5607"/>
    <w:rsid w:val="005A5A19"/>
    <w:rsid w:val="005A5F47"/>
    <w:rsid w:val="005A600D"/>
    <w:rsid w:val="005A7695"/>
    <w:rsid w:val="005B1273"/>
    <w:rsid w:val="005B1C6D"/>
    <w:rsid w:val="005B21B6"/>
    <w:rsid w:val="005B26D7"/>
    <w:rsid w:val="005B2961"/>
    <w:rsid w:val="005B29CC"/>
    <w:rsid w:val="005B35BC"/>
    <w:rsid w:val="005B3A08"/>
    <w:rsid w:val="005B7A63"/>
    <w:rsid w:val="005B7C5E"/>
    <w:rsid w:val="005C017B"/>
    <w:rsid w:val="005C024B"/>
    <w:rsid w:val="005C0955"/>
    <w:rsid w:val="005C0F82"/>
    <w:rsid w:val="005C11DB"/>
    <w:rsid w:val="005C2B9D"/>
    <w:rsid w:val="005C3766"/>
    <w:rsid w:val="005C3CA2"/>
    <w:rsid w:val="005C462E"/>
    <w:rsid w:val="005C464E"/>
    <w:rsid w:val="005C49DA"/>
    <w:rsid w:val="005C50F3"/>
    <w:rsid w:val="005C54B5"/>
    <w:rsid w:val="005C5D80"/>
    <w:rsid w:val="005C5D91"/>
    <w:rsid w:val="005C6E2A"/>
    <w:rsid w:val="005D0459"/>
    <w:rsid w:val="005D07B8"/>
    <w:rsid w:val="005D2060"/>
    <w:rsid w:val="005D2106"/>
    <w:rsid w:val="005D22CE"/>
    <w:rsid w:val="005D3024"/>
    <w:rsid w:val="005D31E7"/>
    <w:rsid w:val="005D458E"/>
    <w:rsid w:val="005D4B57"/>
    <w:rsid w:val="005D6597"/>
    <w:rsid w:val="005D6AC4"/>
    <w:rsid w:val="005D6DA8"/>
    <w:rsid w:val="005D7E99"/>
    <w:rsid w:val="005E03A4"/>
    <w:rsid w:val="005E14E7"/>
    <w:rsid w:val="005E1EA7"/>
    <w:rsid w:val="005E26A3"/>
    <w:rsid w:val="005E2ECB"/>
    <w:rsid w:val="005E447E"/>
    <w:rsid w:val="005E4CE4"/>
    <w:rsid w:val="005E4FD1"/>
    <w:rsid w:val="005E54C0"/>
    <w:rsid w:val="005E6C36"/>
    <w:rsid w:val="005E72CA"/>
    <w:rsid w:val="005F0775"/>
    <w:rsid w:val="005F0CF5"/>
    <w:rsid w:val="005F21EB"/>
    <w:rsid w:val="005F2633"/>
    <w:rsid w:val="005F2F15"/>
    <w:rsid w:val="005F3FAF"/>
    <w:rsid w:val="005F4143"/>
    <w:rsid w:val="005F424B"/>
    <w:rsid w:val="005F5152"/>
    <w:rsid w:val="005F58A8"/>
    <w:rsid w:val="005F6360"/>
    <w:rsid w:val="005F63AC"/>
    <w:rsid w:val="005F64CF"/>
    <w:rsid w:val="005F65FD"/>
    <w:rsid w:val="005F6FF8"/>
    <w:rsid w:val="00600360"/>
    <w:rsid w:val="006008EC"/>
    <w:rsid w:val="006041AD"/>
    <w:rsid w:val="006044C2"/>
    <w:rsid w:val="00605005"/>
    <w:rsid w:val="00605908"/>
    <w:rsid w:val="0060667C"/>
    <w:rsid w:val="00606D08"/>
    <w:rsid w:val="00607850"/>
    <w:rsid w:val="00607EF7"/>
    <w:rsid w:val="00610D7C"/>
    <w:rsid w:val="006113B3"/>
    <w:rsid w:val="006119F1"/>
    <w:rsid w:val="00611A9E"/>
    <w:rsid w:val="00613414"/>
    <w:rsid w:val="00614509"/>
    <w:rsid w:val="006155D1"/>
    <w:rsid w:val="00617365"/>
    <w:rsid w:val="00620154"/>
    <w:rsid w:val="00620A73"/>
    <w:rsid w:val="00621738"/>
    <w:rsid w:val="00621C50"/>
    <w:rsid w:val="0062206F"/>
    <w:rsid w:val="006229FD"/>
    <w:rsid w:val="0062408D"/>
    <w:rsid w:val="006240CC"/>
    <w:rsid w:val="00624940"/>
    <w:rsid w:val="006254F8"/>
    <w:rsid w:val="0062554D"/>
    <w:rsid w:val="00625EA4"/>
    <w:rsid w:val="00626546"/>
    <w:rsid w:val="00627DA7"/>
    <w:rsid w:val="00630DA4"/>
    <w:rsid w:val="006312D9"/>
    <w:rsid w:val="00631CD4"/>
    <w:rsid w:val="00632597"/>
    <w:rsid w:val="00632625"/>
    <w:rsid w:val="00632A09"/>
    <w:rsid w:val="00634D13"/>
    <w:rsid w:val="006352D4"/>
    <w:rsid w:val="006358B4"/>
    <w:rsid w:val="00636EC6"/>
    <w:rsid w:val="00636F27"/>
    <w:rsid w:val="0064014B"/>
    <w:rsid w:val="00641138"/>
    <w:rsid w:val="00641724"/>
    <w:rsid w:val="006419AA"/>
    <w:rsid w:val="00642082"/>
    <w:rsid w:val="00642B32"/>
    <w:rsid w:val="00643C01"/>
    <w:rsid w:val="00644B1F"/>
    <w:rsid w:val="00644B7E"/>
    <w:rsid w:val="006454E6"/>
    <w:rsid w:val="00646235"/>
    <w:rsid w:val="006468C0"/>
    <w:rsid w:val="00646A68"/>
    <w:rsid w:val="00647181"/>
    <w:rsid w:val="00647998"/>
    <w:rsid w:val="00647A49"/>
    <w:rsid w:val="006505BD"/>
    <w:rsid w:val="006508EA"/>
    <w:rsid w:val="0065092E"/>
    <w:rsid w:val="006509D6"/>
    <w:rsid w:val="006512F3"/>
    <w:rsid w:val="00651992"/>
    <w:rsid w:val="0065532E"/>
    <w:rsid w:val="006557A7"/>
    <w:rsid w:val="00656290"/>
    <w:rsid w:val="00656594"/>
    <w:rsid w:val="006570C0"/>
    <w:rsid w:val="006601C9"/>
    <w:rsid w:val="0066052A"/>
    <w:rsid w:val="006608D8"/>
    <w:rsid w:val="00661BA5"/>
    <w:rsid w:val="006621D7"/>
    <w:rsid w:val="0066302A"/>
    <w:rsid w:val="00663237"/>
    <w:rsid w:val="00664460"/>
    <w:rsid w:val="006644ED"/>
    <w:rsid w:val="0066491B"/>
    <w:rsid w:val="00665598"/>
    <w:rsid w:val="00665827"/>
    <w:rsid w:val="00665A37"/>
    <w:rsid w:val="006668C2"/>
    <w:rsid w:val="00666B51"/>
    <w:rsid w:val="00667770"/>
    <w:rsid w:val="0067005A"/>
    <w:rsid w:val="00670597"/>
    <w:rsid w:val="00670632"/>
    <w:rsid w:val="006706D0"/>
    <w:rsid w:val="00671466"/>
    <w:rsid w:val="00671F06"/>
    <w:rsid w:val="00673032"/>
    <w:rsid w:val="00673BC4"/>
    <w:rsid w:val="00675265"/>
    <w:rsid w:val="0067545B"/>
    <w:rsid w:val="006759A6"/>
    <w:rsid w:val="00676152"/>
    <w:rsid w:val="006761B0"/>
    <w:rsid w:val="006769C4"/>
    <w:rsid w:val="00677574"/>
    <w:rsid w:val="00677CCE"/>
    <w:rsid w:val="006806EF"/>
    <w:rsid w:val="006812ED"/>
    <w:rsid w:val="00681F60"/>
    <w:rsid w:val="006826A3"/>
    <w:rsid w:val="00682787"/>
    <w:rsid w:val="00682838"/>
    <w:rsid w:val="00682F1F"/>
    <w:rsid w:val="0068372C"/>
    <w:rsid w:val="00683878"/>
    <w:rsid w:val="00683BCE"/>
    <w:rsid w:val="00684380"/>
    <w:rsid w:val="0068454C"/>
    <w:rsid w:val="00685863"/>
    <w:rsid w:val="00686E91"/>
    <w:rsid w:val="00687A9D"/>
    <w:rsid w:val="00690365"/>
    <w:rsid w:val="00690429"/>
    <w:rsid w:val="00690494"/>
    <w:rsid w:val="00691064"/>
    <w:rsid w:val="00691B62"/>
    <w:rsid w:val="006933B5"/>
    <w:rsid w:val="0069352E"/>
    <w:rsid w:val="00693715"/>
    <w:rsid w:val="00693D14"/>
    <w:rsid w:val="00694ECE"/>
    <w:rsid w:val="00696F27"/>
    <w:rsid w:val="006A14B2"/>
    <w:rsid w:val="006A18C2"/>
    <w:rsid w:val="006A2BB1"/>
    <w:rsid w:val="006A2BCE"/>
    <w:rsid w:val="006A2D2C"/>
    <w:rsid w:val="006A2E4B"/>
    <w:rsid w:val="006A30DE"/>
    <w:rsid w:val="006A3383"/>
    <w:rsid w:val="006A34E3"/>
    <w:rsid w:val="006A36D8"/>
    <w:rsid w:val="006A4401"/>
    <w:rsid w:val="006A4A02"/>
    <w:rsid w:val="006A5689"/>
    <w:rsid w:val="006A6E5B"/>
    <w:rsid w:val="006A71B3"/>
    <w:rsid w:val="006B077C"/>
    <w:rsid w:val="006B13F2"/>
    <w:rsid w:val="006B220A"/>
    <w:rsid w:val="006B3968"/>
    <w:rsid w:val="006B3D11"/>
    <w:rsid w:val="006B525D"/>
    <w:rsid w:val="006B6313"/>
    <w:rsid w:val="006B6803"/>
    <w:rsid w:val="006B690B"/>
    <w:rsid w:val="006B7063"/>
    <w:rsid w:val="006B7149"/>
    <w:rsid w:val="006B7C66"/>
    <w:rsid w:val="006C1F46"/>
    <w:rsid w:val="006C2461"/>
    <w:rsid w:val="006C29A5"/>
    <w:rsid w:val="006C442B"/>
    <w:rsid w:val="006C47E6"/>
    <w:rsid w:val="006C50C4"/>
    <w:rsid w:val="006C582A"/>
    <w:rsid w:val="006C5AF1"/>
    <w:rsid w:val="006C6E87"/>
    <w:rsid w:val="006C6E92"/>
    <w:rsid w:val="006C734B"/>
    <w:rsid w:val="006C754D"/>
    <w:rsid w:val="006C796F"/>
    <w:rsid w:val="006D03F6"/>
    <w:rsid w:val="006D0470"/>
    <w:rsid w:val="006D05F8"/>
    <w:rsid w:val="006D0C37"/>
    <w:rsid w:val="006D0F16"/>
    <w:rsid w:val="006D0FD1"/>
    <w:rsid w:val="006D11EC"/>
    <w:rsid w:val="006D2A3F"/>
    <w:rsid w:val="006D2FBC"/>
    <w:rsid w:val="006D35EE"/>
    <w:rsid w:val="006D4602"/>
    <w:rsid w:val="006D4F14"/>
    <w:rsid w:val="006D6569"/>
    <w:rsid w:val="006D6E34"/>
    <w:rsid w:val="006E138B"/>
    <w:rsid w:val="006E1867"/>
    <w:rsid w:val="006E3AFF"/>
    <w:rsid w:val="006E424C"/>
    <w:rsid w:val="006E6824"/>
    <w:rsid w:val="006E70A8"/>
    <w:rsid w:val="006E7D99"/>
    <w:rsid w:val="006F0330"/>
    <w:rsid w:val="006F079F"/>
    <w:rsid w:val="006F0C85"/>
    <w:rsid w:val="006F0FCF"/>
    <w:rsid w:val="006F1FDC"/>
    <w:rsid w:val="006F2F91"/>
    <w:rsid w:val="006F4513"/>
    <w:rsid w:val="006F4E62"/>
    <w:rsid w:val="006F505E"/>
    <w:rsid w:val="006F510E"/>
    <w:rsid w:val="006F5A61"/>
    <w:rsid w:val="006F6B8C"/>
    <w:rsid w:val="006F6D03"/>
    <w:rsid w:val="006F6FB7"/>
    <w:rsid w:val="006F7FA0"/>
    <w:rsid w:val="006FE0EE"/>
    <w:rsid w:val="00700E99"/>
    <w:rsid w:val="00700FE9"/>
    <w:rsid w:val="007013EF"/>
    <w:rsid w:val="007054E8"/>
    <w:rsid w:val="007055BD"/>
    <w:rsid w:val="00705EC2"/>
    <w:rsid w:val="007104D7"/>
    <w:rsid w:val="007125BA"/>
    <w:rsid w:val="007126AE"/>
    <w:rsid w:val="00712EDF"/>
    <w:rsid w:val="00713422"/>
    <w:rsid w:val="007134DF"/>
    <w:rsid w:val="00713BC4"/>
    <w:rsid w:val="007144C2"/>
    <w:rsid w:val="00716079"/>
    <w:rsid w:val="00716C41"/>
    <w:rsid w:val="007173CA"/>
    <w:rsid w:val="00717CE4"/>
    <w:rsid w:val="007209E9"/>
    <w:rsid w:val="007216AA"/>
    <w:rsid w:val="007217AB"/>
    <w:rsid w:val="00721804"/>
    <w:rsid w:val="00721AB5"/>
    <w:rsid w:val="00721CFB"/>
    <w:rsid w:val="00721DEF"/>
    <w:rsid w:val="00721FF7"/>
    <w:rsid w:val="00724A43"/>
    <w:rsid w:val="00725737"/>
    <w:rsid w:val="00726939"/>
    <w:rsid w:val="007273AC"/>
    <w:rsid w:val="00727D68"/>
    <w:rsid w:val="007301E7"/>
    <w:rsid w:val="0073163D"/>
    <w:rsid w:val="00731AD4"/>
    <w:rsid w:val="007321B6"/>
    <w:rsid w:val="00733DA4"/>
    <w:rsid w:val="007346E4"/>
    <w:rsid w:val="007352ED"/>
    <w:rsid w:val="00735564"/>
    <w:rsid w:val="00735587"/>
    <w:rsid w:val="0073622E"/>
    <w:rsid w:val="0073738B"/>
    <w:rsid w:val="00737EBF"/>
    <w:rsid w:val="00740C41"/>
    <w:rsid w:val="00740F22"/>
    <w:rsid w:val="00741138"/>
    <w:rsid w:val="00741CF0"/>
    <w:rsid w:val="00741E08"/>
    <w:rsid w:val="00741F1A"/>
    <w:rsid w:val="00743A73"/>
    <w:rsid w:val="00743AFB"/>
    <w:rsid w:val="007447DA"/>
    <w:rsid w:val="007449C8"/>
    <w:rsid w:val="00744FA8"/>
    <w:rsid w:val="00744FBB"/>
    <w:rsid w:val="007450F8"/>
    <w:rsid w:val="00745173"/>
    <w:rsid w:val="0074569E"/>
    <w:rsid w:val="0074694B"/>
    <w:rsid w:val="0074696E"/>
    <w:rsid w:val="007470C6"/>
    <w:rsid w:val="00747C89"/>
    <w:rsid w:val="00750135"/>
    <w:rsid w:val="00750C01"/>
    <w:rsid w:val="00750EC2"/>
    <w:rsid w:val="00751069"/>
    <w:rsid w:val="00751C25"/>
    <w:rsid w:val="00752B28"/>
    <w:rsid w:val="007536BC"/>
    <w:rsid w:val="00753C46"/>
    <w:rsid w:val="00753D89"/>
    <w:rsid w:val="007541A9"/>
    <w:rsid w:val="00754E36"/>
    <w:rsid w:val="00755BB0"/>
    <w:rsid w:val="00755F62"/>
    <w:rsid w:val="007561D7"/>
    <w:rsid w:val="00763139"/>
    <w:rsid w:val="0076346A"/>
    <w:rsid w:val="00764EC2"/>
    <w:rsid w:val="00764F55"/>
    <w:rsid w:val="00764FD8"/>
    <w:rsid w:val="00765C24"/>
    <w:rsid w:val="007660EF"/>
    <w:rsid w:val="0076617C"/>
    <w:rsid w:val="00767772"/>
    <w:rsid w:val="00770262"/>
    <w:rsid w:val="00770F37"/>
    <w:rsid w:val="007711A0"/>
    <w:rsid w:val="00772058"/>
    <w:rsid w:val="00772D5E"/>
    <w:rsid w:val="007734D6"/>
    <w:rsid w:val="0077381F"/>
    <w:rsid w:val="0077463E"/>
    <w:rsid w:val="00774693"/>
    <w:rsid w:val="007759AC"/>
    <w:rsid w:val="007760CE"/>
    <w:rsid w:val="007767AF"/>
    <w:rsid w:val="00776928"/>
    <w:rsid w:val="00776D56"/>
    <w:rsid w:val="00776D68"/>
    <w:rsid w:val="00776E0F"/>
    <w:rsid w:val="007774B1"/>
    <w:rsid w:val="00777BE1"/>
    <w:rsid w:val="0078063A"/>
    <w:rsid w:val="00780705"/>
    <w:rsid w:val="00780C3D"/>
    <w:rsid w:val="00781099"/>
    <w:rsid w:val="00782222"/>
    <w:rsid w:val="00782686"/>
    <w:rsid w:val="007833D8"/>
    <w:rsid w:val="007839DE"/>
    <w:rsid w:val="00785677"/>
    <w:rsid w:val="00785D55"/>
    <w:rsid w:val="00786E12"/>
    <w:rsid w:val="00786F16"/>
    <w:rsid w:val="00790872"/>
    <w:rsid w:val="00790B3A"/>
    <w:rsid w:val="0079178C"/>
    <w:rsid w:val="00791B3E"/>
    <w:rsid w:val="00791BD7"/>
    <w:rsid w:val="00792AC0"/>
    <w:rsid w:val="00792C6E"/>
    <w:rsid w:val="007933F7"/>
    <w:rsid w:val="00793913"/>
    <w:rsid w:val="00793FD0"/>
    <w:rsid w:val="00796340"/>
    <w:rsid w:val="00796BF1"/>
    <w:rsid w:val="00796E20"/>
    <w:rsid w:val="007975D2"/>
    <w:rsid w:val="00797C32"/>
    <w:rsid w:val="007A11E8"/>
    <w:rsid w:val="007A21C2"/>
    <w:rsid w:val="007A37E8"/>
    <w:rsid w:val="007A5C70"/>
    <w:rsid w:val="007A6481"/>
    <w:rsid w:val="007A659B"/>
    <w:rsid w:val="007A6EF8"/>
    <w:rsid w:val="007A7647"/>
    <w:rsid w:val="007B06FF"/>
    <w:rsid w:val="007B0914"/>
    <w:rsid w:val="007B1374"/>
    <w:rsid w:val="007B2C73"/>
    <w:rsid w:val="007B3165"/>
    <w:rsid w:val="007B32E5"/>
    <w:rsid w:val="007B3DB9"/>
    <w:rsid w:val="007B3EEA"/>
    <w:rsid w:val="007B404E"/>
    <w:rsid w:val="007B48E9"/>
    <w:rsid w:val="007B5676"/>
    <w:rsid w:val="007B589F"/>
    <w:rsid w:val="007B5ED0"/>
    <w:rsid w:val="007B6186"/>
    <w:rsid w:val="007B73BC"/>
    <w:rsid w:val="007C1838"/>
    <w:rsid w:val="007C20B9"/>
    <w:rsid w:val="007C22DB"/>
    <w:rsid w:val="007C2E4D"/>
    <w:rsid w:val="007C389C"/>
    <w:rsid w:val="007C3907"/>
    <w:rsid w:val="007C462F"/>
    <w:rsid w:val="007C53CF"/>
    <w:rsid w:val="007C6EEC"/>
    <w:rsid w:val="007C7301"/>
    <w:rsid w:val="007C7859"/>
    <w:rsid w:val="007C7F28"/>
    <w:rsid w:val="007D06F1"/>
    <w:rsid w:val="007D0EBE"/>
    <w:rsid w:val="007D1466"/>
    <w:rsid w:val="007D2605"/>
    <w:rsid w:val="007D2794"/>
    <w:rsid w:val="007D2BDE"/>
    <w:rsid w:val="007D2FB6"/>
    <w:rsid w:val="007D4775"/>
    <w:rsid w:val="007D49EB"/>
    <w:rsid w:val="007D5DA4"/>
    <w:rsid w:val="007D5E1C"/>
    <w:rsid w:val="007D6A7E"/>
    <w:rsid w:val="007D709B"/>
    <w:rsid w:val="007D7432"/>
    <w:rsid w:val="007E0DE2"/>
    <w:rsid w:val="007E2231"/>
    <w:rsid w:val="007E3667"/>
    <w:rsid w:val="007E3B98"/>
    <w:rsid w:val="007E417A"/>
    <w:rsid w:val="007E4B89"/>
    <w:rsid w:val="007E548D"/>
    <w:rsid w:val="007E552B"/>
    <w:rsid w:val="007E5998"/>
    <w:rsid w:val="007E5E0D"/>
    <w:rsid w:val="007E6E73"/>
    <w:rsid w:val="007F0498"/>
    <w:rsid w:val="007F0795"/>
    <w:rsid w:val="007F07CC"/>
    <w:rsid w:val="007F1692"/>
    <w:rsid w:val="007F1FCB"/>
    <w:rsid w:val="007F27F4"/>
    <w:rsid w:val="007F31B6"/>
    <w:rsid w:val="007F546C"/>
    <w:rsid w:val="007F5EB8"/>
    <w:rsid w:val="007F625F"/>
    <w:rsid w:val="007F665E"/>
    <w:rsid w:val="007F6D92"/>
    <w:rsid w:val="00800412"/>
    <w:rsid w:val="00800911"/>
    <w:rsid w:val="00800945"/>
    <w:rsid w:val="008011D2"/>
    <w:rsid w:val="0080149A"/>
    <w:rsid w:val="008017F2"/>
    <w:rsid w:val="00803398"/>
    <w:rsid w:val="00804C90"/>
    <w:rsid w:val="00804D4F"/>
    <w:rsid w:val="0080587B"/>
    <w:rsid w:val="00805C3F"/>
    <w:rsid w:val="00805D7C"/>
    <w:rsid w:val="00806468"/>
    <w:rsid w:val="00807E39"/>
    <w:rsid w:val="00810F9E"/>
    <w:rsid w:val="00811684"/>
    <w:rsid w:val="008119CA"/>
    <w:rsid w:val="00811FAE"/>
    <w:rsid w:val="00812531"/>
    <w:rsid w:val="008130C4"/>
    <w:rsid w:val="0081403F"/>
    <w:rsid w:val="008155F0"/>
    <w:rsid w:val="00815D72"/>
    <w:rsid w:val="00816735"/>
    <w:rsid w:val="008168CB"/>
    <w:rsid w:val="00816966"/>
    <w:rsid w:val="00820141"/>
    <w:rsid w:val="00820505"/>
    <w:rsid w:val="00820E0C"/>
    <w:rsid w:val="00820E7A"/>
    <w:rsid w:val="00821343"/>
    <w:rsid w:val="00821565"/>
    <w:rsid w:val="00823275"/>
    <w:rsid w:val="0082366F"/>
    <w:rsid w:val="00825A44"/>
    <w:rsid w:val="00826496"/>
    <w:rsid w:val="008266B2"/>
    <w:rsid w:val="0083000D"/>
    <w:rsid w:val="008311F6"/>
    <w:rsid w:val="00832463"/>
    <w:rsid w:val="00832E25"/>
    <w:rsid w:val="008332E5"/>
    <w:rsid w:val="008334B8"/>
    <w:rsid w:val="008338A2"/>
    <w:rsid w:val="008340A9"/>
    <w:rsid w:val="00835B1F"/>
    <w:rsid w:val="00835D6D"/>
    <w:rsid w:val="00835FDE"/>
    <w:rsid w:val="00837E0F"/>
    <w:rsid w:val="008402F0"/>
    <w:rsid w:val="008405A2"/>
    <w:rsid w:val="00841AA9"/>
    <w:rsid w:val="0084333D"/>
    <w:rsid w:val="00843B0F"/>
    <w:rsid w:val="00844BF1"/>
    <w:rsid w:val="00844E2A"/>
    <w:rsid w:val="0084508D"/>
    <w:rsid w:val="00845CF4"/>
    <w:rsid w:val="00846AEC"/>
    <w:rsid w:val="008474FE"/>
    <w:rsid w:val="00847B3D"/>
    <w:rsid w:val="00847E00"/>
    <w:rsid w:val="008522C4"/>
    <w:rsid w:val="00853084"/>
    <w:rsid w:val="00853998"/>
    <w:rsid w:val="00853EE4"/>
    <w:rsid w:val="008545B2"/>
    <w:rsid w:val="00855535"/>
    <w:rsid w:val="00855EAE"/>
    <w:rsid w:val="00855F5B"/>
    <w:rsid w:val="00856FFF"/>
    <w:rsid w:val="008575A6"/>
    <w:rsid w:val="00857690"/>
    <w:rsid w:val="00857C5A"/>
    <w:rsid w:val="00860786"/>
    <w:rsid w:val="008610FF"/>
    <w:rsid w:val="008613DD"/>
    <w:rsid w:val="0086197E"/>
    <w:rsid w:val="0086255E"/>
    <w:rsid w:val="00863255"/>
    <w:rsid w:val="008633F0"/>
    <w:rsid w:val="00864581"/>
    <w:rsid w:val="00864ED1"/>
    <w:rsid w:val="00865D08"/>
    <w:rsid w:val="00865E81"/>
    <w:rsid w:val="00866430"/>
    <w:rsid w:val="00866AC9"/>
    <w:rsid w:val="00866C56"/>
    <w:rsid w:val="00866EB8"/>
    <w:rsid w:val="00867AB6"/>
    <w:rsid w:val="00867D9D"/>
    <w:rsid w:val="00870583"/>
    <w:rsid w:val="008706EF"/>
    <w:rsid w:val="00872E0A"/>
    <w:rsid w:val="00873594"/>
    <w:rsid w:val="00873D49"/>
    <w:rsid w:val="00874969"/>
    <w:rsid w:val="00875285"/>
    <w:rsid w:val="00875B1C"/>
    <w:rsid w:val="00875EE6"/>
    <w:rsid w:val="008764AA"/>
    <w:rsid w:val="00876F8D"/>
    <w:rsid w:val="00877133"/>
    <w:rsid w:val="00877B85"/>
    <w:rsid w:val="008829EE"/>
    <w:rsid w:val="00882E02"/>
    <w:rsid w:val="00883415"/>
    <w:rsid w:val="00884B62"/>
    <w:rsid w:val="00884D69"/>
    <w:rsid w:val="0088529C"/>
    <w:rsid w:val="008858AA"/>
    <w:rsid w:val="008860F0"/>
    <w:rsid w:val="0088659E"/>
    <w:rsid w:val="0088661C"/>
    <w:rsid w:val="0088682F"/>
    <w:rsid w:val="00886C28"/>
    <w:rsid w:val="00887791"/>
    <w:rsid w:val="00887903"/>
    <w:rsid w:val="0089066F"/>
    <w:rsid w:val="00891E44"/>
    <w:rsid w:val="008924C5"/>
    <w:rsid w:val="0089270A"/>
    <w:rsid w:val="00893AF6"/>
    <w:rsid w:val="00893C5E"/>
    <w:rsid w:val="00894351"/>
    <w:rsid w:val="00894BC4"/>
    <w:rsid w:val="008950FF"/>
    <w:rsid w:val="00896890"/>
    <w:rsid w:val="008977D1"/>
    <w:rsid w:val="008A039E"/>
    <w:rsid w:val="008A0416"/>
    <w:rsid w:val="008A28A8"/>
    <w:rsid w:val="008A2DEE"/>
    <w:rsid w:val="008A417E"/>
    <w:rsid w:val="008A4D83"/>
    <w:rsid w:val="008A5435"/>
    <w:rsid w:val="008A54AC"/>
    <w:rsid w:val="008A5B32"/>
    <w:rsid w:val="008B147D"/>
    <w:rsid w:val="008B2029"/>
    <w:rsid w:val="008B2EE4"/>
    <w:rsid w:val="008B2F1D"/>
    <w:rsid w:val="008B33F4"/>
    <w:rsid w:val="008B3821"/>
    <w:rsid w:val="008B4849"/>
    <w:rsid w:val="008B4D3D"/>
    <w:rsid w:val="008B554E"/>
    <w:rsid w:val="008B57C7"/>
    <w:rsid w:val="008B5EA1"/>
    <w:rsid w:val="008B6A2F"/>
    <w:rsid w:val="008B6A60"/>
    <w:rsid w:val="008C005A"/>
    <w:rsid w:val="008C0AF1"/>
    <w:rsid w:val="008C0F28"/>
    <w:rsid w:val="008C137B"/>
    <w:rsid w:val="008C13DA"/>
    <w:rsid w:val="008C16FB"/>
    <w:rsid w:val="008C251D"/>
    <w:rsid w:val="008C2F92"/>
    <w:rsid w:val="008C3546"/>
    <w:rsid w:val="008C54ED"/>
    <w:rsid w:val="008C589D"/>
    <w:rsid w:val="008C5F6A"/>
    <w:rsid w:val="008C6D51"/>
    <w:rsid w:val="008C6E83"/>
    <w:rsid w:val="008C6F95"/>
    <w:rsid w:val="008C6FDF"/>
    <w:rsid w:val="008D1897"/>
    <w:rsid w:val="008D2739"/>
    <w:rsid w:val="008D2846"/>
    <w:rsid w:val="008D2985"/>
    <w:rsid w:val="008D2A99"/>
    <w:rsid w:val="008D2FAE"/>
    <w:rsid w:val="008D4236"/>
    <w:rsid w:val="008D462F"/>
    <w:rsid w:val="008D663D"/>
    <w:rsid w:val="008D6DCF"/>
    <w:rsid w:val="008E199F"/>
    <w:rsid w:val="008E2DCF"/>
    <w:rsid w:val="008E3A8E"/>
    <w:rsid w:val="008E41A4"/>
    <w:rsid w:val="008E4376"/>
    <w:rsid w:val="008E5332"/>
    <w:rsid w:val="008E7770"/>
    <w:rsid w:val="008E7A0A"/>
    <w:rsid w:val="008E7B49"/>
    <w:rsid w:val="008E7E18"/>
    <w:rsid w:val="008F171B"/>
    <w:rsid w:val="008F2605"/>
    <w:rsid w:val="008F260B"/>
    <w:rsid w:val="008F2AA4"/>
    <w:rsid w:val="008F2AE5"/>
    <w:rsid w:val="008F59F6"/>
    <w:rsid w:val="008F5ABC"/>
    <w:rsid w:val="008F5CBC"/>
    <w:rsid w:val="008F60E7"/>
    <w:rsid w:val="008F79BA"/>
    <w:rsid w:val="008F7C2E"/>
    <w:rsid w:val="008F7DE0"/>
    <w:rsid w:val="00900719"/>
    <w:rsid w:val="009017AC"/>
    <w:rsid w:val="00902A9A"/>
    <w:rsid w:val="009039C7"/>
    <w:rsid w:val="00904A1C"/>
    <w:rsid w:val="00904DE1"/>
    <w:rsid w:val="00904F8A"/>
    <w:rsid w:val="00905030"/>
    <w:rsid w:val="00905D13"/>
    <w:rsid w:val="00906490"/>
    <w:rsid w:val="009072C5"/>
    <w:rsid w:val="00910AF2"/>
    <w:rsid w:val="009111B2"/>
    <w:rsid w:val="009112AD"/>
    <w:rsid w:val="00913D2F"/>
    <w:rsid w:val="00913D75"/>
    <w:rsid w:val="009151F5"/>
    <w:rsid w:val="00915B0E"/>
    <w:rsid w:val="009161E1"/>
    <w:rsid w:val="0091688E"/>
    <w:rsid w:val="009207C5"/>
    <w:rsid w:val="00920878"/>
    <w:rsid w:val="00920B7E"/>
    <w:rsid w:val="00920E0E"/>
    <w:rsid w:val="00921E3B"/>
    <w:rsid w:val="009221DB"/>
    <w:rsid w:val="00923890"/>
    <w:rsid w:val="009240D8"/>
    <w:rsid w:val="00924125"/>
    <w:rsid w:val="0092444F"/>
    <w:rsid w:val="00924AE1"/>
    <w:rsid w:val="009261A0"/>
    <w:rsid w:val="00926334"/>
    <w:rsid w:val="009269B1"/>
    <w:rsid w:val="00926A62"/>
    <w:rsid w:val="00926E7D"/>
    <w:rsid w:val="0092724D"/>
    <w:rsid w:val="009272B3"/>
    <w:rsid w:val="009313D5"/>
    <w:rsid w:val="009315BE"/>
    <w:rsid w:val="009326DD"/>
    <w:rsid w:val="0093338F"/>
    <w:rsid w:val="00933BD9"/>
    <w:rsid w:val="00934405"/>
    <w:rsid w:val="009344A9"/>
    <w:rsid w:val="009346CF"/>
    <w:rsid w:val="00935A5D"/>
    <w:rsid w:val="00935F55"/>
    <w:rsid w:val="009362C4"/>
    <w:rsid w:val="009368E4"/>
    <w:rsid w:val="00937BD9"/>
    <w:rsid w:val="00937E51"/>
    <w:rsid w:val="00940295"/>
    <w:rsid w:val="0094063D"/>
    <w:rsid w:val="009416F8"/>
    <w:rsid w:val="00942FAA"/>
    <w:rsid w:val="0094405B"/>
    <w:rsid w:val="0094445E"/>
    <w:rsid w:val="00944DE7"/>
    <w:rsid w:val="00945C98"/>
    <w:rsid w:val="0094640A"/>
    <w:rsid w:val="00946E08"/>
    <w:rsid w:val="0095007B"/>
    <w:rsid w:val="009509A6"/>
    <w:rsid w:val="00950D8B"/>
    <w:rsid w:val="00950E2C"/>
    <w:rsid w:val="00951522"/>
    <w:rsid w:val="00951D50"/>
    <w:rsid w:val="00951E98"/>
    <w:rsid w:val="00952391"/>
    <w:rsid w:val="009525EB"/>
    <w:rsid w:val="00953093"/>
    <w:rsid w:val="0095459A"/>
    <w:rsid w:val="0095470B"/>
    <w:rsid w:val="00954874"/>
    <w:rsid w:val="0095615A"/>
    <w:rsid w:val="009562A4"/>
    <w:rsid w:val="0095654B"/>
    <w:rsid w:val="00960E20"/>
    <w:rsid w:val="009610A5"/>
    <w:rsid w:val="009610EC"/>
    <w:rsid w:val="00961400"/>
    <w:rsid w:val="00963646"/>
    <w:rsid w:val="009636FF"/>
    <w:rsid w:val="00965649"/>
    <w:rsid w:val="00965AF2"/>
    <w:rsid w:val="0096632D"/>
    <w:rsid w:val="0096679B"/>
    <w:rsid w:val="00967124"/>
    <w:rsid w:val="0096720B"/>
    <w:rsid w:val="00967451"/>
    <w:rsid w:val="00967983"/>
    <w:rsid w:val="0097166C"/>
    <w:rsid w:val="009718C7"/>
    <w:rsid w:val="00973FB0"/>
    <w:rsid w:val="009745F4"/>
    <w:rsid w:val="00974710"/>
    <w:rsid w:val="0097559F"/>
    <w:rsid w:val="009761EA"/>
    <w:rsid w:val="00977128"/>
    <w:rsid w:val="009774A0"/>
    <w:rsid w:val="0097761E"/>
    <w:rsid w:val="00977995"/>
    <w:rsid w:val="00977D59"/>
    <w:rsid w:val="00981214"/>
    <w:rsid w:val="00981C56"/>
    <w:rsid w:val="00982454"/>
    <w:rsid w:val="00982CF0"/>
    <w:rsid w:val="0098359F"/>
    <w:rsid w:val="009839F0"/>
    <w:rsid w:val="00983CDE"/>
    <w:rsid w:val="0098405F"/>
    <w:rsid w:val="009853E1"/>
    <w:rsid w:val="0098584F"/>
    <w:rsid w:val="0098605D"/>
    <w:rsid w:val="009863ED"/>
    <w:rsid w:val="00986E6B"/>
    <w:rsid w:val="00990032"/>
    <w:rsid w:val="00990B19"/>
    <w:rsid w:val="00990F6C"/>
    <w:rsid w:val="0099153B"/>
    <w:rsid w:val="00991769"/>
    <w:rsid w:val="0099232C"/>
    <w:rsid w:val="009927B4"/>
    <w:rsid w:val="00994386"/>
    <w:rsid w:val="009951D6"/>
    <w:rsid w:val="00996362"/>
    <w:rsid w:val="009A13D8"/>
    <w:rsid w:val="009A1A64"/>
    <w:rsid w:val="009A279E"/>
    <w:rsid w:val="009A2CD9"/>
    <w:rsid w:val="009A3015"/>
    <w:rsid w:val="009A3490"/>
    <w:rsid w:val="009A373B"/>
    <w:rsid w:val="009A3E67"/>
    <w:rsid w:val="009A4340"/>
    <w:rsid w:val="009A4D78"/>
    <w:rsid w:val="009A5BEF"/>
    <w:rsid w:val="009A64C1"/>
    <w:rsid w:val="009A661C"/>
    <w:rsid w:val="009A6A89"/>
    <w:rsid w:val="009B0A6F"/>
    <w:rsid w:val="009B0A94"/>
    <w:rsid w:val="009B0C62"/>
    <w:rsid w:val="009B134F"/>
    <w:rsid w:val="009B14B7"/>
    <w:rsid w:val="009B2AE8"/>
    <w:rsid w:val="009B5622"/>
    <w:rsid w:val="009B59E9"/>
    <w:rsid w:val="009B6B05"/>
    <w:rsid w:val="009B70AA"/>
    <w:rsid w:val="009B70B0"/>
    <w:rsid w:val="009B7F62"/>
    <w:rsid w:val="009C05FD"/>
    <w:rsid w:val="009C0B8E"/>
    <w:rsid w:val="009C0DA7"/>
    <w:rsid w:val="009C1A22"/>
    <w:rsid w:val="009C245E"/>
    <w:rsid w:val="009C2A06"/>
    <w:rsid w:val="009C5E77"/>
    <w:rsid w:val="009C6CB1"/>
    <w:rsid w:val="009C7A7E"/>
    <w:rsid w:val="009D00C0"/>
    <w:rsid w:val="009D02E8"/>
    <w:rsid w:val="009D31F3"/>
    <w:rsid w:val="009D51D0"/>
    <w:rsid w:val="009D6443"/>
    <w:rsid w:val="009D70A4"/>
    <w:rsid w:val="009D7B14"/>
    <w:rsid w:val="009E00E2"/>
    <w:rsid w:val="009E0562"/>
    <w:rsid w:val="009E08D1"/>
    <w:rsid w:val="009E0D96"/>
    <w:rsid w:val="009E1B95"/>
    <w:rsid w:val="009E36CE"/>
    <w:rsid w:val="009E496F"/>
    <w:rsid w:val="009E4B0D"/>
    <w:rsid w:val="009E5250"/>
    <w:rsid w:val="009E58C6"/>
    <w:rsid w:val="009E5D34"/>
    <w:rsid w:val="009E639F"/>
    <w:rsid w:val="009E7712"/>
    <w:rsid w:val="009E7A69"/>
    <w:rsid w:val="009E7F92"/>
    <w:rsid w:val="009F02A3"/>
    <w:rsid w:val="009F19EF"/>
    <w:rsid w:val="009F2182"/>
    <w:rsid w:val="009F2F27"/>
    <w:rsid w:val="009F34AA"/>
    <w:rsid w:val="009F3944"/>
    <w:rsid w:val="009F5D46"/>
    <w:rsid w:val="009F6BCB"/>
    <w:rsid w:val="009F7341"/>
    <w:rsid w:val="009F7B78"/>
    <w:rsid w:val="00A0057A"/>
    <w:rsid w:val="00A02407"/>
    <w:rsid w:val="00A02FA1"/>
    <w:rsid w:val="00A0391D"/>
    <w:rsid w:val="00A0439D"/>
    <w:rsid w:val="00A04568"/>
    <w:rsid w:val="00A04CCE"/>
    <w:rsid w:val="00A05A1A"/>
    <w:rsid w:val="00A05AC4"/>
    <w:rsid w:val="00A063DE"/>
    <w:rsid w:val="00A07421"/>
    <w:rsid w:val="00A0776B"/>
    <w:rsid w:val="00A078F2"/>
    <w:rsid w:val="00A10C52"/>
    <w:rsid w:val="00A10FB9"/>
    <w:rsid w:val="00A11421"/>
    <w:rsid w:val="00A12286"/>
    <w:rsid w:val="00A125DD"/>
    <w:rsid w:val="00A12875"/>
    <w:rsid w:val="00A12C6C"/>
    <w:rsid w:val="00A1389F"/>
    <w:rsid w:val="00A13B7A"/>
    <w:rsid w:val="00A13D21"/>
    <w:rsid w:val="00A15507"/>
    <w:rsid w:val="00A157B1"/>
    <w:rsid w:val="00A16ECB"/>
    <w:rsid w:val="00A17844"/>
    <w:rsid w:val="00A22229"/>
    <w:rsid w:val="00A22324"/>
    <w:rsid w:val="00A22363"/>
    <w:rsid w:val="00A23849"/>
    <w:rsid w:val="00A24442"/>
    <w:rsid w:val="00A24ADA"/>
    <w:rsid w:val="00A25508"/>
    <w:rsid w:val="00A25BF3"/>
    <w:rsid w:val="00A27C19"/>
    <w:rsid w:val="00A30347"/>
    <w:rsid w:val="00A30865"/>
    <w:rsid w:val="00A32577"/>
    <w:rsid w:val="00A330BB"/>
    <w:rsid w:val="00A34592"/>
    <w:rsid w:val="00A346D0"/>
    <w:rsid w:val="00A34EC6"/>
    <w:rsid w:val="00A35CC3"/>
    <w:rsid w:val="00A41E46"/>
    <w:rsid w:val="00A42329"/>
    <w:rsid w:val="00A4251E"/>
    <w:rsid w:val="00A4305C"/>
    <w:rsid w:val="00A433B8"/>
    <w:rsid w:val="00A445A8"/>
    <w:rsid w:val="00A446F5"/>
    <w:rsid w:val="00A44882"/>
    <w:rsid w:val="00A449A7"/>
    <w:rsid w:val="00A45125"/>
    <w:rsid w:val="00A50684"/>
    <w:rsid w:val="00A51A66"/>
    <w:rsid w:val="00A51A9C"/>
    <w:rsid w:val="00A51C99"/>
    <w:rsid w:val="00A52281"/>
    <w:rsid w:val="00A527F9"/>
    <w:rsid w:val="00A54715"/>
    <w:rsid w:val="00A54A5A"/>
    <w:rsid w:val="00A5646C"/>
    <w:rsid w:val="00A571F3"/>
    <w:rsid w:val="00A6061C"/>
    <w:rsid w:val="00A61DDC"/>
    <w:rsid w:val="00A62D44"/>
    <w:rsid w:val="00A63701"/>
    <w:rsid w:val="00A641CF"/>
    <w:rsid w:val="00A64992"/>
    <w:rsid w:val="00A64DCF"/>
    <w:rsid w:val="00A661B1"/>
    <w:rsid w:val="00A671F5"/>
    <w:rsid w:val="00A67263"/>
    <w:rsid w:val="00A67D07"/>
    <w:rsid w:val="00A67FF8"/>
    <w:rsid w:val="00A7161C"/>
    <w:rsid w:val="00A71CE4"/>
    <w:rsid w:val="00A72935"/>
    <w:rsid w:val="00A75EFC"/>
    <w:rsid w:val="00A76455"/>
    <w:rsid w:val="00A7663C"/>
    <w:rsid w:val="00A779B4"/>
    <w:rsid w:val="00A77AA3"/>
    <w:rsid w:val="00A80D94"/>
    <w:rsid w:val="00A8236D"/>
    <w:rsid w:val="00A8261C"/>
    <w:rsid w:val="00A82CE7"/>
    <w:rsid w:val="00A83E84"/>
    <w:rsid w:val="00A8461B"/>
    <w:rsid w:val="00A854EB"/>
    <w:rsid w:val="00A8587F"/>
    <w:rsid w:val="00A859D9"/>
    <w:rsid w:val="00A85F8F"/>
    <w:rsid w:val="00A85FC2"/>
    <w:rsid w:val="00A8669E"/>
    <w:rsid w:val="00A8674F"/>
    <w:rsid w:val="00A872E5"/>
    <w:rsid w:val="00A91406"/>
    <w:rsid w:val="00A91585"/>
    <w:rsid w:val="00A91621"/>
    <w:rsid w:val="00A91B29"/>
    <w:rsid w:val="00A924AA"/>
    <w:rsid w:val="00A95BE1"/>
    <w:rsid w:val="00A96E65"/>
    <w:rsid w:val="00A96ECE"/>
    <w:rsid w:val="00A97C72"/>
    <w:rsid w:val="00A97E2C"/>
    <w:rsid w:val="00AA0C7B"/>
    <w:rsid w:val="00AA1620"/>
    <w:rsid w:val="00AA1CB8"/>
    <w:rsid w:val="00AA237C"/>
    <w:rsid w:val="00AA2AED"/>
    <w:rsid w:val="00AA2E90"/>
    <w:rsid w:val="00AA310B"/>
    <w:rsid w:val="00AA3175"/>
    <w:rsid w:val="00AA3239"/>
    <w:rsid w:val="00AA3373"/>
    <w:rsid w:val="00AA499F"/>
    <w:rsid w:val="00AA5137"/>
    <w:rsid w:val="00AA63D4"/>
    <w:rsid w:val="00AB060E"/>
    <w:rsid w:val="00AB06E8"/>
    <w:rsid w:val="00AB0CEA"/>
    <w:rsid w:val="00AB1CD3"/>
    <w:rsid w:val="00AB352F"/>
    <w:rsid w:val="00AB4844"/>
    <w:rsid w:val="00AB4DB6"/>
    <w:rsid w:val="00AB5ECF"/>
    <w:rsid w:val="00AB6051"/>
    <w:rsid w:val="00AC274B"/>
    <w:rsid w:val="00AC27D7"/>
    <w:rsid w:val="00AC3AC5"/>
    <w:rsid w:val="00AC3B4C"/>
    <w:rsid w:val="00AC4764"/>
    <w:rsid w:val="00AC51F3"/>
    <w:rsid w:val="00AC60E3"/>
    <w:rsid w:val="00AC6825"/>
    <w:rsid w:val="00AC6B22"/>
    <w:rsid w:val="00AC6D36"/>
    <w:rsid w:val="00AC7793"/>
    <w:rsid w:val="00AC7E74"/>
    <w:rsid w:val="00AD0CBA"/>
    <w:rsid w:val="00AD26E2"/>
    <w:rsid w:val="00AD2EF8"/>
    <w:rsid w:val="00AD513B"/>
    <w:rsid w:val="00AD56ED"/>
    <w:rsid w:val="00AD58DA"/>
    <w:rsid w:val="00AD59F0"/>
    <w:rsid w:val="00AD602D"/>
    <w:rsid w:val="00AD62AE"/>
    <w:rsid w:val="00AD784C"/>
    <w:rsid w:val="00AE126A"/>
    <w:rsid w:val="00AE146C"/>
    <w:rsid w:val="00AE1A14"/>
    <w:rsid w:val="00AE1BAE"/>
    <w:rsid w:val="00AE1CD6"/>
    <w:rsid w:val="00AE3005"/>
    <w:rsid w:val="00AE306D"/>
    <w:rsid w:val="00AE3BD5"/>
    <w:rsid w:val="00AE4784"/>
    <w:rsid w:val="00AE49ED"/>
    <w:rsid w:val="00AE50B5"/>
    <w:rsid w:val="00AE59A0"/>
    <w:rsid w:val="00AE5EBB"/>
    <w:rsid w:val="00AE699D"/>
    <w:rsid w:val="00AF041A"/>
    <w:rsid w:val="00AF0A53"/>
    <w:rsid w:val="00AF0C57"/>
    <w:rsid w:val="00AF1663"/>
    <w:rsid w:val="00AF2395"/>
    <w:rsid w:val="00AF26F3"/>
    <w:rsid w:val="00AF3171"/>
    <w:rsid w:val="00AF3B95"/>
    <w:rsid w:val="00AF5510"/>
    <w:rsid w:val="00AF5F04"/>
    <w:rsid w:val="00AF5F0D"/>
    <w:rsid w:val="00AF5FD9"/>
    <w:rsid w:val="00AF6DE9"/>
    <w:rsid w:val="00AF7267"/>
    <w:rsid w:val="00AF7DFA"/>
    <w:rsid w:val="00B00672"/>
    <w:rsid w:val="00B01380"/>
    <w:rsid w:val="00B01B4D"/>
    <w:rsid w:val="00B01E20"/>
    <w:rsid w:val="00B01F96"/>
    <w:rsid w:val="00B02F39"/>
    <w:rsid w:val="00B033C2"/>
    <w:rsid w:val="00B04489"/>
    <w:rsid w:val="00B05501"/>
    <w:rsid w:val="00B06571"/>
    <w:rsid w:val="00B068BA"/>
    <w:rsid w:val="00B07217"/>
    <w:rsid w:val="00B10D1D"/>
    <w:rsid w:val="00B116AB"/>
    <w:rsid w:val="00B11DA3"/>
    <w:rsid w:val="00B13217"/>
    <w:rsid w:val="00B13851"/>
    <w:rsid w:val="00B13B1C"/>
    <w:rsid w:val="00B145C6"/>
    <w:rsid w:val="00B14B5F"/>
    <w:rsid w:val="00B1674D"/>
    <w:rsid w:val="00B170B2"/>
    <w:rsid w:val="00B17AD4"/>
    <w:rsid w:val="00B203E7"/>
    <w:rsid w:val="00B21F90"/>
    <w:rsid w:val="00B22291"/>
    <w:rsid w:val="00B2339A"/>
    <w:rsid w:val="00B23DE6"/>
    <w:rsid w:val="00B23F9A"/>
    <w:rsid w:val="00B2417B"/>
    <w:rsid w:val="00B24E6F"/>
    <w:rsid w:val="00B25237"/>
    <w:rsid w:val="00B25691"/>
    <w:rsid w:val="00B2608D"/>
    <w:rsid w:val="00B26CB5"/>
    <w:rsid w:val="00B2752E"/>
    <w:rsid w:val="00B27769"/>
    <w:rsid w:val="00B27775"/>
    <w:rsid w:val="00B2794A"/>
    <w:rsid w:val="00B2798C"/>
    <w:rsid w:val="00B27FF7"/>
    <w:rsid w:val="00B305B9"/>
    <w:rsid w:val="00B307CC"/>
    <w:rsid w:val="00B31B64"/>
    <w:rsid w:val="00B32513"/>
    <w:rsid w:val="00B326B7"/>
    <w:rsid w:val="00B32993"/>
    <w:rsid w:val="00B3588E"/>
    <w:rsid w:val="00B3634E"/>
    <w:rsid w:val="00B4198F"/>
    <w:rsid w:val="00B41F3D"/>
    <w:rsid w:val="00B42946"/>
    <w:rsid w:val="00B431E8"/>
    <w:rsid w:val="00B43595"/>
    <w:rsid w:val="00B44837"/>
    <w:rsid w:val="00B45141"/>
    <w:rsid w:val="00B45CDD"/>
    <w:rsid w:val="00B462E8"/>
    <w:rsid w:val="00B479EA"/>
    <w:rsid w:val="00B51581"/>
    <w:rsid w:val="00B519CD"/>
    <w:rsid w:val="00B51BB9"/>
    <w:rsid w:val="00B5225D"/>
    <w:rsid w:val="00B5273A"/>
    <w:rsid w:val="00B5625A"/>
    <w:rsid w:val="00B57329"/>
    <w:rsid w:val="00B57E53"/>
    <w:rsid w:val="00B57EB9"/>
    <w:rsid w:val="00B57F6E"/>
    <w:rsid w:val="00B600EC"/>
    <w:rsid w:val="00B60E61"/>
    <w:rsid w:val="00B60F4C"/>
    <w:rsid w:val="00B61146"/>
    <w:rsid w:val="00B62AA9"/>
    <w:rsid w:val="00B62B50"/>
    <w:rsid w:val="00B635B7"/>
    <w:rsid w:val="00B63AE8"/>
    <w:rsid w:val="00B64FDC"/>
    <w:rsid w:val="00B65950"/>
    <w:rsid w:val="00B65CAD"/>
    <w:rsid w:val="00B65DE1"/>
    <w:rsid w:val="00B6674F"/>
    <w:rsid w:val="00B66D83"/>
    <w:rsid w:val="00B672C0"/>
    <w:rsid w:val="00B676FD"/>
    <w:rsid w:val="00B678B6"/>
    <w:rsid w:val="00B70D55"/>
    <w:rsid w:val="00B71380"/>
    <w:rsid w:val="00B75646"/>
    <w:rsid w:val="00B7629E"/>
    <w:rsid w:val="00B76FF0"/>
    <w:rsid w:val="00B77852"/>
    <w:rsid w:val="00B8071F"/>
    <w:rsid w:val="00B81DFF"/>
    <w:rsid w:val="00B8373D"/>
    <w:rsid w:val="00B86945"/>
    <w:rsid w:val="00B87766"/>
    <w:rsid w:val="00B904FC"/>
    <w:rsid w:val="00B90729"/>
    <w:rsid w:val="00B907DA"/>
    <w:rsid w:val="00B90B09"/>
    <w:rsid w:val="00B91217"/>
    <w:rsid w:val="00B913AF"/>
    <w:rsid w:val="00B91ED0"/>
    <w:rsid w:val="00B9218D"/>
    <w:rsid w:val="00B92F07"/>
    <w:rsid w:val="00B93105"/>
    <w:rsid w:val="00B93674"/>
    <w:rsid w:val="00B94BD6"/>
    <w:rsid w:val="00B94C5E"/>
    <w:rsid w:val="00B950BC"/>
    <w:rsid w:val="00B9530C"/>
    <w:rsid w:val="00B961C3"/>
    <w:rsid w:val="00B9714C"/>
    <w:rsid w:val="00B97266"/>
    <w:rsid w:val="00BA01B5"/>
    <w:rsid w:val="00BA128B"/>
    <w:rsid w:val="00BA1685"/>
    <w:rsid w:val="00BA1F5B"/>
    <w:rsid w:val="00BA2626"/>
    <w:rsid w:val="00BA26F6"/>
    <w:rsid w:val="00BA29AD"/>
    <w:rsid w:val="00BA3272"/>
    <w:rsid w:val="00BA33CF"/>
    <w:rsid w:val="00BA3F8D"/>
    <w:rsid w:val="00BA42DC"/>
    <w:rsid w:val="00BA7E94"/>
    <w:rsid w:val="00BB0034"/>
    <w:rsid w:val="00BB2359"/>
    <w:rsid w:val="00BB3A0C"/>
    <w:rsid w:val="00BB4486"/>
    <w:rsid w:val="00BB46FF"/>
    <w:rsid w:val="00BB5199"/>
    <w:rsid w:val="00BB53CA"/>
    <w:rsid w:val="00BB6D35"/>
    <w:rsid w:val="00BB74AC"/>
    <w:rsid w:val="00BB76E3"/>
    <w:rsid w:val="00BB7A10"/>
    <w:rsid w:val="00BC0B4D"/>
    <w:rsid w:val="00BC1213"/>
    <w:rsid w:val="00BC23CD"/>
    <w:rsid w:val="00BC2C23"/>
    <w:rsid w:val="00BC3C13"/>
    <w:rsid w:val="00BC4EC6"/>
    <w:rsid w:val="00BC5150"/>
    <w:rsid w:val="00BC57AD"/>
    <w:rsid w:val="00BC6035"/>
    <w:rsid w:val="00BC60BE"/>
    <w:rsid w:val="00BC674B"/>
    <w:rsid w:val="00BC67A7"/>
    <w:rsid w:val="00BC6BBC"/>
    <w:rsid w:val="00BC6FD4"/>
    <w:rsid w:val="00BC7468"/>
    <w:rsid w:val="00BC7D4F"/>
    <w:rsid w:val="00BC7ED7"/>
    <w:rsid w:val="00BD2850"/>
    <w:rsid w:val="00BD2A78"/>
    <w:rsid w:val="00BD3109"/>
    <w:rsid w:val="00BD5132"/>
    <w:rsid w:val="00BD517E"/>
    <w:rsid w:val="00BD5578"/>
    <w:rsid w:val="00BE00DC"/>
    <w:rsid w:val="00BE1ABE"/>
    <w:rsid w:val="00BE28D2"/>
    <w:rsid w:val="00BE375C"/>
    <w:rsid w:val="00BE4409"/>
    <w:rsid w:val="00BE4605"/>
    <w:rsid w:val="00BE47B5"/>
    <w:rsid w:val="00BE4A64"/>
    <w:rsid w:val="00BE5E43"/>
    <w:rsid w:val="00BE683A"/>
    <w:rsid w:val="00BE6B51"/>
    <w:rsid w:val="00BE6C2B"/>
    <w:rsid w:val="00BE77A8"/>
    <w:rsid w:val="00BF1133"/>
    <w:rsid w:val="00BF1298"/>
    <w:rsid w:val="00BF1300"/>
    <w:rsid w:val="00BF1AF1"/>
    <w:rsid w:val="00BF354B"/>
    <w:rsid w:val="00BF37F6"/>
    <w:rsid w:val="00BF46FB"/>
    <w:rsid w:val="00BF4898"/>
    <w:rsid w:val="00BF5415"/>
    <w:rsid w:val="00BF557D"/>
    <w:rsid w:val="00BF658D"/>
    <w:rsid w:val="00BF6647"/>
    <w:rsid w:val="00BF66FC"/>
    <w:rsid w:val="00BF69F5"/>
    <w:rsid w:val="00BF73E5"/>
    <w:rsid w:val="00BF7F58"/>
    <w:rsid w:val="00C01381"/>
    <w:rsid w:val="00C015BA"/>
    <w:rsid w:val="00C01897"/>
    <w:rsid w:val="00C01AB1"/>
    <w:rsid w:val="00C026A0"/>
    <w:rsid w:val="00C02713"/>
    <w:rsid w:val="00C0396F"/>
    <w:rsid w:val="00C054E3"/>
    <w:rsid w:val="00C05767"/>
    <w:rsid w:val="00C06137"/>
    <w:rsid w:val="00C06929"/>
    <w:rsid w:val="00C0779A"/>
    <w:rsid w:val="00C079B8"/>
    <w:rsid w:val="00C07EC8"/>
    <w:rsid w:val="00C10037"/>
    <w:rsid w:val="00C108A0"/>
    <w:rsid w:val="00C115E1"/>
    <w:rsid w:val="00C12289"/>
    <w:rsid w:val="00C123EA"/>
    <w:rsid w:val="00C12A49"/>
    <w:rsid w:val="00C12E94"/>
    <w:rsid w:val="00C13037"/>
    <w:rsid w:val="00C133EE"/>
    <w:rsid w:val="00C1450A"/>
    <w:rsid w:val="00C149D0"/>
    <w:rsid w:val="00C15D1E"/>
    <w:rsid w:val="00C164F0"/>
    <w:rsid w:val="00C240DB"/>
    <w:rsid w:val="00C2503E"/>
    <w:rsid w:val="00C26588"/>
    <w:rsid w:val="00C2697F"/>
    <w:rsid w:val="00C278F2"/>
    <w:rsid w:val="00C27DE9"/>
    <w:rsid w:val="00C30395"/>
    <w:rsid w:val="00C311E3"/>
    <w:rsid w:val="00C3126E"/>
    <w:rsid w:val="00C31819"/>
    <w:rsid w:val="00C3192B"/>
    <w:rsid w:val="00C32341"/>
    <w:rsid w:val="00C3251B"/>
    <w:rsid w:val="00C32967"/>
    <w:rsid w:val="00C32989"/>
    <w:rsid w:val="00C33388"/>
    <w:rsid w:val="00C35484"/>
    <w:rsid w:val="00C35B05"/>
    <w:rsid w:val="00C35B98"/>
    <w:rsid w:val="00C3694A"/>
    <w:rsid w:val="00C415EA"/>
    <w:rsid w:val="00C4173A"/>
    <w:rsid w:val="00C41EAE"/>
    <w:rsid w:val="00C464C5"/>
    <w:rsid w:val="00C4761E"/>
    <w:rsid w:val="00C476D9"/>
    <w:rsid w:val="00C47C0A"/>
    <w:rsid w:val="00C5070D"/>
    <w:rsid w:val="00C50B64"/>
    <w:rsid w:val="00C50DED"/>
    <w:rsid w:val="00C5220B"/>
    <w:rsid w:val="00C52217"/>
    <w:rsid w:val="00C5230C"/>
    <w:rsid w:val="00C53516"/>
    <w:rsid w:val="00C54D0F"/>
    <w:rsid w:val="00C5654B"/>
    <w:rsid w:val="00C56EB7"/>
    <w:rsid w:val="00C60183"/>
    <w:rsid w:val="00C602FF"/>
    <w:rsid w:val="00C60411"/>
    <w:rsid w:val="00C60823"/>
    <w:rsid w:val="00C60EE8"/>
    <w:rsid w:val="00C61174"/>
    <w:rsid w:val="00C6148F"/>
    <w:rsid w:val="00C61D10"/>
    <w:rsid w:val="00C621B1"/>
    <w:rsid w:val="00C6260A"/>
    <w:rsid w:val="00C62F7A"/>
    <w:rsid w:val="00C63B9C"/>
    <w:rsid w:val="00C642F6"/>
    <w:rsid w:val="00C658D1"/>
    <w:rsid w:val="00C6682F"/>
    <w:rsid w:val="00C670B6"/>
    <w:rsid w:val="00C67153"/>
    <w:rsid w:val="00C677C6"/>
    <w:rsid w:val="00C67BF4"/>
    <w:rsid w:val="00C70615"/>
    <w:rsid w:val="00C70E87"/>
    <w:rsid w:val="00C71A01"/>
    <w:rsid w:val="00C7275E"/>
    <w:rsid w:val="00C729D8"/>
    <w:rsid w:val="00C731AF"/>
    <w:rsid w:val="00C73A7A"/>
    <w:rsid w:val="00C74303"/>
    <w:rsid w:val="00C74C5D"/>
    <w:rsid w:val="00C76967"/>
    <w:rsid w:val="00C77B57"/>
    <w:rsid w:val="00C77CF5"/>
    <w:rsid w:val="00C81B84"/>
    <w:rsid w:val="00C82FD0"/>
    <w:rsid w:val="00C83446"/>
    <w:rsid w:val="00C835C1"/>
    <w:rsid w:val="00C83FFC"/>
    <w:rsid w:val="00C853A2"/>
    <w:rsid w:val="00C85ED3"/>
    <w:rsid w:val="00C863C4"/>
    <w:rsid w:val="00C90DAB"/>
    <w:rsid w:val="00C91025"/>
    <w:rsid w:val="00C920EA"/>
    <w:rsid w:val="00C92956"/>
    <w:rsid w:val="00C92C56"/>
    <w:rsid w:val="00C93242"/>
    <w:rsid w:val="00C93C3E"/>
    <w:rsid w:val="00C9509E"/>
    <w:rsid w:val="00C97E0C"/>
    <w:rsid w:val="00CA12E3"/>
    <w:rsid w:val="00CA1476"/>
    <w:rsid w:val="00CA460D"/>
    <w:rsid w:val="00CA46B5"/>
    <w:rsid w:val="00CA476E"/>
    <w:rsid w:val="00CA596C"/>
    <w:rsid w:val="00CA6611"/>
    <w:rsid w:val="00CA6AE6"/>
    <w:rsid w:val="00CA782F"/>
    <w:rsid w:val="00CB036C"/>
    <w:rsid w:val="00CB187B"/>
    <w:rsid w:val="00CB2835"/>
    <w:rsid w:val="00CB2ED2"/>
    <w:rsid w:val="00CB3285"/>
    <w:rsid w:val="00CB4500"/>
    <w:rsid w:val="00CB47A0"/>
    <w:rsid w:val="00CB4B48"/>
    <w:rsid w:val="00CB70D1"/>
    <w:rsid w:val="00CB7E4E"/>
    <w:rsid w:val="00CC0AF1"/>
    <w:rsid w:val="00CC0C72"/>
    <w:rsid w:val="00CC2351"/>
    <w:rsid w:val="00CC2A5C"/>
    <w:rsid w:val="00CC2BFD"/>
    <w:rsid w:val="00CC2C04"/>
    <w:rsid w:val="00CC554B"/>
    <w:rsid w:val="00CC66A7"/>
    <w:rsid w:val="00CC6F40"/>
    <w:rsid w:val="00CC73AE"/>
    <w:rsid w:val="00CC76BE"/>
    <w:rsid w:val="00CD08C6"/>
    <w:rsid w:val="00CD0FF1"/>
    <w:rsid w:val="00CD21FA"/>
    <w:rsid w:val="00CD3476"/>
    <w:rsid w:val="00CD3492"/>
    <w:rsid w:val="00CD3E5E"/>
    <w:rsid w:val="00CD49CE"/>
    <w:rsid w:val="00CD551F"/>
    <w:rsid w:val="00CD5A39"/>
    <w:rsid w:val="00CD5E54"/>
    <w:rsid w:val="00CD5EE3"/>
    <w:rsid w:val="00CD64DF"/>
    <w:rsid w:val="00CD68F9"/>
    <w:rsid w:val="00CD6AB9"/>
    <w:rsid w:val="00CD70D9"/>
    <w:rsid w:val="00CD761C"/>
    <w:rsid w:val="00CE1826"/>
    <w:rsid w:val="00CE225F"/>
    <w:rsid w:val="00CE29BC"/>
    <w:rsid w:val="00CE2ECD"/>
    <w:rsid w:val="00CE3376"/>
    <w:rsid w:val="00CE39FA"/>
    <w:rsid w:val="00CE5A7A"/>
    <w:rsid w:val="00CE5B58"/>
    <w:rsid w:val="00CE69B6"/>
    <w:rsid w:val="00CE69BB"/>
    <w:rsid w:val="00CE75D4"/>
    <w:rsid w:val="00CE7B70"/>
    <w:rsid w:val="00CE7BE2"/>
    <w:rsid w:val="00CF01AC"/>
    <w:rsid w:val="00CF111A"/>
    <w:rsid w:val="00CF17F5"/>
    <w:rsid w:val="00CF2523"/>
    <w:rsid w:val="00CF2A2F"/>
    <w:rsid w:val="00CF2E10"/>
    <w:rsid w:val="00CF2F50"/>
    <w:rsid w:val="00CF4899"/>
    <w:rsid w:val="00CF5884"/>
    <w:rsid w:val="00CF598A"/>
    <w:rsid w:val="00CF5A4C"/>
    <w:rsid w:val="00CF6198"/>
    <w:rsid w:val="00D01396"/>
    <w:rsid w:val="00D02173"/>
    <w:rsid w:val="00D02919"/>
    <w:rsid w:val="00D04717"/>
    <w:rsid w:val="00D04C61"/>
    <w:rsid w:val="00D05B8D"/>
    <w:rsid w:val="00D05B9B"/>
    <w:rsid w:val="00D05E5D"/>
    <w:rsid w:val="00D06265"/>
    <w:rsid w:val="00D065A2"/>
    <w:rsid w:val="00D06B2C"/>
    <w:rsid w:val="00D06F99"/>
    <w:rsid w:val="00D0743A"/>
    <w:rsid w:val="00D079AA"/>
    <w:rsid w:val="00D07BDE"/>
    <w:rsid w:val="00D07F00"/>
    <w:rsid w:val="00D1070A"/>
    <w:rsid w:val="00D1130F"/>
    <w:rsid w:val="00D114D6"/>
    <w:rsid w:val="00D12271"/>
    <w:rsid w:val="00D142BF"/>
    <w:rsid w:val="00D1619A"/>
    <w:rsid w:val="00D169B5"/>
    <w:rsid w:val="00D17557"/>
    <w:rsid w:val="00D17B72"/>
    <w:rsid w:val="00D20699"/>
    <w:rsid w:val="00D2497B"/>
    <w:rsid w:val="00D26007"/>
    <w:rsid w:val="00D26D68"/>
    <w:rsid w:val="00D2793E"/>
    <w:rsid w:val="00D27B89"/>
    <w:rsid w:val="00D27E48"/>
    <w:rsid w:val="00D30820"/>
    <w:rsid w:val="00D310D7"/>
    <w:rsid w:val="00D31375"/>
    <w:rsid w:val="00D3185C"/>
    <w:rsid w:val="00D3205F"/>
    <w:rsid w:val="00D3318E"/>
    <w:rsid w:val="00D33E72"/>
    <w:rsid w:val="00D3409F"/>
    <w:rsid w:val="00D3495E"/>
    <w:rsid w:val="00D34B46"/>
    <w:rsid w:val="00D35BD6"/>
    <w:rsid w:val="00D35DB7"/>
    <w:rsid w:val="00D35EBF"/>
    <w:rsid w:val="00D361B5"/>
    <w:rsid w:val="00D36ADF"/>
    <w:rsid w:val="00D4050C"/>
    <w:rsid w:val="00D40738"/>
    <w:rsid w:val="00D40F74"/>
    <w:rsid w:val="00D411A2"/>
    <w:rsid w:val="00D41B57"/>
    <w:rsid w:val="00D435B6"/>
    <w:rsid w:val="00D43E40"/>
    <w:rsid w:val="00D445DF"/>
    <w:rsid w:val="00D44DB5"/>
    <w:rsid w:val="00D4520B"/>
    <w:rsid w:val="00D45B56"/>
    <w:rsid w:val="00D4606D"/>
    <w:rsid w:val="00D46265"/>
    <w:rsid w:val="00D46CC0"/>
    <w:rsid w:val="00D50020"/>
    <w:rsid w:val="00D50B8E"/>
    <w:rsid w:val="00D50B9C"/>
    <w:rsid w:val="00D50C61"/>
    <w:rsid w:val="00D513AF"/>
    <w:rsid w:val="00D516A9"/>
    <w:rsid w:val="00D5187B"/>
    <w:rsid w:val="00D52297"/>
    <w:rsid w:val="00D52D73"/>
    <w:rsid w:val="00D52E58"/>
    <w:rsid w:val="00D5428F"/>
    <w:rsid w:val="00D547DA"/>
    <w:rsid w:val="00D5523A"/>
    <w:rsid w:val="00D55C68"/>
    <w:rsid w:val="00D56B20"/>
    <w:rsid w:val="00D57199"/>
    <w:rsid w:val="00D57435"/>
    <w:rsid w:val="00D578B3"/>
    <w:rsid w:val="00D60D61"/>
    <w:rsid w:val="00D618F4"/>
    <w:rsid w:val="00D62E93"/>
    <w:rsid w:val="00D63636"/>
    <w:rsid w:val="00D65AE8"/>
    <w:rsid w:val="00D67D40"/>
    <w:rsid w:val="00D70600"/>
    <w:rsid w:val="00D708E9"/>
    <w:rsid w:val="00D714CC"/>
    <w:rsid w:val="00D71BA2"/>
    <w:rsid w:val="00D71C20"/>
    <w:rsid w:val="00D71F79"/>
    <w:rsid w:val="00D74B09"/>
    <w:rsid w:val="00D75979"/>
    <w:rsid w:val="00D75EA7"/>
    <w:rsid w:val="00D7637A"/>
    <w:rsid w:val="00D76AA5"/>
    <w:rsid w:val="00D76C6F"/>
    <w:rsid w:val="00D76ECC"/>
    <w:rsid w:val="00D800CA"/>
    <w:rsid w:val="00D8168F"/>
    <w:rsid w:val="00D81ADF"/>
    <w:rsid w:val="00D81F21"/>
    <w:rsid w:val="00D82C61"/>
    <w:rsid w:val="00D83532"/>
    <w:rsid w:val="00D83591"/>
    <w:rsid w:val="00D837CE"/>
    <w:rsid w:val="00D84403"/>
    <w:rsid w:val="00D85428"/>
    <w:rsid w:val="00D864F2"/>
    <w:rsid w:val="00D8758B"/>
    <w:rsid w:val="00D87EFC"/>
    <w:rsid w:val="00D943F8"/>
    <w:rsid w:val="00D9474F"/>
    <w:rsid w:val="00D95111"/>
    <w:rsid w:val="00D95470"/>
    <w:rsid w:val="00D95545"/>
    <w:rsid w:val="00D96B55"/>
    <w:rsid w:val="00D97C56"/>
    <w:rsid w:val="00DA0081"/>
    <w:rsid w:val="00DA0EA0"/>
    <w:rsid w:val="00DA1738"/>
    <w:rsid w:val="00DA2619"/>
    <w:rsid w:val="00DA2C63"/>
    <w:rsid w:val="00DA347D"/>
    <w:rsid w:val="00DA4239"/>
    <w:rsid w:val="00DA5571"/>
    <w:rsid w:val="00DA588C"/>
    <w:rsid w:val="00DA65DE"/>
    <w:rsid w:val="00DA67D8"/>
    <w:rsid w:val="00DA738D"/>
    <w:rsid w:val="00DA7ED7"/>
    <w:rsid w:val="00DB0982"/>
    <w:rsid w:val="00DB0B61"/>
    <w:rsid w:val="00DB0F2C"/>
    <w:rsid w:val="00DB1474"/>
    <w:rsid w:val="00DB1DC5"/>
    <w:rsid w:val="00DB2962"/>
    <w:rsid w:val="00DB3CC9"/>
    <w:rsid w:val="00DB3DB7"/>
    <w:rsid w:val="00DB430A"/>
    <w:rsid w:val="00DB4D74"/>
    <w:rsid w:val="00DB52FB"/>
    <w:rsid w:val="00DB598E"/>
    <w:rsid w:val="00DB6B9C"/>
    <w:rsid w:val="00DB6BE8"/>
    <w:rsid w:val="00DB7529"/>
    <w:rsid w:val="00DC013B"/>
    <w:rsid w:val="00DC090B"/>
    <w:rsid w:val="00DC1601"/>
    <w:rsid w:val="00DC1679"/>
    <w:rsid w:val="00DC1887"/>
    <w:rsid w:val="00DC1995"/>
    <w:rsid w:val="00DC219B"/>
    <w:rsid w:val="00DC2BE2"/>
    <w:rsid w:val="00DC2CF1"/>
    <w:rsid w:val="00DC2DC7"/>
    <w:rsid w:val="00DC2EA0"/>
    <w:rsid w:val="00DC2F95"/>
    <w:rsid w:val="00DC3A7C"/>
    <w:rsid w:val="00DC4FCF"/>
    <w:rsid w:val="00DC50E0"/>
    <w:rsid w:val="00DC5F5D"/>
    <w:rsid w:val="00DC6131"/>
    <w:rsid w:val="00DC62DF"/>
    <w:rsid w:val="00DC6386"/>
    <w:rsid w:val="00DD08AF"/>
    <w:rsid w:val="00DD1130"/>
    <w:rsid w:val="00DD1951"/>
    <w:rsid w:val="00DD1E94"/>
    <w:rsid w:val="00DD1EAA"/>
    <w:rsid w:val="00DD34F7"/>
    <w:rsid w:val="00DD3A2D"/>
    <w:rsid w:val="00DD487D"/>
    <w:rsid w:val="00DD4E83"/>
    <w:rsid w:val="00DD52D0"/>
    <w:rsid w:val="00DD6628"/>
    <w:rsid w:val="00DD6892"/>
    <w:rsid w:val="00DD6945"/>
    <w:rsid w:val="00DE1840"/>
    <w:rsid w:val="00DE1986"/>
    <w:rsid w:val="00DE1A68"/>
    <w:rsid w:val="00DE2D04"/>
    <w:rsid w:val="00DE2FD2"/>
    <w:rsid w:val="00DE3250"/>
    <w:rsid w:val="00DE38A1"/>
    <w:rsid w:val="00DE6028"/>
    <w:rsid w:val="00DE6C85"/>
    <w:rsid w:val="00DE75AB"/>
    <w:rsid w:val="00DE78A3"/>
    <w:rsid w:val="00DE7AE8"/>
    <w:rsid w:val="00DE7F95"/>
    <w:rsid w:val="00DF07A5"/>
    <w:rsid w:val="00DF0A6E"/>
    <w:rsid w:val="00DF1A71"/>
    <w:rsid w:val="00DF3021"/>
    <w:rsid w:val="00DF4163"/>
    <w:rsid w:val="00DF4547"/>
    <w:rsid w:val="00DF50FC"/>
    <w:rsid w:val="00DF5EB2"/>
    <w:rsid w:val="00DF61A7"/>
    <w:rsid w:val="00DF62E9"/>
    <w:rsid w:val="00DF68C7"/>
    <w:rsid w:val="00DF731A"/>
    <w:rsid w:val="00E00AEF"/>
    <w:rsid w:val="00E00FDD"/>
    <w:rsid w:val="00E019D6"/>
    <w:rsid w:val="00E02F8F"/>
    <w:rsid w:val="00E03199"/>
    <w:rsid w:val="00E040AE"/>
    <w:rsid w:val="00E04E66"/>
    <w:rsid w:val="00E05C47"/>
    <w:rsid w:val="00E06B75"/>
    <w:rsid w:val="00E07945"/>
    <w:rsid w:val="00E11332"/>
    <w:rsid w:val="00E11352"/>
    <w:rsid w:val="00E118B2"/>
    <w:rsid w:val="00E11A97"/>
    <w:rsid w:val="00E1529B"/>
    <w:rsid w:val="00E170DC"/>
    <w:rsid w:val="00E17546"/>
    <w:rsid w:val="00E1767C"/>
    <w:rsid w:val="00E17D27"/>
    <w:rsid w:val="00E203D4"/>
    <w:rsid w:val="00E20A7B"/>
    <w:rsid w:val="00E20AB0"/>
    <w:rsid w:val="00E20D7B"/>
    <w:rsid w:val="00E210B5"/>
    <w:rsid w:val="00E2167D"/>
    <w:rsid w:val="00E24D1E"/>
    <w:rsid w:val="00E24D34"/>
    <w:rsid w:val="00E259B2"/>
    <w:rsid w:val="00E259FE"/>
    <w:rsid w:val="00E25FAC"/>
    <w:rsid w:val="00E261B3"/>
    <w:rsid w:val="00E2663B"/>
    <w:rsid w:val="00E26818"/>
    <w:rsid w:val="00E2719D"/>
    <w:rsid w:val="00E27AD9"/>
    <w:rsid w:val="00E27B06"/>
    <w:rsid w:val="00E27FFC"/>
    <w:rsid w:val="00E306BA"/>
    <w:rsid w:val="00E30B15"/>
    <w:rsid w:val="00E3145D"/>
    <w:rsid w:val="00E31952"/>
    <w:rsid w:val="00E326EB"/>
    <w:rsid w:val="00E33237"/>
    <w:rsid w:val="00E33CA3"/>
    <w:rsid w:val="00E358FA"/>
    <w:rsid w:val="00E35C64"/>
    <w:rsid w:val="00E3600D"/>
    <w:rsid w:val="00E3646A"/>
    <w:rsid w:val="00E37FF5"/>
    <w:rsid w:val="00E40181"/>
    <w:rsid w:val="00E42D7C"/>
    <w:rsid w:val="00E44714"/>
    <w:rsid w:val="00E449D1"/>
    <w:rsid w:val="00E4522F"/>
    <w:rsid w:val="00E45DD2"/>
    <w:rsid w:val="00E46D46"/>
    <w:rsid w:val="00E46EAA"/>
    <w:rsid w:val="00E473A4"/>
    <w:rsid w:val="00E47CD5"/>
    <w:rsid w:val="00E50C48"/>
    <w:rsid w:val="00E51D4C"/>
    <w:rsid w:val="00E5209F"/>
    <w:rsid w:val="00E537CB"/>
    <w:rsid w:val="00E54950"/>
    <w:rsid w:val="00E54A21"/>
    <w:rsid w:val="00E54C99"/>
    <w:rsid w:val="00E55887"/>
    <w:rsid w:val="00E55FB3"/>
    <w:rsid w:val="00E563ED"/>
    <w:rsid w:val="00E56A01"/>
    <w:rsid w:val="00E5735A"/>
    <w:rsid w:val="00E60A6F"/>
    <w:rsid w:val="00E61597"/>
    <w:rsid w:val="00E61F1A"/>
    <w:rsid w:val="00E61F74"/>
    <w:rsid w:val="00E62640"/>
    <w:rsid w:val="00E629A1"/>
    <w:rsid w:val="00E62BA2"/>
    <w:rsid w:val="00E62F5F"/>
    <w:rsid w:val="00E6465F"/>
    <w:rsid w:val="00E6548C"/>
    <w:rsid w:val="00E65B90"/>
    <w:rsid w:val="00E6794C"/>
    <w:rsid w:val="00E70154"/>
    <w:rsid w:val="00E70435"/>
    <w:rsid w:val="00E71415"/>
    <w:rsid w:val="00E71591"/>
    <w:rsid w:val="00E71CEB"/>
    <w:rsid w:val="00E72501"/>
    <w:rsid w:val="00E74515"/>
    <w:rsid w:val="00E7474F"/>
    <w:rsid w:val="00E74D06"/>
    <w:rsid w:val="00E75445"/>
    <w:rsid w:val="00E75DCD"/>
    <w:rsid w:val="00E77CB8"/>
    <w:rsid w:val="00E807F3"/>
    <w:rsid w:val="00E80DE3"/>
    <w:rsid w:val="00E813C0"/>
    <w:rsid w:val="00E81670"/>
    <w:rsid w:val="00E81E1A"/>
    <w:rsid w:val="00E81FE1"/>
    <w:rsid w:val="00E82C55"/>
    <w:rsid w:val="00E85F56"/>
    <w:rsid w:val="00E8674E"/>
    <w:rsid w:val="00E8787E"/>
    <w:rsid w:val="00E9036C"/>
    <w:rsid w:val="00E9042A"/>
    <w:rsid w:val="00E904D3"/>
    <w:rsid w:val="00E9246F"/>
    <w:rsid w:val="00E92AC3"/>
    <w:rsid w:val="00E93252"/>
    <w:rsid w:val="00E955D2"/>
    <w:rsid w:val="00E95EE6"/>
    <w:rsid w:val="00E970D7"/>
    <w:rsid w:val="00E97823"/>
    <w:rsid w:val="00EA2F6A"/>
    <w:rsid w:val="00EA3328"/>
    <w:rsid w:val="00EA3B0E"/>
    <w:rsid w:val="00EA3DE3"/>
    <w:rsid w:val="00EA4B00"/>
    <w:rsid w:val="00EA6259"/>
    <w:rsid w:val="00EA79A6"/>
    <w:rsid w:val="00EA7D6A"/>
    <w:rsid w:val="00EB00E0"/>
    <w:rsid w:val="00EB04A8"/>
    <w:rsid w:val="00EB0596"/>
    <w:rsid w:val="00EB05D5"/>
    <w:rsid w:val="00EB0A98"/>
    <w:rsid w:val="00EB1D7A"/>
    <w:rsid w:val="00EB2C85"/>
    <w:rsid w:val="00EB3041"/>
    <w:rsid w:val="00EB33F3"/>
    <w:rsid w:val="00EB3DE8"/>
    <w:rsid w:val="00EB4BC7"/>
    <w:rsid w:val="00EB56B9"/>
    <w:rsid w:val="00EB58C0"/>
    <w:rsid w:val="00EC03E1"/>
    <w:rsid w:val="00EC057F"/>
    <w:rsid w:val="00EC059F"/>
    <w:rsid w:val="00EC09FA"/>
    <w:rsid w:val="00EC1934"/>
    <w:rsid w:val="00EC1A8A"/>
    <w:rsid w:val="00EC1CF1"/>
    <w:rsid w:val="00EC1F24"/>
    <w:rsid w:val="00EC22F6"/>
    <w:rsid w:val="00EC23B1"/>
    <w:rsid w:val="00EC2CF3"/>
    <w:rsid w:val="00EC3DB9"/>
    <w:rsid w:val="00EC49CA"/>
    <w:rsid w:val="00EC6787"/>
    <w:rsid w:val="00EC6DF5"/>
    <w:rsid w:val="00EC6EC2"/>
    <w:rsid w:val="00EC77FF"/>
    <w:rsid w:val="00EC7836"/>
    <w:rsid w:val="00ED01A3"/>
    <w:rsid w:val="00ED0862"/>
    <w:rsid w:val="00ED0B2E"/>
    <w:rsid w:val="00ED19E8"/>
    <w:rsid w:val="00ED3DF1"/>
    <w:rsid w:val="00ED58B3"/>
    <w:rsid w:val="00ED5B9B"/>
    <w:rsid w:val="00ED669D"/>
    <w:rsid w:val="00ED6BAD"/>
    <w:rsid w:val="00ED7447"/>
    <w:rsid w:val="00ED7762"/>
    <w:rsid w:val="00EE00D6"/>
    <w:rsid w:val="00EE04B4"/>
    <w:rsid w:val="00EE11E7"/>
    <w:rsid w:val="00EE1488"/>
    <w:rsid w:val="00EE29AD"/>
    <w:rsid w:val="00EE2F67"/>
    <w:rsid w:val="00EE33E1"/>
    <w:rsid w:val="00EE3E24"/>
    <w:rsid w:val="00EE4D5D"/>
    <w:rsid w:val="00EE5131"/>
    <w:rsid w:val="00EE7B24"/>
    <w:rsid w:val="00EF091E"/>
    <w:rsid w:val="00EF0F5D"/>
    <w:rsid w:val="00EF109B"/>
    <w:rsid w:val="00EF19B7"/>
    <w:rsid w:val="00EF201C"/>
    <w:rsid w:val="00EF24EA"/>
    <w:rsid w:val="00EF24F8"/>
    <w:rsid w:val="00EF274A"/>
    <w:rsid w:val="00EF2C72"/>
    <w:rsid w:val="00EF36AF"/>
    <w:rsid w:val="00EF3821"/>
    <w:rsid w:val="00EF434F"/>
    <w:rsid w:val="00EF44F9"/>
    <w:rsid w:val="00EF532F"/>
    <w:rsid w:val="00EF59A3"/>
    <w:rsid w:val="00EF6675"/>
    <w:rsid w:val="00EF78DB"/>
    <w:rsid w:val="00F0063D"/>
    <w:rsid w:val="00F00F9C"/>
    <w:rsid w:val="00F0175F"/>
    <w:rsid w:val="00F01E5F"/>
    <w:rsid w:val="00F024F3"/>
    <w:rsid w:val="00F02ABA"/>
    <w:rsid w:val="00F02C9A"/>
    <w:rsid w:val="00F0437A"/>
    <w:rsid w:val="00F04546"/>
    <w:rsid w:val="00F045B5"/>
    <w:rsid w:val="00F05069"/>
    <w:rsid w:val="00F05909"/>
    <w:rsid w:val="00F0598F"/>
    <w:rsid w:val="00F05A29"/>
    <w:rsid w:val="00F066E6"/>
    <w:rsid w:val="00F06A02"/>
    <w:rsid w:val="00F07577"/>
    <w:rsid w:val="00F07870"/>
    <w:rsid w:val="00F0789A"/>
    <w:rsid w:val="00F101B8"/>
    <w:rsid w:val="00F11037"/>
    <w:rsid w:val="00F11276"/>
    <w:rsid w:val="00F12B2B"/>
    <w:rsid w:val="00F1565D"/>
    <w:rsid w:val="00F15AE6"/>
    <w:rsid w:val="00F1614B"/>
    <w:rsid w:val="00F16C02"/>
    <w:rsid w:val="00F16F1B"/>
    <w:rsid w:val="00F206C8"/>
    <w:rsid w:val="00F250A9"/>
    <w:rsid w:val="00F26028"/>
    <w:rsid w:val="00F267AF"/>
    <w:rsid w:val="00F27C98"/>
    <w:rsid w:val="00F3082A"/>
    <w:rsid w:val="00F30B63"/>
    <w:rsid w:val="00F30FF4"/>
    <w:rsid w:val="00F3122E"/>
    <w:rsid w:val="00F31F29"/>
    <w:rsid w:val="00F32368"/>
    <w:rsid w:val="00F327D3"/>
    <w:rsid w:val="00F328BA"/>
    <w:rsid w:val="00F331AD"/>
    <w:rsid w:val="00F331E7"/>
    <w:rsid w:val="00F33E35"/>
    <w:rsid w:val="00F33EB0"/>
    <w:rsid w:val="00F34636"/>
    <w:rsid w:val="00F35287"/>
    <w:rsid w:val="00F35417"/>
    <w:rsid w:val="00F35511"/>
    <w:rsid w:val="00F35F67"/>
    <w:rsid w:val="00F36020"/>
    <w:rsid w:val="00F3640D"/>
    <w:rsid w:val="00F37F0D"/>
    <w:rsid w:val="00F40019"/>
    <w:rsid w:val="00F40A70"/>
    <w:rsid w:val="00F42B18"/>
    <w:rsid w:val="00F43A37"/>
    <w:rsid w:val="00F4641B"/>
    <w:rsid w:val="00F467AF"/>
    <w:rsid w:val="00F46EB8"/>
    <w:rsid w:val="00F50CD1"/>
    <w:rsid w:val="00F511E4"/>
    <w:rsid w:val="00F5177A"/>
    <w:rsid w:val="00F5215D"/>
    <w:rsid w:val="00F52D09"/>
    <w:rsid w:val="00F52E08"/>
    <w:rsid w:val="00F52F51"/>
    <w:rsid w:val="00F53533"/>
    <w:rsid w:val="00F53A66"/>
    <w:rsid w:val="00F5462D"/>
    <w:rsid w:val="00F5512E"/>
    <w:rsid w:val="00F55322"/>
    <w:rsid w:val="00F5534B"/>
    <w:rsid w:val="00F55917"/>
    <w:rsid w:val="00F55B21"/>
    <w:rsid w:val="00F56CEE"/>
    <w:rsid w:val="00F56EF6"/>
    <w:rsid w:val="00F57EBE"/>
    <w:rsid w:val="00F60082"/>
    <w:rsid w:val="00F60765"/>
    <w:rsid w:val="00F61A9F"/>
    <w:rsid w:val="00F61B5F"/>
    <w:rsid w:val="00F62F8E"/>
    <w:rsid w:val="00F64696"/>
    <w:rsid w:val="00F6474C"/>
    <w:rsid w:val="00F64D1B"/>
    <w:rsid w:val="00F64DFE"/>
    <w:rsid w:val="00F65709"/>
    <w:rsid w:val="00F6571C"/>
    <w:rsid w:val="00F65AA9"/>
    <w:rsid w:val="00F670B8"/>
    <w:rsid w:val="00F67109"/>
    <w:rsid w:val="00F6768F"/>
    <w:rsid w:val="00F70C45"/>
    <w:rsid w:val="00F72A7F"/>
    <w:rsid w:val="00F72AF7"/>
    <w:rsid w:val="00F72C2C"/>
    <w:rsid w:val="00F72EA9"/>
    <w:rsid w:val="00F737D0"/>
    <w:rsid w:val="00F738B7"/>
    <w:rsid w:val="00F741F2"/>
    <w:rsid w:val="00F74456"/>
    <w:rsid w:val="00F746E8"/>
    <w:rsid w:val="00F76624"/>
    <w:rsid w:val="00F76B1A"/>
    <w:rsid w:val="00F76CAB"/>
    <w:rsid w:val="00F772C6"/>
    <w:rsid w:val="00F77B6A"/>
    <w:rsid w:val="00F806A8"/>
    <w:rsid w:val="00F815B5"/>
    <w:rsid w:val="00F838A7"/>
    <w:rsid w:val="00F845D9"/>
    <w:rsid w:val="00F85195"/>
    <w:rsid w:val="00F85E01"/>
    <w:rsid w:val="00F868E3"/>
    <w:rsid w:val="00F8692E"/>
    <w:rsid w:val="00F8758B"/>
    <w:rsid w:val="00F9041C"/>
    <w:rsid w:val="00F938BA"/>
    <w:rsid w:val="00F93D8F"/>
    <w:rsid w:val="00F94A10"/>
    <w:rsid w:val="00F94DF0"/>
    <w:rsid w:val="00F97919"/>
    <w:rsid w:val="00FA00DC"/>
    <w:rsid w:val="00FA02B3"/>
    <w:rsid w:val="00FA261E"/>
    <w:rsid w:val="00FA2C46"/>
    <w:rsid w:val="00FA3525"/>
    <w:rsid w:val="00FA411B"/>
    <w:rsid w:val="00FA4742"/>
    <w:rsid w:val="00FA4E40"/>
    <w:rsid w:val="00FA4E62"/>
    <w:rsid w:val="00FA5A53"/>
    <w:rsid w:val="00FA6D7E"/>
    <w:rsid w:val="00FB1F6E"/>
    <w:rsid w:val="00FB1FE6"/>
    <w:rsid w:val="00FB24A5"/>
    <w:rsid w:val="00FB27B8"/>
    <w:rsid w:val="00FB27BE"/>
    <w:rsid w:val="00FB3083"/>
    <w:rsid w:val="00FB3949"/>
    <w:rsid w:val="00FB4769"/>
    <w:rsid w:val="00FB4CDA"/>
    <w:rsid w:val="00FB6481"/>
    <w:rsid w:val="00FB6D36"/>
    <w:rsid w:val="00FB70FF"/>
    <w:rsid w:val="00FC0949"/>
    <w:rsid w:val="00FC0965"/>
    <w:rsid w:val="00FC0F81"/>
    <w:rsid w:val="00FC137A"/>
    <w:rsid w:val="00FC15C9"/>
    <w:rsid w:val="00FC1B06"/>
    <w:rsid w:val="00FC252F"/>
    <w:rsid w:val="00FC3312"/>
    <w:rsid w:val="00FC395C"/>
    <w:rsid w:val="00FC48C4"/>
    <w:rsid w:val="00FC568D"/>
    <w:rsid w:val="00FC5E8E"/>
    <w:rsid w:val="00FC627D"/>
    <w:rsid w:val="00FC7098"/>
    <w:rsid w:val="00FC7142"/>
    <w:rsid w:val="00FC78F5"/>
    <w:rsid w:val="00FD169C"/>
    <w:rsid w:val="00FD172E"/>
    <w:rsid w:val="00FD1F1D"/>
    <w:rsid w:val="00FD3766"/>
    <w:rsid w:val="00FD384B"/>
    <w:rsid w:val="00FD3D05"/>
    <w:rsid w:val="00FD411B"/>
    <w:rsid w:val="00FD47C4"/>
    <w:rsid w:val="00FD5E2E"/>
    <w:rsid w:val="00FD6ED9"/>
    <w:rsid w:val="00FE16B3"/>
    <w:rsid w:val="00FE2DCF"/>
    <w:rsid w:val="00FE2E92"/>
    <w:rsid w:val="00FE349B"/>
    <w:rsid w:val="00FE3FA7"/>
    <w:rsid w:val="00FE4081"/>
    <w:rsid w:val="00FE41D5"/>
    <w:rsid w:val="00FE4B1F"/>
    <w:rsid w:val="00FE4BDA"/>
    <w:rsid w:val="00FE7EC9"/>
    <w:rsid w:val="00FF0567"/>
    <w:rsid w:val="00FF05D6"/>
    <w:rsid w:val="00FF0D7A"/>
    <w:rsid w:val="00FF25D6"/>
    <w:rsid w:val="00FF29BB"/>
    <w:rsid w:val="00FF2A1F"/>
    <w:rsid w:val="00FF2A4E"/>
    <w:rsid w:val="00FF2FCE"/>
    <w:rsid w:val="00FF4F7D"/>
    <w:rsid w:val="00FF52D3"/>
    <w:rsid w:val="00FF541D"/>
    <w:rsid w:val="00FF6103"/>
    <w:rsid w:val="00FF6577"/>
    <w:rsid w:val="00FF6D9D"/>
    <w:rsid w:val="00FF7620"/>
    <w:rsid w:val="00FF7764"/>
    <w:rsid w:val="00FF7DD5"/>
    <w:rsid w:val="020810FA"/>
    <w:rsid w:val="02A74449"/>
    <w:rsid w:val="02A87DD1"/>
    <w:rsid w:val="02FF00F4"/>
    <w:rsid w:val="034DDBB9"/>
    <w:rsid w:val="03F88489"/>
    <w:rsid w:val="0446DF9D"/>
    <w:rsid w:val="0527B1BB"/>
    <w:rsid w:val="070062A6"/>
    <w:rsid w:val="07044598"/>
    <w:rsid w:val="07070910"/>
    <w:rsid w:val="07CD1E05"/>
    <w:rsid w:val="07F4F183"/>
    <w:rsid w:val="09A6F4E9"/>
    <w:rsid w:val="0B25E3A5"/>
    <w:rsid w:val="0B31EF1A"/>
    <w:rsid w:val="0B3B64A4"/>
    <w:rsid w:val="0B668CDF"/>
    <w:rsid w:val="0D639A99"/>
    <w:rsid w:val="0E0AB451"/>
    <w:rsid w:val="0E0DF916"/>
    <w:rsid w:val="0E72EB41"/>
    <w:rsid w:val="104BAD5A"/>
    <w:rsid w:val="11C3D92F"/>
    <w:rsid w:val="1468031C"/>
    <w:rsid w:val="147F566A"/>
    <w:rsid w:val="149AD07E"/>
    <w:rsid w:val="14BB3DB5"/>
    <w:rsid w:val="164C0980"/>
    <w:rsid w:val="16E04188"/>
    <w:rsid w:val="17CE3322"/>
    <w:rsid w:val="17E176F0"/>
    <w:rsid w:val="183A9F91"/>
    <w:rsid w:val="1A08DD33"/>
    <w:rsid w:val="1A37EB36"/>
    <w:rsid w:val="1BA7A64C"/>
    <w:rsid w:val="1C65AE45"/>
    <w:rsid w:val="1DB42269"/>
    <w:rsid w:val="1E257B39"/>
    <w:rsid w:val="1F362ECC"/>
    <w:rsid w:val="21585A4A"/>
    <w:rsid w:val="220C6734"/>
    <w:rsid w:val="232D79E4"/>
    <w:rsid w:val="23A0C7F4"/>
    <w:rsid w:val="2549E297"/>
    <w:rsid w:val="258AF723"/>
    <w:rsid w:val="27694700"/>
    <w:rsid w:val="27BDC18A"/>
    <w:rsid w:val="2983967C"/>
    <w:rsid w:val="2A12DF73"/>
    <w:rsid w:val="2A7D1228"/>
    <w:rsid w:val="2C444007"/>
    <w:rsid w:val="2CC8DD7D"/>
    <w:rsid w:val="2DAE5758"/>
    <w:rsid w:val="2DB36473"/>
    <w:rsid w:val="2FDD7348"/>
    <w:rsid w:val="3161BF9D"/>
    <w:rsid w:val="31D2997B"/>
    <w:rsid w:val="31D6344B"/>
    <w:rsid w:val="3254A389"/>
    <w:rsid w:val="34CF8BDC"/>
    <w:rsid w:val="36091007"/>
    <w:rsid w:val="3681F4E4"/>
    <w:rsid w:val="38613335"/>
    <w:rsid w:val="39B37A52"/>
    <w:rsid w:val="3A30A983"/>
    <w:rsid w:val="3AD99765"/>
    <w:rsid w:val="3B1A7436"/>
    <w:rsid w:val="3C019584"/>
    <w:rsid w:val="3DD00CD4"/>
    <w:rsid w:val="3ECC9B5D"/>
    <w:rsid w:val="3F671A63"/>
    <w:rsid w:val="3FA8B6B4"/>
    <w:rsid w:val="3FB46241"/>
    <w:rsid w:val="40CFC5E1"/>
    <w:rsid w:val="4279421A"/>
    <w:rsid w:val="4352E3BB"/>
    <w:rsid w:val="43AC9218"/>
    <w:rsid w:val="4443A662"/>
    <w:rsid w:val="4514B2CE"/>
    <w:rsid w:val="46415A08"/>
    <w:rsid w:val="466A1F0D"/>
    <w:rsid w:val="46E83378"/>
    <w:rsid w:val="47A9968A"/>
    <w:rsid w:val="47C2A093"/>
    <w:rsid w:val="483163F1"/>
    <w:rsid w:val="487419BB"/>
    <w:rsid w:val="48BB51CF"/>
    <w:rsid w:val="48E90E07"/>
    <w:rsid w:val="48FC4E84"/>
    <w:rsid w:val="4B27D2B4"/>
    <w:rsid w:val="4B314DA0"/>
    <w:rsid w:val="4B5CDEB0"/>
    <w:rsid w:val="4B81582F"/>
    <w:rsid w:val="4B9FC3D4"/>
    <w:rsid w:val="4C394F45"/>
    <w:rsid w:val="4D9E9D03"/>
    <w:rsid w:val="4DF3D750"/>
    <w:rsid w:val="4E41C4A8"/>
    <w:rsid w:val="50AB968B"/>
    <w:rsid w:val="518466BE"/>
    <w:rsid w:val="52DB7C55"/>
    <w:rsid w:val="53232FCB"/>
    <w:rsid w:val="53AF27C3"/>
    <w:rsid w:val="56248C03"/>
    <w:rsid w:val="569BD2B1"/>
    <w:rsid w:val="56C71A47"/>
    <w:rsid w:val="56F0E11A"/>
    <w:rsid w:val="574AA94D"/>
    <w:rsid w:val="57C9870C"/>
    <w:rsid w:val="5A18C9DD"/>
    <w:rsid w:val="5A1F5ACE"/>
    <w:rsid w:val="5A1FCB08"/>
    <w:rsid w:val="5ABEC687"/>
    <w:rsid w:val="5AD5F154"/>
    <w:rsid w:val="5DF82994"/>
    <w:rsid w:val="5E7F85F8"/>
    <w:rsid w:val="5EB4D27D"/>
    <w:rsid w:val="5F2F334A"/>
    <w:rsid w:val="605C4E68"/>
    <w:rsid w:val="608CE17D"/>
    <w:rsid w:val="61AA79D7"/>
    <w:rsid w:val="62A65769"/>
    <w:rsid w:val="63C744C6"/>
    <w:rsid w:val="64A6F1FF"/>
    <w:rsid w:val="65963E6D"/>
    <w:rsid w:val="67527CE7"/>
    <w:rsid w:val="67AEDF81"/>
    <w:rsid w:val="69F5E8C0"/>
    <w:rsid w:val="6A98FAB9"/>
    <w:rsid w:val="6D7E996F"/>
    <w:rsid w:val="6DD44707"/>
    <w:rsid w:val="6DE0E4CB"/>
    <w:rsid w:val="6E7E05BE"/>
    <w:rsid w:val="6FE37CBF"/>
    <w:rsid w:val="703898BA"/>
    <w:rsid w:val="70E3D265"/>
    <w:rsid w:val="71351281"/>
    <w:rsid w:val="721EC66B"/>
    <w:rsid w:val="723222C5"/>
    <w:rsid w:val="735F491D"/>
    <w:rsid w:val="74151FBC"/>
    <w:rsid w:val="7448B0AC"/>
    <w:rsid w:val="74E24F03"/>
    <w:rsid w:val="75604365"/>
    <w:rsid w:val="75A4FEC0"/>
    <w:rsid w:val="7677ABD0"/>
    <w:rsid w:val="768F4959"/>
    <w:rsid w:val="76C6E92A"/>
    <w:rsid w:val="7765299C"/>
    <w:rsid w:val="78FA58FC"/>
    <w:rsid w:val="79C9ECD3"/>
    <w:rsid w:val="79DB1A4A"/>
    <w:rsid w:val="7A009E66"/>
    <w:rsid w:val="7A2371DF"/>
    <w:rsid w:val="7A317DE6"/>
    <w:rsid w:val="7A501351"/>
    <w:rsid w:val="7A7DFCB9"/>
    <w:rsid w:val="7AB9FF6B"/>
    <w:rsid w:val="7B2C0400"/>
    <w:rsid w:val="7BA9D1E2"/>
    <w:rsid w:val="7DEA7569"/>
    <w:rsid w:val="7E56A8A8"/>
    <w:rsid w:val="7EE18281"/>
    <w:rsid w:val="7F5BAF67"/>
    <w:rsid w:val="7F9D2DF9"/>
    <w:rsid w:val="7FCA66C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BB718A"/>
  <w15:docId w15:val="{635DD572-8282-463B-8F70-88DB4063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977D59"/>
    <w:pPr>
      <w:keepNext/>
      <w:keepLines/>
      <w:spacing w:before="520" w:after="240" w:line="480" w:lineRule="atLeast"/>
      <w:outlineLvl w:val="0"/>
    </w:pPr>
    <w:rPr>
      <w:rFonts w:ascii="Arial" w:eastAsia="MS Gothic" w:hAnsi="Arial" w:cs="Arial"/>
      <w:bCs/>
      <w:color w:val="AF272F"/>
      <w:kern w:val="32"/>
      <w:sz w:val="44"/>
      <w:szCs w:val="44"/>
      <w:lang w:eastAsia="en-US"/>
    </w:rPr>
  </w:style>
  <w:style w:type="paragraph" w:styleId="Heading2">
    <w:name w:val="heading 2"/>
    <w:next w:val="Body"/>
    <w:link w:val="Heading2Char"/>
    <w:uiPriority w:val="1"/>
    <w:qFormat/>
    <w:rsid w:val="006C1F46"/>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basedOn w:val="Body"/>
    <w:next w:val="Body"/>
    <w:link w:val="Heading3Char"/>
    <w:uiPriority w:val="1"/>
    <w:qFormat/>
    <w:rsid w:val="00FC78F5"/>
    <w:pPr>
      <w:outlineLvl w:val="2"/>
    </w:pPr>
    <w:rPr>
      <w:rFonts w:eastAsia="MS Gothic"/>
      <w:b/>
      <w:bCs/>
      <w:color w:val="53565A"/>
      <w:sz w:val="30"/>
      <w:szCs w:val="26"/>
      <w:lang w:val="en-US"/>
    </w:rPr>
  </w:style>
  <w:style w:type="paragraph" w:styleId="Heading4">
    <w:name w:val="heading 4"/>
    <w:next w:val="Body"/>
    <w:link w:val="Heading4Char"/>
    <w:uiPriority w:val="1"/>
    <w:qFormat/>
    <w:rsid w:val="006C1F46"/>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77D59"/>
    <w:rPr>
      <w:rFonts w:ascii="Arial" w:eastAsia="MS Gothic" w:hAnsi="Arial" w:cs="Arial"/>
      <w:bCs/>
      <w:color w:val="AF272F"/>
      <w:kern w:val="32"/>
      <w:sz w:val="44"/>
      <w:szCs w:val="44"/>
      <w:lang w:eastAsia="en-US"/>
    </w:rPr>
  </w:style>
  <w:style w:type="character" w:customStyle="1" w:styleId="Heading2Char">
    <w:name w:val="Heading 2 Char"/>
    <w:link w:val="Heading2"/>
    <w:uiPriority w:val="1"/>
    <w:rsid w:val="006C1F46"/>
    <w:rPr>
      <w:rFonts w:ascii="Arial" w:hAnsi="Arial"/>
      <w:b/>
      <w:color w:val="53565A"/>
      <w:sz w:val="32"/>
      <w:szCs w:val="28"/>
      <w:lang w:eastAsia="en-US"/>
    </w:rPr>
  </w:style>
  <w:style w:type="character" w:customStyle="1" w:styleId="Heading3Char">
    <w:name w:val="Heading 3 Char"/>
    <w:link w:val="Heading3"/>
    <w:uiPriority w:val="1"/>
    <w:rsid w:val="00FC78F5"/>
    <w:rPr>
      <w:rFonts w:ascii="Arial" w:eastAsia="MS Gothic" w:hAnsi="Arial"/>
      <w:b/>
      <w:bCs/>
      <w:color w:val="53565A"/>
      <w:sz w:val="30"/>
      <w:szCs w:val="26"/>
      <w:lang w:val="en-US" w:eastAsia="en-US"/>
    </w:rPr>
  </w:style>
  <w:style w:type="character" w:customStyle="1" w:styleId="Heading4Char">
    <w:name w:val="Heading 4 Char"/>
    <w:link w:val="Heading4"/>
    <w:uiPriority w:val="1"/>
    <w:rsid w:val="006C1F46"/>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6C1F46"/>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C1F46"/>
    <w:pPr>
      <w:spacing w:line="320" w:lineRule="atLeast"/>
    </w:pPr>
    <w:rPr>
      <w:color w:val="AF272F"/>
      <w:sz w:val="24"/>
    </w:rPr>
  </w:style>
  <w:style w:type="paragraph" w:styleId="Caption">
    <w:name w:val="caption"/>
    <w:basedOn w:val="Normal"/>
    <w:next w:val="Normal"/>
    <w:uiPriority w:val="35"/>
    <w:unhideWhenUsed/>
    <w:qFormat/>
    <w:rsid w:val="00156B1A"/>
    <w:pPr>
      <w:spacing w:after="200" w:line="240" w:lineRule="auto"/>
    </w:pPr>
    <w:rPr>
      <w:i/>
      <w:iCs/>
      <w:color w:val="1F497D" w:themeColor="text2"/>
      <w:sz w:val="18"/>
      <w:szCs w:val="18"/>
    </w:rPr>
  </w:style>
  <w:style w:type="paragraph" w:customStyle="1" w:styleId="TableParagraph">
    <w:name w:val="Table Paragraph"/>
    <w:basedOn w:val="Normal"/>
    <w:uiPriority w:val="1"/>
    <w:qFormat/>
    <w:rsid w:val="008F2AA4"/>
    <w:pPr>
      <w:widowControl w:val="0"/>
      <w:spacing w:after="0" w:line="240" w:lineRule="auto"/>
    </w:pPr>
    <w:rPr>
      <w:rFonts w:asciiTheme="minorHAnsi" w:eastAsiaTheme="minorHAnsi" w:hAnsiTheme="minorHAnsi" w:cstheme="minorBidi"/>
      <w:sz w:val="22"/>
      <w:szCs w:val="22"/>
      <w:lang w:val="en-US"/>
    </w:rPr>
  </w:style>
  <w:style w:type="paragraph" w:styleId="ListParagraph">
    <w:name w:val="List Paragraph"/>
    <w:basedOn w:val="Normal"/>
    <w:uiPriority w:val="72"/>
    <w:semiHidden/>
    <w:qFormat/>
    <w:rsid w:val="003F7E97"/>
    <w:pPr>
      <w:ind w:left="720"/>
      <w:contextualSpacing/>
    </w:pPr>
  </w:style>
  <w:style w:type="paragraph" w:styleId="BodyText">
    <w:name w:val="Body Text"/>
    <w:basedOn w:val="Normal"/>
    <w:link w:val="BodyTextChar"/>
    <w:uiPriority w:val="1"/>
    <w:qFormat/>
    <w:rsid w:val="00884D69"/>
    <w:pPr>
      <w:widowControl w:val="0"/>
      <w:spacing w:before="119" w:after="0" w:line="240" w:lineRule="auto"/>
      <w:ind w:left="103"/>
    </w:pPr>
    <w:rPr>
      <w:rFonts w:eastAsia="Arial" w:cstheme="minorBidi"/>
      <w:sz w:val="20"/>
      <w:lang w:val="en-US"/>
    </w:rPr>
  </w:style>
  <w:style w:type="character" w:customStyle="1" w:styleId="BodyTextChar">
    <w:name w:val="Body Text Char"/>
    <w:basedOn w:val="DefaultParagraphFont"/>
    <w:link w:val="BodyText"/>
    <w:uiPriority w:val="1"/>
    <w:rsid w:val="00884D69"/>
    <w:rPr>
      <w:rFonts w:ascii="Arial" w:eastAsia="Arial" w:hAnsi="Arial" w:cstheme="minorBidi"/>
      <w:lang w:val="en-US" w:eastAsia="en-US"/>
    </w:rPr>
  </w:style>
  <w:style w:type="paragraph" w:styleId="TableofFigures">
    <w:name w:val="table of figures"/>
    <w:basedOn w:val="Normal"/>
    <w:next w:val="Normal"/>
    <w:uiPriority w:val="99"/>
    <w:unhideWhenUsed/>
    <w:rsid w:val="00BA3272"/>
    <w:pPr>
      <w:spacing w:after="0"/>
    </w:pPr>
  </w:style>
  <w:style w:type="paragraph" w:customStyle="1" w:styleId="DHHSbody">
    <w:name w:val="DHHS body"/>
    <w:link w:val="DHHSbodyChar"/>
    <w:qFormat/>
    <w:rsid w:val="003870D6"/>
    <w:pPr>
      <w:spacing w:after="120" w:line="270" w:lineRule="atLeast"/>
    </w:pPr>
    <w:rPr>
      <w:rFonts w:ascii="Arial" w:eastAsia="Times" w:hAnsi="Arial"/>
      <w:lang w:eastAsia="en-US"/>
    </w:rPr>
  </w:style>
  <w:style w:type="paragraph" w:customStyle="1" w:styleId="DHHSnumberloweralpha">
    <w:name w:val="DHHS number lower alpha"/>
    <w:basedOn w:val="DHHSbody"/>
    <w:uiPriority w:val="3"/>
    <w:rsid w:val="003870D6"/>
    <w:pPr>
      <w:numPr>
        <w:ilvl w:val="2"/>
        <w:numId w:val="11"/>
      </w:numPr>
      <w:tabs>
        <w:tab w:val="clear" w:pos="397"/>
      </w:tabs>
      <w:ind w:left="0" w:firstLine="0"/>
    </w:pPr>
  </w:style>
  <w:style w:type="paragraph" w:customStyle="1" w:styleId="DHHSnumberloweralphaindent">
    <w:name w:val="DHHS number lower alpha indent"/>
    <w:basedOn w:val="DHHSbody"/>
    <w:uiPriority w:val="3"/>
    <w:rsid w:val="003870D6"/>
    <w:pPr>
      <w:numPr>
        <w:ilvl w:val="3"/>
        <w:numId w:val="11"/>
      </w:numPr>
      <w:tabs>
        <w:tab w:val="clear" w:pos="794"/>
      </w:tabs>
      <w:ind w:left="0" w:firstLine="0"/>
    </w:pPr>
  </w:style>
  <w:style w:type="paragraph" w:customStyle="1" w:styleId="DHHSnumberdigit">
    <w:name w:val="DHHS number digit"/>
    <w:basedOn w:val="DHHSbody"/>
    <w:uiPriority w:val="2"/>
    <w:rsid w:val="003870D6"/>
    <w:pPr>
      <w:numPr>
        <w:numId w:val="11"/>
      </w:numPr>
      <w:tabs>
        <w:tab w:val="clear" w:pos="397"/>
      </w:tabs>
      <w:ind w:left="227" w:hanging="227"/>
    </w:pPr>
  </w:style>
  <w:style w:type="numbering" w:customStyle="1" w:styleId="ZZNumbers">
    <w:name w:val="ZZ Numbers"/>
    <w:rsid w:val="003870D6"/>
    <w:pPr>
      <w:numPr>
        <w:numId w:val="11"/>
      </w:numPr>
    </w:pPr>
  </w:style>
  <w:style w:type="paragraph" w:customStyle="1" w:styleId="DHHSnumberlowerroman">
    <w:name w:val="DHHS number lower roman"/>
    <w:basedOn w:val="DHHSbody"/>
    <w:uiPriority w:val="3"/>
    <w:rsid w:val="003870D6"/>
    <w:pPr>
      <w:numPr>
        <w:ilvl w:val="4"/>
        <w:numId w:val="11"/>
      </w:numPr>
      <w:tabs>
        <w:tab w:val="clear" w:pos="397"/>
      </w:tabs>
      <w:ind w:left="0" w:firstLine="0"/>
    </w:pPr>
  </w:style>
  <w:style w:type="paragraph" w:customStyle="1" w:styleId="DHHSnumberlowerromanindent">
    <w:name w:val="DHHS number lower roman indent"/>
    <w:basedOn w:val="DHHSbody"/>
    <w:uiPriority w:val="3"/>
    <w:rsid w:val="003870D6"/>
    <w:pPr>
      <w:numPr>
        <w:ilvl w:val="5"/>
        <w:numId w:val="11"/>
      </w:numPr>
      <w:tabs>
        <w:tab w:val="clear" w:pos="794"/>
      </w:tabs>
      <w:ind w:left="0" w:firstLine="0"/>
    </w:pPr>
  </w:style>
  <w:style w:type="paragraph" w:customStyle="1" w:styleId="DHHSnumberdigitindent">
    <w:name w:val="DHHS number digit indent"/>
    <w:basedOn w:val="DHHSnumberloweralphaindent"/>
    <w:uiPriority w:val="3"/>
    <w:rsid w:val="003870D6"/>
    <w:pPr>
      <w:numPr>
        <w:ilvl w:val="1"/>
      </w:numPr>
      <w:tabs>
        <w:tab w:val="clear" w:pos="794"/>
        <w:tab w:val="num" w:pos="227"/>
      </w:tabs>
      <w:ind w:left="454" w:hanging="227"/>
    </w:pPr>
  </w:style>
  <w:style w:type="character" w:customStyle="1" w:styleId="DHHSbodyChar">
    <w:name w:val="DHHS body Char"/>
    <w:link w:val="DHHSbody"/>
    <w:locked/>
    <w:rsid w:val="003870D6"/>
    <w:rPr>
      <w:rFonts w:ascii="Arial" w:eastAsia="Times" w:hAnsi="Arial"/>
      <w:lang w:eastAsia="en-US"/>
    </w:rPr>
  </w:style>
  <w:style w:type="character" w:styleId="Mention">
    <w:name w:val="Mention"/>
    <w:basedOn w:val="DefaultParagraphFont"/>
    <w:uiPriority w:val="99"/>
    <w:unhideWhenUsed/>
    <w:rsid w:val="002870BF"/>
    <w:rPr>
      <w:color w:val="2B579A"/>
      <w:shd w:val="clear" w:color="auto" w:fill="E1DFDD"/>
    </w:rPr>
  </w:style>
  <w:style w:type="character" w:customStyle="1" w:styleId="normaltextrun">
    <w:name w:val="normaltextrun"/>
    <w:basedOn w:val="DefaultParagraphFont"/>
    <w:rsid w:val="005613B8"/>
  </w:style>
  <w:style w:type="character" w:customStyle="1" w:styleId="eop">
    <w:name w:val="eop"/>
    <w:basedOn w:val="DefaultParagraphFont"/>
    <w:rsid w:val="005613B8"/>
  </w:style>
  <w:style w:type="paragraph" w:styleId="NormalWeb">
    <w:name w:val="Normal (Web)"/>
    <w:basedOn w:val="Normal"/>
    <w:uiPriority w:val="99"/>
    <w:semiHidden/>
    <w:unhideWhenUsed/>
    <w:rsid w:val="005B2961"/>
    <w:pPr>
      <w:spacing w:before="100" w:beforeAutospacing="1" w:after="100" w:afterAutospacing="1" w:line="240" w:lineRule="auto"/>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133">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0592264">
      <w:bodyDiv w:val="1"/>
      <w:marLeft w:val="0"/>
      <w:marRight w:val="0"/>
      <w:marTop w:val="0"/>
      <w:marBottom w:val="0"/>
      <w:divBdr>
        <w:top w:val="none" w:sz="0" w:space="0" w:color="auto"/>
        <w:left w:val="none" w:sz="0" w:space="0" w:color="auto"/>
        <w:bottom w:val="none" w:sz="0" w:space="0" w:color="auto"/>
        <w:right w:val="none" w:sz="0" w:space="0" w:color="auto"/>
      </w:divBdr>
    </w:div>
    <w:div w:id="64358717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7979442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391297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149135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33c502-030c-43db-90e0-03d88d6d0151">
      <UserInfo>
        <DisplayName>Kelly Sykes (Health)</DisplayName>
        <AccountId>52</AccountId>
        <AccountType/>
      </UserInfo>
      <UserInfo>
        <DisplayName>Stephanie Tran (Health)</DisplayName>
        <AccountId>83</AccountId>
        <AccountType/>
      </UserInfo>
      <UserInfo>
        <DisplayName>Hannah Macnish (Health)</DisplayName>
        <AccountId>63</AccountId>
        <AccountType/>
      </UserInfo>
      <UserInfo>
        <DisplayName>Jason Asselin (Health)</DisplayName>
        <AccountId>49</AccountId>
        <AccountType/>
      </UserInfo>
      <UserInfo>
        <DisplayName>Rebecca Gang (Health)</DisplayName>
        <AccountId>90</AccountId>
        <AccountType/>
      </UserInfo>
    </SharedWithUsers>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7" ma:contentTypeDescription="Create a new document." ma:contentTypeScope="" ma:versionID="216348d984f98991afedbf0a35816fe6">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1896f651a7ce67b34895c400a6c6c2ca"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d33c502-030c-43db-90e0-03d88d6d0151"/>
    <ds:schemaRef ds:uri="47e38451-04d3-4ba3-b385-7c061ba67f5a"/>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AAE3EDEA-A9F1-48EF-B175-8616CA1BD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18828</TotalTime>
  <Pages>32</Pages>
  <Words>7678</Words>
  <Characters>43769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51345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Indicators for the hepatitis B, hepatitis C, HIV and STI plans of the Victorian sexual and reproductive health and viral hepatitis strategy 2022–30</dc:title>
  <dc:subject/>
  <dc:creator>Community and Public Health</dc:creator>
  <cp:keywords/>
  <dc:description/>
  <cp:lastModifiedBy>Brendan Quinn (Health)</cp:lastModifiedBy>
  <cp:revision>71</cp:revision>
  <cp:lastPrinted>2025-11-19T04:10:00Z</cp:lastPrinted>
  <dcterms:created xsi:type="dcterms:W3CDTF">2025-10-09T03:35:00Z</dcterms:created>
  <dcterms:modified xsi:type="dcterms:W3CDTF">2025-11-19T04:10:00Z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0x010100C33D0C7B5DB48243899A425A906156C6</vt:lpwstr>
  </property>
  <property fmtid="{D5CDD505-2E9C-101B-9397-08002B2CF9AE}" pid="4" name="version">
    <vt:lpwstr>v5 15032021</vt:lpwstr>
  </property>
  <property fmtid="{D5CDD505-2E9C-101B-9397-08002B2CF9AE}" pid="5" name="Order">
    <vt:r8>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O365 portal">
    <vt:lpwstr>, </vt:lpwstr>
  </property>
  <property fmtid="{D5CDD505-2E9C-101B-9397-08002B2CF9AE}" pid="11" name="Category">
    <vt:lpwstr>Report</vt:lpwstr>
  </property>
  <property fmtid="{D5CDD505-2E9C-101B-9397-08002B2CF9AE}" pid="12" name="WebPage">
    <vt:lpwstr>https://dhhsvicgovau.sharepoint.com/:w:/s/health/Edem0jUXESFKmRIEH_shJ4oBCEs2Ae9BeRnBynNc3bsK9g, https://dhhsvicgovau.sharepoint.com/:w:/s/health/Edem0jUXESFKmRIEH_shJ4oBCEs2Ae9BeRnBynNc3bsK9g</vt:lpwstr>
  </property>
  <property fmtid="{D5CDD505-2E9C-101B-9397-08002B2CF9AE}" pid="13" name="Days before next review">
    <vt:r8>365</vt:r8>
  </property>
  <property fmtid="{D5CDD505-2E9C-101B-9397-08002B2CF9AE}" pid="14" name="_ExtendedDescription">
    <vt:lpwstr/>
  </property>
  <property fmtid="{D5CDD505-2E9C-101B-9397-08002B2CF9AE}" pid="15" name="_MarkAsFinal">
    <vt:lpwstr>true</vt:lpwstr>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2023-08-03T04:29:04Z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b7abcab9-6370-4c3e-9690-cb151c327198</vt:lpwstr>
  </property>
  <property fmtid="{D5CDD505-2E9C-101B-9397-08002B2CF9AE}" pid="23" name="MSIP_Label_43e64453-338c-4f93-8a4d-0039a0a41f2a_ContentBits">
    <vt:lpwstr>2</vt:lpwstr>
  </property>
  <property fmtid="{D5CDD505-2E9C-101B-9397-08002B2CF9AE}" pid="24" name="TriggerFlowInfo">
    <vt:lpwstr/>
  </property>
</Properties>
</file>