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A3F" w14:textId="47074153" w:rsidR="00B76D1A" w:rsidRDefault="00B76D1A" w:rsidP="00094752">
      <w:pPr>
        <w:pStyle w:val="Body"/>
        <w:rPr>
          <w:rFonts w:cs="Arial"/>
          <w:b/>
          <w:bCs/>
          <w:color w:val="0E2841" w:themeColor="text2"/>
          <w:sz w:val="48"/>
          <w:szCs w:val="48"/>
        </w:rPr>
      </w:pPr>
      <w:r>
        <w:rPr>
          <w:noProof/>
        </w:rPr>
        <w:drawing>
          <wp:anchor distT="0" distB="0" distL="114300" distR="114300" simplePos="0" relativeHeight="251658240" behindDoc="1" locked="1" layoutInCell="1" allowOverlap="0" wp14:anchorId="351104CD" wp14:editId="0DD656F9">
            <wp:simplePos x="0" y="0"/>
            <wp:positionH relativeFrom="page">
              <wp:align>right</wp:align>
            </wp:positionH>
            <wp:positionV relativeFrom="page">
              <wp:align>top</wp:align>
            </wp:positionV>
            <wp:extent cx="7772400" cy="10146665"/>
            <wp:effectExtent l="0" t="0" r="0"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772400" cy="10146665"/>
                    </a:xfrm>
                    <a:prstGeom prst="rect">
                      <a:avLst/>
                    </a:prstGeom>
                  </pic:spPr>
                </pic:pic>
              </a:graphicData>
            </a:graphic>
            <wp14:sizeRelH relativeFrom="margin">
              <wp14:pctWidth>0</wp14:pctWidth>
            </wp14:sizeRelH>
            <wp14:sizeRelV relativeFrom="margin">
              <wp14:pctHeight>0</wp14:pctHeight>
            </wp14:sizeRelV>
          </wp:anchor>
        </w:drawing>
      </w:r>
    </w:p>
    <w:p w14:paraId="42C3B2FC" w14:textId="77777777" w:rsidR="00B76D1A" w:rsidRDefault="00B76D1A" w:rsidP="004F6714">
      <w:pPr>
        <w:pStyle w:val="Title"/>
        <w:rPr>
          <w:rFonts w:ascii="Arial" w:hAnsi="Arial" w:cs="Arial"/>
          <w:b/>
          <w:bCs/>
          <w:color w:val="0E2841" w:themeColor="text2"/>
          <w:sz w:val="48"/>
          <w:szCs w:val="48"/>
        </w:rPr>
      </w:pPr>
    </w:p>
    <w:p w14:paraId="2CAA7520" w14:textId="77777777" w:rsidR="00F00B10" w:rsidRDefault="00F00B10" w:rsidP="00F00B10">
      <w:pPr>
        <w:pStyle w:val="Documenttitle"/>
      </w:pPr>
    </w:p>
    <w:p w14:paraId="6DC44704" w14:textId="7D65537F" w:rsidR="00B76D1A" w:rsidRDefault="004F6714" w:rsidP="00F00B10">
      <w:pPr>
        <w:pStyle w:val="Documenttitle"/>
      </w:pPr>
      <w:r w:rsidRPr="00F00B10">
        <w:t>V</w:t>
      </w:r>
      <w:r w:rsidR="00AB6D72" w:rsidRPr="00F00B10">
        <w:t xml:space="preserve">ictorian Health Services Performance Monitoring Framework </w:t>
      </w:r>
      <w:r w:rsidR="008B138F">
        <w:t>2025-26</w:t>
      </w:r>
    </w:p>
    <w:p w14:paraId="206A806A" w14:textId="45CA6928" w:rsidR="003D4711" w:rsidRPr="00E523F6" w:rsidRDefault="003D4711" w:rsidP="00E523F6">
      <w:pPr>
        <w:pStyle w:val="Bannermarking"/>
      </w:pPr>
      <w:r w:rsidRPr="003D4711">
        <w:t>OFFICIAL</w:t>
      </w:r>
    </w:p>
    <w:p w14:paraId="6F909B49" w14:textId="77777777" w:rsidR="00B76D1A" w:rsidRDefault="00B76D1A">
      <w:pPr>
        <w:spacing w:line="279" w:lineRule="auto"/>
        <w:rPr>
          <w:rFonts w:eastAsiaTheme="majorEastAsia"/>
          <w:b/>
          <w:bCs/>
          <w:color w:val="0E2841" w:themeColor="text2"/>
          <w:spacing w:val="-10"/>
          <w:kern w:val="28"/>
          <w:sz w:val="48"/>
          <w:szCs w:val="48"/>
        </w:rPr>
      </w:pPr>
      <w:r>
        <w:rPr>
          <w:b/>
          <w:bCs/>
          <w:color w:val="0E2841" w:themeColor="text2"/>
          <w:sz w:val="48"/>
          <w:szCs w:val="48"/>
        </w:rPr>
        <w:br w:type="page"/>
      </w:r>
    </w:p>
    <w:p w14:paraId="2DB53FB6" w14:textId="77777777" w:rsidR="002404C2" w:rsidRDefault="002404C2" w:rsidP="002404C2">
      <w:pPr>
        <w:pStyle w:val="DHHSaccessibilitypara"/>
      </w:pPr>
    </w:p>
    <w:p w14:paraId="1EB21F63" w14:textId="77777777" w:rsidR="002404C2" w:rsidRDefault="002404C2" w:rsidP="002404C2">
      <w:pPr>
        <w:pStyle w:val="DHHSaccessibilitypara"/>
      </w:pPr>
    </w:p>
    <w:p w14:paraId="4B00255F" w14:textId="77777777" w:rsidR="002404C2" w:rsidRDefault="002404C2" w:rsidP="002404C2">
      <w:pPr>
        <w:pStyle w:val="DHHSaccessibilitypara"/>
      </w:pPr>
    </w:p>
    <w:p w14:paraId="12B49898" w14:textId="77777777" w:rsidR="002404C2" w:rsidRDefault="002404C2" w:rsidP="002404C2">
      <w:pPr>
        <w:pStyle w:val="DHHSaccessibilitypara"/>
      </w:pPr>
    </w:p>
    <w:p w14:paraId="29241194" w14:textId="77777777" w:rsidR="002404C2" w:rsidRDefault="002404C2" w:rsidP="002404C2">
      <w:pPr>
        <w:pStyle w:val="DHHSaccessibilitypara"/>
      </w:pPr>
    </w:p>
    <w:p w14:paraId="417EECC4" w14:textId="77777777" w:rsidR="002404C2" w:rsidRDefault="002404C2" w:rsidP="002404C2">
      <w:pPr>
        <w:pStyle w:val="DHHSaccessibilitypara"/>
      </w:pPr>
    </w:p>
    <w:p w14:paraId="6FBC1B53" w14:textId="77777777" w:rsidR="002404C2" w:rsidRDefault="002404C2" w:rsidP="002404C2">
      <w:pPr>
        <w:pStyle w:val="DHHSaccessibilitypara"/>
      </w:pPr>
    </w:p>
    <w:p w14:paraId="7850A68C" w14:textId="77777777" w:rsidR="002404C2" w:rsidRDefault="002404C2" w:rsidP="002404C2">
      <w:pPr>
        <w:pStyle w:val="DHHSaccessibilitypara"/>
      </w:pPr>
    </w:p>
    <w:p w14:paraId="5A2E4327" w14:textId="77777777" w:rsidR="002404C2" w:rsidRDefault="002404C2" w:rsidP="002404C2">
      <w:pPr>
        <w:pStyle w:val="DHHSaccessibilitypara"/>
      </w:pPr>
    </w:p>
    <w:p w14:paraId="2AAB7C49" w14:textId="77777777" w:rsidR="002404C2" w:rsidRDefault="002404C2" w:rsidP="002404C2">
      <w:pPr>
        <w:pStyle w:val="DHHSaccessibilitypara"/>
      </w:pPr>
    </w:p>
    <w:p w14:paraId="1A6133CB" w14:textId="77777777" w:rsidR="002404C2" w:rsidRDefault="002404C2" w:rsidP="002404C2">
      <w:pPr>
        <w:pStyle w:val="DHHSaccessibilitypara"/>
      </w:pPr>
    </w:p>
    <w:p w14:paraId="69AD23B5" w14:textId="77777777" w:rsidR="002404C2" w:rsidRDefault="002404C2" w:rsidP="002404C2">
      <w:pPr>
        <w:pStyle w:val="DHHSaccessibilitypara"/>
      </w:pPr>
    </w:p>
    <w:p w14:paraId="5565AF57" w14:textId="77777777" w:rsidR="002404C2" w:rsidRDefault="002404C2" w:rsidP="002404C2">
      <w:pPr>
        <w:pStyle w:val="DHHSaccessibilitypara"/>
      </w:pPr>
    </w:p>
    <w:p w14:paraId="3BC9F449" w14:textId="6AF701FE" w:rsidR="002404C2" w:rsidRPr="006175D2" w:rsidRDefault="002404C2" w:rsidP="002404C2">
      <w:pPr>
        <w:pStyle w:val="DHHSaccessibilitypara"/>
      </w:pPr>
      <w:r w:rsidRPr="00605B5B">
        <w:t xml:space="preserve">To receive this publication in an accessible </w:t>
      </w:r>
      <w:r w:rsidRPr="006175D2">
        <w:t>format phone 9096 7120 using the National Relay Service 13 36 77 if required, or email</w:t>
      </w:r>
      <w:r>
        <w:t xml:space="preserve"> </w:t>
      </w:r>
      <w:hyperlink r:id="rId12" w:history="1">
        <w:r w:rsidRPr="00686A71">
          <w:rPr>
            <w:rStyle w:val="Hyperlink"/>
          </w:rPr>
          <w:t xml:space="preserve"> Accountability</w:t>
        </w:r>
      </w:hyperlink>
      <w:r>
        <w:t xml:space="preserve"> &lt;accountability</w:t>
      </w:r>
      <w:r w:rsidRPr="00E41295">
        <w:t>@</w:t>
      </w:r>
      <w:r>
        <w:t>health</w:t>
      </w:r>
      <w:r w:rsidRPr="00E41295">
        <w:t>.vic.gov.au</w:t>
      </w:r>
      <w:r>
        <w:t>&gt;</w:t>
      </w:r>
    </w:p>
    <w:p w14:paraId="4DAD5EA0" w14:textId="77777777" w:rsidR="002404C2" w:rsidRPr="00605B5B" w:rsidRDefault="002404C2" w:rsidP="002404C2">
      <w:pPr>
        <w:pStyle w:val="DHHSbody"/>
      </w:pPr>
      <w:r w:rsidRPr="00605B5B">
        <w:t>Authorised and published by the Victorian Governmen</w:t>
      </w:r>
      <w:r>
        <w:t>t, 1 Treasury Place, Melbourne.</w:t>
      </w:r>
    </w:p>
    <w:p w14:paraId="0F13EC41" w14:textId="57E77E77" w:rsidR="002404C2" w:rsidRDefault="002404C2" w:rsidP="002404C2">
      <w:pPr>
        <w:pStyle w:val="DHHSbody"/>
      </w:pPr>
      <w:r w:rsidRPr="00605B5B">
        <w:t>© State of Victoria, Department of Health</w:t>
      </w:r>
      <w:r>
        <w:t>,</w:t>
      </w:r>
      <w:r w:rsidRPr="00605B5B">
        <w:t xml:space="preserve"> </w:t>
      </w:r>
      <w:r w:rsidR="005A0806" w:rsidRPr="005A0806">
        <w:t xml:space="preserve">August </w:t>
      </w:r>
      <w:r w:rsidRPr="005A0806">
        <w:t>202</w:t>
      </w:r>
      <w:r w:rsidR="008F4824" w:rsidRPr="005A0806">
        <w:t>5</w:t>
      </w:r>
      <w:r w:rsidRPr="005A0806">
        <w:t>.</w:t>
      </w:r>
    </w:p>
    <w:p w14:paraId="0A5B4213" w14:textId="713C7372" w:rsidR="002404C2" w:rsidRPr="006175D2" w:rsidRDefault="002404C2" w:rsidP="002404C2">
      <w:pPr>
        <w:pStyle w:val="DHHSbody"/>
      </w:pPr>
      <w:bookmarkStart w:id="0" w:name="_Hlk9356611"/>
      <w:r w:rsidRPr="0034212B">
        <w:t xml:space="preserve">This publication is copyright. Apart from any use permitted under the </w:t>
      </w:r>
      <w:r w:rsidRPr="0034212B">
        <w:rPr>
          <w:i/>
        </w:rPr>
        <w:t>Copyright Act 1968</w:t>
      </w:r>
      <w:r w:rsidRPr="0034212B">
        <w:t xml:space="preserve"> (Cth), no part may be reproduced by any process, nor may any other exclusive right be exercised, without the permission of the Department of Health, </w:t>
      </w:r>
      <w:r w:rsidRPr="00D5203A">
        <w:t>202</w:t>
      </w:r>
      <w:r w:rsidR="008F4824">
        <w:t>5</w:t>
      </w:r>
      <w:r w:rsidRPr="00D5203A">
        <w:t>.</w:t>
      </w:r>
    </w:p>
    <w:bookmarkEnd w:id="0"/>
    <w:p w14:paraId="6A0278D0" w14:textId="51790CF3" w:rsidR="002404C2" w:rsidRPr="00BF4A9C" w:rsidRDefault="00BE1EB9" w:rsidP="002404C2">
      <w:pPr>
        <w:pStyle w:val="DHHSbody"/>
      </w:pPr>
      <w:r>
        <w:t>`</w:t>
      </w:r>
      <w:r w:rsidR="002404C2" w:rsidRPr="008B7F62">
        <w:t>ISSN 2209-4172</w:t>
      </w:r>
      <w:r w:rsidR="002404C2" w:rsidRPr="002E4CC9">
        <w:t xml:space="preserve"> – Online (pdf / word)</w:t>
      </w:r>
    </w:p>
    <w:p w14:paraId="7BE1C051" w14:textId="77777777" w:rsidR="002404C2" w:rsidRDefault="002404C2" w:rsidP="002404C2">
      <w:pPr>
        <w:pStyle w:val="DHHSbody"/>
      </w:pPr>
      <w:r w:rsidRPr="00605B5B">
        <w:rPr>
          <w:szCs w:val="19"/>
        </w:rPr>
        <w:t xml:space="preserve">Available at </w:t>
      </w:r>
      <w:hyperlink r:id="rId13" w:history="1">
        <w:r w:rsidRPr="00B177DF">
          <w:rPr>
            <w:rStyle w:val="Hyperlink"/>
            <w:szCs w:val="19"/>
          </w:rPr>
          <w:t>Funding, performance and accountability webpage</w:t>
        </w:r>
      </w:hyperlink>
      <w:r w:rsidRPr="00B177DF">
        <w:rPr>
          <w:szCs w:val="19"/>
        </w:rPr>
        <w:t xml:space="preserve"> &lt;</w:t>
      </w:r>
      <w:r w:rsidRPr="00B177DF">
        <w:t>https</w:t>
      </w:r>
      <w:r w:rsidRPr="00591E9C">
        <w:t>://www.health.vic.gov.au/hospitals-and-health-services/funding-performance-and-accountability</w:t>
      </w:r>
      <w:r>
        <w:t>&gt;</w:t>
      </w:r>
    </w:p>
    <w:p w14:paraId="006311DE" w14:textId="31C850B6" w:rsidR="001944FC" w:rsidRDefault="001944FC">
      <w:pPr>
        <w:spacing w:line="279" w:lineRule="auto"/>
        <w:rPr>
          <w:rFonts w:eastAsiaTheme="majorEastAsia"/>
          <w:b/>
          <w:bCs/>
          <w:color w:val="0E2841" w:themeColor="text2"/>
          <w:spacing w:val="-10"/>
          <w:kern w:val="28"/>
          <w:sz w:val="48"/>
          <w:szCs w:val="48"/>
        </w:rPr>
      </w:pPr>
      <w:r>
        <w:rPr>
          <w:b/>
          <w:bCs/>
          <w:color w:val="0E2841" w:themeColor="text2"/>
          <w:sz w:val="48"/>
          <w:szCs w:val="48"/>
        </w:rPr>
        <w:br w:type="page"/>
      </w:r>
    </w:p>
    <w:p w14:paraId="6CCD12BB" w14:textId="77777777" w:rsidR="007779A9" w:rsidRPr="009A67EB" w:rsidRDefault="007779A9" w:rsidP="004F6714">
      <w:pPr>
        <w:pStyle w:val="Title"/>
        <w:rPr>
          <w:rFonts w:ascii="Arial" w:hAnsi="Arial" w:cs="Arial"/>
          <w:b/>
          <w:bCs/>
          <w:color w:val="0E2841" w:themeColor="text2"/>
          <w:sz w:val="4"/>
          <w:szCs w:val="4"/>
        </w:rPr>
      </w:pPr>
    </w:p>
    <w:bookmarkStart w:id="1" w:name="_Toc167215676" w:displacedByCustomXml="next"/>
    <w:bookmarkStart w:id="2" w:name="_Toc167215579" w:displacedByCustomXml="next"/>
    <w:sdt>
      <w:sdtPr>
        <w:rPr>
          <w:rFonts w:ascii="Arial" w:eastAsiaTheme="minorEastAsia" w:hAnsi="Arial" w:cs="Arial"/>
          <w:color w:val="auto"/>
          <w:sz w:val="20"/>
          <w:szCs w:val="20"/>
          <w:lang w:eastAsia="ja-JP"/>
        </w:rPr>
        <w:id w:val="786980174"/>
        <w:docPartObj>
          <w:docPartGallery w:val="Table of Contents"/>
          <w:docPartUnique/>
        </w:docPartObj>
      </w:sdtPr>
      <w:sdtEndPr/>
      <w:sdtContent>
        <w:p w14:paraId="7F0A31BC" w14:textId="603DFE00" w:rsidR="005575AF" w:rsidRPr="00D4027B" w:rsidRDefault="005575AF">
          <w:pPr>
            <w:pStyle w:val="TOCHeading"/>
            <w:rPr>
              <w:rFonts w:ascii="Arial" w:eastAsia="MS Gothic" w:hAnsi="Arial" w:cs="Arial"/>
              <w:bCs/>
              <w:color w:val="201547"/>
              <w:kern w:val="32"/>
              <w:sz w:val="44"/>
              <w:szCs w:val="44"/>
              <w:lang w:val="en-AU"/>
            </w:rPr>
          </w:pPr>
          <w:r w:rsidRPr="00D4027B">
            <w:rPr>
              <w:rFonts w:ascii="Arial" w:eastAsia="MS Gothic" w:hAnsi="Arial" w:cs="Arial"/>
              <w:bCs/>
              <w:color w:val="201547"/>
              <w:kern w:val="32"/>
              <w:sz w:val="44"/>
              <w:szCs w:val="44"/>
              <w:lang w:val="en-AU"/>
            </w:rPr>
            <w:t>Contents</w:t>
          </w:r>
        </w:p>
        <w:p w14:paraId="4926F3C3" w14:textId="77777777" w:rsidR="009919B7" w:rsidRPr="009919B7" w:rsidRDefault="009919B7" w:rsidP="009919B7">
          <w:pPr>
            <w:rPr>
              <w:lang w:eastAsia="en-US"/>
            </w:rPr>
          </w:pPr>
        </w:p>
        <w:p w14:paraId="602454CD" w14:textId="26CF9AAA" w:rsidR="009B121D" w:rsidRDefault="346D7DB3">
          <w:pPr>
            <w:pStyle w:val="TOC1"/>
            <w:rPr>
              <w:rFonts w:asciiTheme="minorHAnsi" w:hAnsiTheme="minorHAnsi" w:cstheme="minorBidi"/>
              <w:noProof/>
              <w:kern w:val="2"/>
              <w:sz w:val="24"/>
              <w:szCs w:val="24"/>
              <w:lang w:val="en-AU" w:eastAsia="en-AU"/>
              <w14:ligatures w14:val="standardContextual"/>
            </w:rPr>
          </w:pPr>
          <w:r>
            <w:fldChar w:fldCharType="begin"/>
          </w:r>
          <w:r w:rsidR="005575AF">
            <w:instrText>TOC \o "1-3" \z \u \h</w:instrText>
          </w:r>
          <w:r>
            <w:fldChar w:fldCharType="separate"/>
          </w:r>
          <w:hyperlink w:anchor="_Toc211343271" w:history="1">
            <w:r w:rsidR="009B121D" w:rsidRPr="008F3D34">
              <w:rPr>
                <w:rStyle w:val="Hyperlink"/>
                <w:noProof/>
              </w:rPr>
              <w:t>Overview</w:t>
            </w:r>
            <w:r w:rsidR="009B121D">
              <w:rPr>
                <w:noProof/>
                <w:webHidden/>
              </w:rPr>
              <w:tab/>
            </w:r>
            <w:r w:rsidR="009B121D">
              <w:rPr>
                <w:noProof/>
                <w:webHidden/>
              </w:rPr>
              <w:fldChar w:fldCharType="begin"/>
            </w:r>
            <w:r w:rsidR="009B121D">
              <w:rPr>
                <w:noProof/>
                <w:webHidden/>
              </w:rPr>
              <w:instrText xml:space="preserve"> PAGEREF _Toc211343271 \h </w:instrText>
            </w:r>
            <w:r w:rsidR="009B121D">
              <w:rPr>
                <w:noProof/>
                <w:webHidden/>
              </w:rPr>
            </w:r>
            <w:r w:rsidR="009B121D">
              <w:rPr>
                <w:noProof/>
                <w:webHidden/>
              </w:rPr>
              <w:fldChar w:fldCharType="separate"/>
            </w:r>
            <w:r w:rsidR="009B121D">
              <w:rPr>
                <w:noProof/>
                <w:webHidden/>
              </w:rPr>
              <w:t>5</w:t>
            </w:r>
            <w:r w:rsidR="009B121D">
              <w:rPr>
                <w:noProof/>
                <w:webHidden/>
              </w:rPr>
              <w:fldChar w:fldCharType="end"/>
            </w:r>
          </w:hyperlink>
        </w:p>
        <w:p w14:paraId="6CD614E3" w14:textId="4825BD85"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72" w:history="1">
            <w:r w:rsidRPr="008F3D34">
              <w:rPr>
                <w:rStyle w:val="Hyperlink"/>
                <w:noProof/>
              </w:rPr>
              <w:t>1.</w:t>
            </w:r>
            <w:r>
              <w:rPr>
                <w:rFonts w:asciiTheme="minorHAnsi" w:hAnsiTheme="minorHAnsi" w:cstheme="minorBidi"/>
                <w:noProof/>
                <w:kern w:val="2"/>
                <w:sz w:val="24"/>
                <w:szCs w:val="24"/>
                <w:lang w:val="en-AU" w:eastAsia="en-AU"/>
                <w14:ligatures w14:val="standardContextual"/>
              </w:rPr>
              <w:tab/>
            </w:r>
            <w:r w:rsidRPr="008F3D34">
              <w:rPr>
                <w:rStyle w:val="Hyperlink"/>
                <w:noProof/>
              </w:rPr>
              <w:t>Scope of the Framework</w:t>
            </w:r>
            <w:r>
              <w:rPr>
                <w:noProof/>
                <w:webHidden/>
              </w:rPr>
              <w:tab/>
            </w:r>
            <w:r>
              <w:rPr>
                <w:noProof/>
                <w:webHidden/>
              </w:rPr>
              <w:fldChar w:fldCharType="begin"/>
            </w:r>
            <w:r>
              <w:rPr>
                <w:noProof/>
                <w:webHidden/>
              </w:rPr>
              <w:instrText xml:space="preserve"> PAGEREF _Toc211343272 \h </w:instrText>
            </w:r>
            <w:r>
              <w:rPr>
                <w:noProof/>
                <w:webHidden/>
              </w:rPr>
            </w:r>
            <w:r>
              <w:rPr>
                <w:noProof/>
                <w:webHidden/>
              </w:rPr>
              <w:fldChar w:fldCharType="separate"/>
            </w:r>
            <w:r>
              <w:rPr>
                <w:noProof/>
                <w:webHidden/>
              </w:rPr>
              <w:t>7</w:t>
            </w:r>
            <w:r>
              <w:rPr>
                <w:noProof/>
                <w:webHidden/>
              </w:rPr>
              <w:fldChar w:fldCharType="end"/>
            </w:r>
          </w:hyperlink>
        </w:p>
        <w:p w14:paraId="6BEC2F30" w14:textId="5674789F"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73" w:history="1">
            <w:r w:rsidRPr="008F3D34">
              <w:rPr>
                <w:rStyle w:val="Hyperlink"/>
                <w:noProof/>
              </w:rPr>
              <w:t>2.</w:t>
            </w:r>
            <w:r>
              <w:rPr>
                <w:rFonts w:asciiTheme="minorHAnsi" w:hAnsiTheme="minorHAnsi" w:cstheme="minorBidi"/>
                <w:noProof/>
                <w:kern w:val="2"/>
                <w:sz w:val="24"/>
                <w:szCs w:val="24"/>
                <w:lang w:val="en-AU" w:eastAsia="en-AU"/>
                <w14:ligatures w14:val="standardContextual"/>
              </w:rPr>
              <w:tab/>
            </w:r>
            <w:r w:rsidRPr="008F3D34">
              <w:rPr>
                <w:rStyle w:val="Hyperlink"/>
                <w:noProof/>
              </w:rPr>
              <w:t>Key components of the Framework</w:t>
            </w:r>
            <w:r>
              <w:rPr>
                <w:noProof/>
                <w:webHidden/>
              </w:rPr>
              <w:tab/>
            </w:r>
            <w:r>
              <w:rPr>
                <w:noProof/>
                <w:webHidden/>
              </w:rPr>
              <w:fldChar w:fldCharType="begin"/>
            </w:r>
            <w:r>
              <w:rPr>
                <w:noProof/>
                <w:webHidden/>
              </w:rPr>
              <w:instrText xml:space="preserve"> PAGEREF _Toc211343273 \h </w:instrText>
            </w:r>
            <w:r>
              <w:rPr>
                <w:noProof/>
                <w:webHidden/>
              </w:rPr>
            </w:r>
            <w:r>
              <w:rPr>
                <w:noProof/>
                <w:webHidden/>
              </w:rPr>
              <w:fldChar w:fldCharType="separate"/>
            </w:r>
            <w:r>
              <w:rPr>
                <w:noProof/>
                <w:webHidden/>
              </w:rPr>
              <w:t>8</w:t>
            </w:r>
            <w:r>
              <w:rPr>
                <w:noProof/>
                <w:webHidden/>
              </w:rPr>
              <w:fldChar w:fldCharType="end"/>
            </w:r>
          </w:hyperlink>
        </w:p>
        <w:p w14:paraId="5EDB45D6" w14:textId="4DD60623"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74" w:history="1">
            <w:r w:rsidRPr="008F3D34">
              <w:rPr>
                <w:rStyle w:val="Hyperlink"/>
                <w:noProof/>
              </w:rPr>
              <w:t>2.1</w:t>
            </w:r>
            <w:r>
              <w:rPr>
                <w:rFonts w:asciiTheme="minorHAnsi" w:hAnsiTheme="minorHAnsi" w:cstheme="minorBidi"/>
                <w:noProof/>
                <w:kern w:val="2"/>
                <w:sz w:val="24"/>
                <w:szCs w:val="24"/>
                <w:lang w:val="en-AU" w:eastAsia="en-AU"/>
                <w14:ligatures w14:val="standardContextual"/>
              </w:rPr>
              <w:tab/>
            </w:r>
            <w:r w:rsidRPr="008F3D34">
              <w:rPr>
                <w:rStyle w:val="Hyperlink"/>
                <w:noProof/>
              </w:rPr>
              <w:t>The Performance Domains</w:t>
            </w:r>
            <w:r>
              <w:rPr>
                <w:noProof/>
                <w:webHidden/>
              </w:rPr>
              <w:tab/>
            </w:r>
            <w:r>
              <w:rPr>
                <w:noProof/>
                <w:webHidden/>
              </w:rPr>
              <w:fldChar w:fldCharType="begin"/>
            </w:r>
            <w:r>
              <w:rPr>
                <w:noProof/>
                <w:webHidden/>
              </w:rPr>
              <w:instrText xml:space="preserve"> PAGEREF _Toc211343274 \h </w:instrText>
            </w:r>
            <w:r>
              <w:rPr>
                <w:noProof/>
                <w:webHidden/>
              </w:rPr>
            </w:r>
            <w:r>
              <w:rPr>
                <w:noProof/>
                <w:webHidden/>
              </w:rPr>
              <w:fldChar w:fldCharType="separate"/>
            </w:r>
            <w:r>
              <w:rPr>
                <w:noProof/>
                <w:webHidden/>
              </w:rPr>
              <w:t>9</w:t>
            </w:r>
            <w:r>
              <w:rPr>
                <w:noProof/>
                <w:webHidden/>
              </w:rPr>
              <w:fldChar w:fldCharType="end"/>
            </w:r>
          </w:hyperlink>
        </w:p>
        <w:p w14:paraId="1D131742" w14:textId="390B4F47"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75" w:history="1">
            <w:r w:rsidRPr="008F3D34">
              <w:rPr>
                <w:rStyle w:val="Hyperlink"/>
                <w:noProof/>
              </w:rPr>
              <w:t>2.2</w:t>
            </w:r>
            <w:r>
              <w:rPr>
                <w:rFonts w:asciiTheme="minorHAnsi" w:hAnsiTheme="minorHAnsi" w:cstheme="minorBidi"/>
                <w:noProof/>
                <w:kern w:val="2"/>
                <w:sz w:val="24"/>
                <w:szCs w:val="24"/>
                <w:lang w:val="en-AU" w:eastAsia="en-AU"/>
                <w14:ligatures w14:val="standardContextual"/>
              </w:rPr>
              <w:tab/>
            </w:r>
            <w:r w:rsidRPr="008F3D34">
              <w:rPr>
                <w:rStyle w:val="Hyperlink"/>
                <w:noProof/>
              </w:rPr>
              <w:t>The Performance Tiers</w:t>
            </w:r>
            <w:r>
              <w:rPr>
                <w:noProof/>
                <w:webHidden/>
              </w:rPr>
              <w:tab/>
            </w:r>
            <w:r>
              <w:rPr>
                <w:noProof/>
                <w:webHidden/>
              </w:rPr>
              <w:fldChar w:fldCharType="begin"/>
            </w:r>
            <w:r>
              <w:rPr>
                <w:noProof/>
                <w:webHidden/>
              </w:rPr>
              <w:instrText xml:space="preserve"> PAGEREF _Toc211343275 \h </w:instrText>
            </w:r>
            <w:r>
              <w:rPr>
                <w:noProof/>
                <w:webHidden/>
              </w:rPr>
            </w:r>
            <w:r>
              <w:rPr>
                <w:noProof/>
                <w:webHidden/>
              </w:rPr>
              <w:fldChar w:fldCharType="separate"/>
            </w:r>
            <w:r>
              <w:rPr>
                <w:noProof/>
                <w:webHidden/>
              </w:rPr>
              <w:t>10</w:t>
            </w:r>
            <w:r>
              <w:rPr>
                <w:noProof/>
                <w:webHidden/>
              </w:rPr>
              <w:fldChar w:fldCharType="end"/>
            </w:r>
          </w:hyperlink>
        </w:p>
        <w:p w14:paraId="007003C4" w14:textId="016A1FCE"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76" w:history="1">
            <w:r w:rsidRPr="008F3D34">
              <w:rPr>
                <w:rStyle w:val="Hyperlink"/>
                <w:noProof/>
              </w:rPr>
              <w:t>3.</w:t>
            </w:r>
            <w:r>
              <w:rPr>
                <w:rFonts w:asciiTheme="minorHAnsi" w:hAnsiTheme="minorHAnsi" w:cstheme="minorBidi"/>
                <w:noProof/>
                <w:kern w:val="2"/>
                <w:sz w:val="24"/>
                <w:szCs w:val="24"/>
                <w:lang w:val="en-AU" w:eastAsia="en-AU"/>
                <w14:ligatures w14:val="standardContextual"/>
              </w:rPr>
              <w:tab/>
            </w:r>
            <w:r w:rsidRPr="008F3D34">
              <w:rPr>
                <w:rStyle w:val="Hyperlink"/>
                <w:noProof/>
              </w:rPr>
              <w:t>The Performance Cycle</w:t>
            </w:r>
            <w:r>
              <w:rPr>
                <w:noProof/>
                <w:webHidden/>
              </w:rPr>
              <w:tab/>
            </w:r>
            <w:r>
              <w:rPr>
                <w:noProof/>
                <w:webHidden/>
              </w:rPr>
              <w:fldChar w:fldCharType="begin"/>
            </w:r>
            <w:r>
              <w:rPr>
                <w:noProof/>
                <w:webHidden/>
              </w:rPr>
              <w:instrText xml:space="preserve"> PAGEREF _Toc211343276 \h </w:instrText>
            </w:r>
            <w:r>
              <w:rPr>
                <w:noProof/>
                <w:webHidden/>
              </w:rPr>
            </w:r>
            <w:r>
              <w:rPr>
                <w:noProof/>
                <w:webHidden/>
              </w:rPr>
              <w:fldChar w:fldCharType="separate"/>
            </w:r>
            <w:r>
              <w:rPr>
                <w:noProof/>
                <w:webHidden/>
              </w:rPr>
              <w:t>12</w:t>
            </w:r>
            <w:r>
              <w:rPr>
                <w:noProof/>
                <w:webHidden/>
              </w:rPr>
              <w:fldChar w:fldCharType="end"/>
            </w:r>
          </w:hyperlink>
        </w:p>
        <w:p w14:paraId="644D1FF0" w14:textId="09AB7144"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77" w:history="1">
            <w:r w:rsidRPr="008F3D34">
              <w:rPr>
                <w:rStyle w:val="Hyperlink"/>
                <w:noProof/>
              </w:rPr>
              <w:t>3.1</w:t>
            </w:r>
            <w:r>
              <w:rPr>
                <w:rFonts w:asciiTheme="minorHAnsi" w:hAnsiTheme="minorHAnsi" w:cstheme="minorBidi"/>
                <w:noProof/>
                <w:kern w:val="2"/>
                <w:sz w:val="24"/>
                <w:szCs w:val="24"/>
                <w:lang w:val="en-AU" w:eastAsia="en-AU"/>
                <w14:ligatures w14:val="standardContextual"/>
              </w:rPr>
              <w:tab/>
            </w:r>
            <w:r w:rsidRPr="008F3D34">
              <w:rPr>
                <w:rStyle w:val="Hyperlink"/>
                <w:noProof/>
              </w:rPr>
              <w:t>Planning and Strategy</w:t>
            </w:r>
            <w:r>
              <w:rPr>
                <w:noProof/>
                <w:webHidden/>
              </w:rPr>
              <w:tab/>
            </w:r>
            <w:r>
              <w:rPr>
                <w:noProof/>
                <w:webHidden/>
              </w:rPr>
              <w:fldChar w:fldCharType="begin"/>
            </w:r>
            <w:r>
              <w:rPr>
                <w:noProof/>
                <w:webHidden/>
              </w:rPr>
              <w:instrText xml:space="preserve"> PAGEREF _Toc211343277 \h </w:instrText>
            </w:r>
            <w:r>
              <w:rPr>
                <w:noProof/>
                <w:webHidden/>
              </w:rPr>
            </w:r>
            <w:r>
              <w:rPr>
                <w:noProof/>
                <w:webHidden/>
              </w:rPr>
              <w:fldChar w:fldCharType="separate"/>
            </w:r>
            <w:r>
              <w:rPr>
                <w:noProof/>
                <w:webHidden/>
              </w:rPr>
              <w:t>13</w:t>
            </w:r>
            <w:r>
              <w:rPr>
                <w:noProof/>
                <w:webHidden/>
              </w:rPr>
              <w:fldChar w:fldCharType="end"/>
            </w:r>
          </w:hyperlink>
        </w:p>
        <w:p w14:paraId="7DCF1AB1" w14:textId="53B22773"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78" w:history="1">
            <w:r w:rsidRPr="008F3D34">
              <w:rPr>
                <w:rStyle w:val="Hyperlink"/>
                <w:noProof/>
              </w:rPr>
              <w:t>3.1.1 Statement of Priorities</w:t>
            </w:r>
            <w:r>
              <w:rPr>
                <w:noProof/>
                <w:webHidden/>
              </w:rPr>
              <w:tab/>
            </w:r>
            <w:r>
              <w:rPr>
                <w:noProof/>
                <w:webHidden/>
              </w:rPr>
              <w:fldChar w:fldCharType="begin"/>
            </w:r>
            <w:r>
              <w:rPr>
                <w:noProof/>
                <w:webHidden/>
              </w:rPr>
              <w:instrText xml:space="preserve"> PAGEREF _Toc211343278 \h </w:instrText>
            </w:r>
            <w:r>
              <w:rPr>
                <w:noProof/>
                <w:webHidden/>
              </w:rPr>
            </w:r>
            <w:r>
              <w:rPr>
                <w:noProof/>
                <w:webHidden/>
              </w:rPr>
              <w:fldChar w:fldCharType="separate"/>
            </w:r>
            <w:r>
              <w:rPr>
                <w:noProof/>
                <w:webHidden/>
              </w:rPr>
              <w:t>13</w:t>
            </w:r>
            <w:r>
              <w:rPr>
                <w:noProof/>
                <w:webHidden/>
              </w:rPr>
              <w:fldChar w:fldCharType="end"/>
            </w:r>
          </w:hyperlink>
        </w:p>
        <w:p w14:paraId="0D40022C" w14:textId="419F8D4C"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79" w:history="1">
            <w:r w:rsidRPr="008F3D34">
              <w:rPr>
                <w:rStyle w:val="Hyperlink"/>
                <w:noProof/>
              </w:rPr>
              <w:t>3.1.2 Annual Strategy Meeting</w:t>
            </w:r>
            <w:r>
              <w:rPr>
                <w:noProof/>
                <w:webHidden/>
              </w:rPr>
              <w:tab/>
            </w:r>
            <w:r>
              <w:rPr>
                <w:noProof/>
                <w:webHidden/>
              </w:rPr>
              <w:fldChar w:fldCharType="begin"/>
            </w:r>
            <w:r>
              <w:rPr>
                <w:noProof/>
                <w:webHidden/>
              </w:rPr>
              <w:instrText xml:space="preserve"> PAGEREF _Toc211343279 \h </w:instrText>
            </w:r>
            <w:r>
              <w:rPr>
                <w:noProof/>
                <w:webHidden/>
              </w:rPr>
            </w:r>
            <w:r>
              <w:rPr>
                <w:noProof/>
                <w:webHidden/>
              </w:rPr>
              <w:fldChar w:fldCharType="separate"/>
            </w:r>
            <w:r>
              <w:rPr>
                <w:noProof/>
                <w:webHidden/>
              </w:rPr>
              <w:t>13</w:t>
            </w:r>
            <w:r>
              <w:rPr>
                <w:noProof/>
                <w:webHidden/>
              </w:rPr>
              <w:fldChar w:fldCharType="end"/>
            </w:r>
          </w:hyperlink>
        </w:p>
        <w:p w14:paraId="6BA00DDA" w14:textId="0F397863"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0" w:history="1">
            <w:r w:rsidRPr="008F3D34">
              <w:rPr>
                <w:rStyle w:val="Hyperlink"/>
                <w:noProof/>
              </w:rPr>
              <w:t>3.2</w:t>
            </w:r>
            <w:r>
              <w:rPr>
                <w:rFonts w:asciiTheme="minorHAnsi" w:hAnsiTheme="minorHAnsi" w:cstheme="minorBidi"/>
                <w:noProof/>
                <w:kern w:val="2"/>
                <w:sz w:val="24"/>
                <w:szCs w:val="24"/>
                <w:lang w:val="en-AU" w:eastAsia="en-AU"/>
                <w14:ligatures w14:val="standardContextual"/>
              </w:rPr>
              <w:tab/>
            </w:r>
            <w:r w:rsidRPr="008F3D34">
              <w:rPr>
                <w:rStyle w:val="Hyperlink"/>
                <w:noProof/>
              </w:rPr>
              <w:t>Continuous Improvement</w:t>
            </w:r>
            <w:r>
              <w:rPr>
                <w:noProof/>
                <w:webHidden/>
              </w:rPr>
              <w:tab/>
            </w:r>
            <w:r>
              <w:rPr>
                <w:noProof/>
                <w:webHidden/>
              </w:rPr>
              <w:fldChar w:fldCharType="begin"/>
            </w:r>
            <w:r>
              <w:rPr>
                <w:noProof/>
                <w:webHidden/>
              </w:rPr>
              <w:instrText xml:space="preserve"> PAGEREF _Toc211343280 \h </w:instrText>
            </w:r>
            <w:r>
              <w:rPr>
                <w:noProof/>
                <w:webHidden/>
              </w:rPr>
            </w:r>
            <w:r>
              <w:rPr>
                <w:noProof/>
                <w:webHidden/>
              </w:rPr>
              <w:fldChar w:fldCharType="separate"/>
            </w:r>
            <w:r>
              <w:rPr>
                <w:noProof/>
                <w:webHidden/>
              </w:rPr>
              <w:t>13</w:t>
            </w:r>
            <w:r>
              <w:rPr>
                <w:noProof/>
                <w:webHidden/>
              </w:rPr>
              <w:fldChar w:fldCharType="end"/>
            </w:r>
          </w:hyperlink>
        </w:p>
        <w:p w14:paraId="7640430D" w14:textId="729F0F91"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81" w:history="1">
            <w:r w:rsidRPr="008F3D34">
              <w:rPr>
                <w:rStyle w:val="Hyperlink"/>
                <w:noProof/>
              </w:rPr>
              <w:t>3.2.1 Ongoing improvement work</w:t>
            </w:r>
            <w:r>
              <w:rPr>
                <w:noProof/>
                <w:webHidden/>
              </w:rPr>
              <w:tab/>
            </w:r>
            <w:r>
              <w:rPr>
                <w:noProof/>
                <w:webHidden/>
              </w:rPr>
              <w:fldChar w:fldCharType="begin"/>
            </w:r>
            <w:r>
              <w:rPr>
                <w:noProof/>
                <w:webHidden/>
              </w:rPr>
              <w:instrText xml:space="preserve"> PAGEREF _Toc211343281 \h </w:instrText>
            </w:r>
            <w:r>
              <w:rPr>
                <w:noProof/>
                <w:webHidden/>
              </w:rPr>
            </w:r>
            <w:r>
              <w:rPr>
                <w:noProof/>
                <w:webHidden/>
              </w:rPr>
              <w:fldChar w:fldCharType="separate"/>
            </w:r>
            <w:r>
              <w:rPr>
                <w:noProof/>
                <w:webHidden/>
              </w:rPr>
              <w:t>14</w:t>
            </w:r>
            <w:r>
              <w:rPr>
                <w:noProof/>
                <w:webHidden/>
              </w:rPr>
              <w:fldChar w:fldCharType="end"/>
            </w:r>
          </w:hyperlink>
        </w:p>
        <w:p w14:paraId="1A59486E" w14:textId="3B49EEE7"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2" w:history="1">
            <w:r w:rsidRPr="008F3D34">
              <w:rPr>
                <w:rStyle w:val="Hyperlink"/>
                <w:noProof/>
              </w:rPr>
              <w:t>3.3</w:t>
            </w:r>
            <w:r>
              <w:rPr>
                <w:rFonts w:asciiTheme="minorHAnsi" w:hAnsiTheme="minorHAnsi" w:cstheme="minorBidi"/>
                <w:noProof/>
                <w:kern w:val="2"/>
                <w:sz w:val="24"/>
                <w:szCs w:val="24"/>
                <w:lang w:val="en-AU" w:eastAsia="en-AU"/>
                <w14:ligatures w14:val="standardContextual"/>
              </w:rPr>
              <w:tab/>
            </w:r>
            <w:r w:rsidRPr="008F3D34">
              <w:rPr>
                <w:rStyle w:val="Hyperlink"/>
                <w:noProof/>
              </w:rPr>
              <w:t>Accountability</w:t>
            </w:r>
            <w:r>
              <w:rPr>
                <w:noProof/>
                <w:webHidden/>
              </w:rPr>
              <w:tab/>
            </w:r>
            <w:r>
              <w:rPr>
                <w:noProof/>
                <w:webHidden/>
              </w:rPr>
              <w:fldChar w:fldCharType="begin"/>
            </w:r>
            <w:r>
              <w:rPr>
                <w:noProof/>
                <w:webHidden/>
              </w:rPr>
              <w:instrText xml:space="preserve"> PAGEREF _Toc211343282 \h </w:instrText>
            </w:r>
            <w:r>
              <w:rPr>
                <w:noProof/>
                <w:webHidden/>
              </w:rPr>
            </w:r>
            <w:r>
              <w:rPr>
                <w:noProof/>
                <w:webHidden/>
              </w:rPr>
              <w:fldChar w:fldCharType="separate"/>
            </w:r>
            <w:r>
              <w:rPr>
                <w:noProof/>
                <w:webHidden/>
              </w:rPr>
              <w:t>15</w:t>
            </w:r>
            <w:r>
              <w:rPr>
                <w:noProof/>
                <w:webHidden/>
              </w:rPr>
              <w:fldChar w:fldCharType="end"/>
            </w:r>
          </w:hyperlink>
        </w:p>
        <w:p w14:paraId="6E3C5D6E" w14:textId="37DA3F6C"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83" w:history="1">
            <w:r w:rsidRPr="008F3D34">
              <w:rPr>
                <w:rStyle w:val="Hyperlink"/>
                <w:noProof/>
              </w:rPr>
              <w:t>3.3.1 Health Service Engagement and Formal Performance Meetings</w:t>
            </w:r>
            <w:r>
              <w:rPr>
                <w:noProof/>
                <w:webHidden/>
              </w:rPr>
              <w:tab/>
            </w:r>
            <w:r>
              <w:rPr>
                <w:noProof/>
                <w:webHidden/>
              </w:rPr>
              <w:fldChar w:fldCharType="begin"/>
            </w:r>
            <w:r>
              <w:rPr>
                <w:noProof/>
                <w:webHidden/>
              </w:rPr>
              <w:instrText xml:space="preserve"> PAGEREF _Toc211343283 \h </w:instrText>
            </w:r>
            <w:r>
              <w:rPr>
                <w:noProof/>
                <w:webHidden/>
              </w:rPr>
            </w:r>
            <w:r>
              <w:rPr>
                <w:noProof/>
                <w:webHidden/>
              </w:rPr>
              <w:fldChar w:fldCharType="separate"/>
            </w:r>
            <w:r>
              <w:rPr>
                <w:noProof/>
                <w:webHidden/>
              </w:rPr>
              <w:t>16</w:t>
            </w:r>
            <w:r>
              <w:rPr>
                <w:noProof/>
                <w:webHidden/>
              </w:rPr>
              <w:fldChar w:fldCharType="end"/>
            </w:r>
          </w:hyperlink>
        </w:p>
        <w:p w14:paraId="1CD92B04" w14:textId="3CAE6AA8"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84" w:history="1">
            <w:r w:rsidRPr="008F3D34">
              <w:rPr>
                <w:rStyle w:val="Hyperlink"/>
                <w:noProof/>
              </w:rPr>
              <w:t>4.</w:t>
            </w:r>
            <w:r>
              <w:rPr>
                <w:rFonts w:asciiTheme="minorHAnsi" w:hAnsiTheme="minorHAnsi" w:cstheme="minorBidi"/>
                <w:noProof/>
                <w:kern w:val="2"/>
                <w:sz w:val="24"/>
                <w:szCs w:val="24"/>
                <w:lang w:val="en-AU" w:eastAsia="en-AU"/>
                <w14:ligatures w14:val="standardContextual"/>
              </w:rPr>
              <w:tab/>
            </w:r>
            <w:r w:rsidRPr="008F3D34">
              <w:rPr>
                <w:rStyle w:val="Hyperlink"/>
                <w:noProof/>
              </w:rPr>
              <w:t>Formal performance assessments and performance tier changes</w:t>
            </w:r>
            <w:r>
              <w:rPr>
                <w:noProof/>
                <w:webHidden/>
              </w:rPr>
              <w:tab/>
            </w:r>
            <w:r>
              <w:rPr>
                <w:noProof/>
                <w:webHidden/>
              </w:rPr>
              <w:fldChar w:fldCharType="begin"/>
            </w:r>
            <w:r>
              <w:rPr>
                <w:noProof/>
                <w:webHidden/>
              </w:rPr>
              <w:instrText xml:space="preserve"> PAGEREF _Toc211343284 \h </w:instrText>
            </w:r>
            <w:r>
              <w:rPr>
                <w:noProof/>
                <w:webHidden/>
              </w:rPr>
            </w:r>
            <w:r>
              <w:rPr>
                <w:noProof/>
                <w:webHidden/>
              </w:rPr>
              <w:fldChar w:fldCharType="separate"/>
            </w:r>
            <w:r>
              <w:rPr>
                <w:noProof/>
                <w:webHidden/>
              </w:rPr>
              <w:t>17</w:t>
            </w:r>
            <w:r>
              <w:rPr>
                <w:noProof/>
                <w:webHidden/>
              </w:rPr>
              <w:fldChar w:fldCharType="end"/>
            </w:r>
          </w:hyperlink>
        </w:p>
        <w:p w14:paraId="5253FB37" w14:textId="1BD94767"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5" w:history="1">
            <w:r w:rsidRPr="008F3D34">
              <w:rPr>
                <w:rStyle w:val="Hyperlink"/>
                <w:noProof/>
              </w:rPr>
              <w:t>4.1</w:t>
            </w:r>
            <w:r>
              <w:rPr>
                <w:rFonts w:asciiTheme="minorHAnsi" w:hAnsiTheme="minorHAnsi" w:cstheme="minorBidi"/>
                <w:noProof/>
                <w:kern w:val="2"/>
                <w:sz w:val="24"/>
                <w:szCs w:val="24"/>
                <w:lang w:val="en-AU" w:eastAsia="en-AU"/>
                <w14:ligatures w14:val="standardContextual"/>
              </w:rPr>
              <w:tab/>
            </w:r>
            <w:r w:rsidRPr="008F3D34">
              <w:rPr>
                <w:rStyle w:val="Hyperlink"/>
                <w:noProof/>
              </w:rPr>
              <w:t>Performance Tier Criteria</w:t>
            </w:r>
            <w:r>
              <w:rPr>
                <w:noProof/>
                <w:webHidden/>
              </w:rPr>
              <w:tab/>
            </w:r>
            <w:r>
              <w:rPr>
                <w:noProof/>
                <w:webHidden/>
              </w:rPr>
              <w:fldChar w:fldCharType="begin"/>
            </w:r>
            <w:r>
              <w:rPr>
                <w:noProof/>
                <w:webHidden/>
              </w:rPr>
              <w:instrText xml:space="preserve"> PAGEREF _Toc211343285 \h </w:instrText>
            </w:r>
            <w:r>
              <w:rPr>
                <w:noProof/>
                <w:webHidden/>
              </w:rPr>
            </w:r>
            <w:r>
              <w:rPr>
                <w:noProof/>
                <w:webHidden/>
              </w:rPr>
              <w:fldChar w:fldCharType="separate"/>
            </w:r>
            <w:r>
              <w:rPr>
                <w:noProof/>
                <w:webHidden/>
              </w:rPr>
              <w:t>17</w:t>
            </w:r>
            <w:r>
              <w:rPr>
                <w:noProof/>
                <w:webHidden/>
              </w:rPr>
              <w:fldChar w:fldCharType="end"/>
            </w:r>
          </w:hyperlink>
        </w:p>
        <w:p w14:paraId="7AD940BF" w14:textId="62DE8BB2"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6" w:history="1">
            <w:r w:rsidRPr="008F3D34">
              <w:rPr>
                <w:rStyle w:val="Hyperlink"/>
                <w:noProof/>
              </w:rPr>
              <w:t>4.2</w:t>
            </w:r>
            <w:r>
              <w:rPr>
                <w:rFonts w:asciiTheme="minorHAnsi" w:hAnsiTheme="minorHAnsi" w:cstheme="minorBidi"/>
                <w:noProof/>
                <w:kern w:val="2"/>
                <w:sz w:val="24"/>
                <w:szCs w:val="24"/>
                <w:lang w:val="en-AU" w:eastAsia="en-AU"/>
                <w14:ligatures w14:val="standardContextual"/>
              </w:rPr>
              <w:tab/>
            </w:r>
            <w:r w:rsidRPr="008F3D34">
              <w:rPr>
                <w:rStyle w:val="Hyperlink"/>
                <w:noProof/>
              </w:rPr>
              <w:t>Performance Tier Escalation and De-escalation</w:t>
            </w:r>
            <w:r>
              <w:rPr>
                <w:noProof/>
                <w:webHidden/>
              </w:rPr>
              <w:tab/>
            </w:r>
            <w:r>
              <w:rPr>
                <w:noProof/>
                <w:webHidden/>
              </w:rPr>
              <w:fldChar w:fldCharType="begin"/>
            </w:r>
            <w:r>
              <w:rPr>
                <w:noProof/>
                <w:webHidden/>
              </w:rPr>
              <w:instrText xml:space="preserve"> PAGEREF _Toc211343286 \h </w:instrText>
            </w:r>
            <w:r>
              <w:rPr>
                <w:noProof/>
                <w:webHidden/>
              </w:rPr>
            </w:r>
            <w:r>
              <w:rPr>
                <w:noProof/>
                <w:webHidden/>
              </w:rPr>
              <w:fldChar w:fldCharType="separate"/>
            </w:r>
            <w:r>
              <w:rPr>
                <w:noProof/>
                <w:webHidden/>
              </w:rPr>
              <w:t>17</w:t>
            </w:r>
            <w:r>
              <w:rPr>
                <w:noProof/>
                <w:webHidden/>
              </w:rPr>
              <w:fldChar w:fldCharType="end"/>
            </w:r>
          </w:hyperlink>
        </w:p>
        <w:p w14:paraId="7B95E26F" w14:textId="7BF5D249"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7" w:history="1">
            <w:r w:rsidRPr="008F3D34">
              <w:rPr>
                <w:rStyle w:val="Hyperlink"/>
                <w:noProof/>
              </w:rPr>
              <w:t>4.3</w:t>
            </w:r>
            <w:r>
              <w:rPr>
                <w:rFonts w:asciiTheme="minorHAnsi" w:hAnsiTheme="minorHAnsi" w:cstheme="minorBidi"/>
                <w:noProof/>
                <w:kern w:val="2"/>
                <w:sz w:val="24"/>
                <w:szCs w:val="24"/>
                <w:lang w:val="en-AU" w:eastAsia="en-AU"/>
                <w14:ligatures w14:val="standardContextual"/>
              </w:rPr>
              <w:tab/>
            </w:r>
            <w:r w:rsidRPr="008F3D34">
              <w:rPr>
                <w:rStyle w:val="Hyperlink"/>
                <w:noProof/>
              </w:rPr>
              <w:t>Escalation Options</w:t>
            </w:r>
            <w:r>
              <w:rPr>
                <w:noProof/>
                <w:webHidden/>
              </w:rPr>
              <w:tab/>
            </w:r>
            <w:r>
              <w:rPr>
                <w:noProof/>
                <w:webHidden/>
              </w:rPr>
              <w:fldChar w:fldCharType="begin"/>
            </w:r>
            <w:r>
              <w:rPr>
                <w:noProof/>
                <w:webHidden/>
              </w:rPr>
              <w:instrText xml:space="preserve"> PAGEREF _Toc211343287 \h </w:instrText>
            </w:r>
            <w:r>
              <w:rPr>
                <w:noProof/>
                <w:webHidden/>
              </w:rPr>
            </w:r>
            <w:r>
              <w:rPr>
                <w:noProof/>
                <w:webHidden/>
              </w:rPr>
              <w:fldChar w:fldCharType="separate"/>
            </w:r>
            <w:r>
              <w:rPr>
                <w:noProof/>
                <w:webHidden/>
              </w:rPr>
              <w:t>18</w:t>
            </w:r>
            <w:r>
              <w:rPr>
                <w:noProof/>
                <w:webHidden/>
              </w:rPr>
              <w:fldChar w:fldCharType="end"/>
            </w:r>
          </w:hyperlink>
        </w:p>
        <w:p w14:paraId="401CB0B0" w14:textId="7ED15996"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8" w:history="1">
            <w:r w:rsidRPr="008F3D34">
              <w:rPr>
                <w:rStyle w:val="Hyperlink"/>
                <w:noProof/>
              </w:rPr>
              <w:t>4.4</w:t>
            </w:r>
            <w:r>
              <w:rPr>
                <w:rFonts w:asciiTheme="minorHAnsi" w:hAnsiTheme="minorHAnsi" w:cstheme="minorBidi"/>
                <w:noProof/>
                <w:kern w:val="2"/>
                <w:sz w:val="24"/>
                <w:szCs w:val="24"/>
                <w:lang w:val="en-AU" w:eastAsia="en-AU"/>
                <w14:ligatures w14:val="standardContextual"/>
              </w:rPr>
              <w:tab/>
            </w:r>
            <w:r w:rsidRPr="008F3D34">
              <w:rPr>
                <w:rStyle w:val="Hyperlink"/>
                <w:noProof/>
              </w:rPr>
              <w:t>Performance Tier Change and Notification</w:t>
            </w:r>
            <w:r>
              <w:rPr>
                <w:noProof/>
                <w:webHidden/>
              </w:rPr>
              <w:tab/>
            </w:r>
            <w:r>
              <w:rPr>
                <w:noProof/>
                <w:webHidden/>
              </w:rPr>
              <w:fldChar w:fldCharType="begin"/>
            </w:r>
            <w:r>
              <w:rPr>
                <w:noProof/>
                <w:webHidden/>
              </w:rPr>
              <w:instrText xml:space="preserve"> PAGEREF _Toc211343288 \h </w:instrText>
            </w:r>
            <w:r>
              <w:rPr>
                <w:noProof/>
                <w:webHidden/>
              </w:rPr>
            </w:r>
            <w:r>
              <w:rPr>
                <w:noProof/>
                <w:webHidden/>
              </w:rPr>
              <w:fldChar w:fldCharType="separate"/>
            </w:r>
            <w:r>
              <w:rPr>
                <w:noProof/>
                <w:webHidden/>
              </w:rPr>
              <w:t>18</w:t>
            </w:r>
            <w:r>
              <w:rPr>
                <w:noProof/>
                <w:webHidden/>
              </w:rPr>
              <w:fldChar w:fldCharType="end"/>
            </w:r>
          </w:hyperlink>
        </w:p>
        <w:p w14:paraId="27B32D3A" w14:textId="45657860"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89" w:history="1">
            <w:r w:rsidRPr="008F3D34">
              <w:rPr>
                <w:rStyle w:val="Hyperlink"/>
                <w:noProof/>
              </w:rPr>
              <w:t>5.</w:t>
            </w:r>
            <w:r>
              <w:rPr>
                <w:rFonts w:asciiTheme="minorHAnsi" w:hAnsiTheme="minorHAnsi" w:cstheme="minorBidi"/>
                <w:noProof/>
                <w:kern w:val="2"/>
                <w:sz w:val="24"/>
                <w:szCs w:val="24"/>
                <w:lang w:val="en-AU" w:eastAsia="en-AU"/>
                <w14:ligatures w14:val="standardContextual"/>
              </w:rPr>
              <w:tab/>
            </w:r>
            <w:r w:rsidRPr="008F3D34">
              <w:rPr>
                <w:rStyle w:val="Hyperlink"/>
                <w:noProof/>
              </w:rPr>
              <w:t>Performance Meeting Approach</w:t>
            </w:r>
            <w:r>
              <w:rPr>
                <w:noProof/>
                <w:webHidden/>
              </w:rPr>
              <w:tab/>
            </w:r>
            <w:r>
              <w:rPr>
                <w:noProof/>
                <w:webHidden/>
              </w:rPr>
              <w:fldChar w:fldCharType="begin"/>
            </w:r>
            <w:r>
              <w:rPr>
                <w:noProof/>
                <w:webHidden/>
              </w:rPr>
              <w:instrText xml:space="preserve"> PAGEREF _Toc211343289 \h </w:instrText>
            </w:r>
            <w:r>
              <w:rPr>
                <w:noProof/>
                <w:webHidden/>
              </w:rPr>
            </w:r>
            <w:r>
              <w:rPr>
                <w:noProof/>
                <w:webHidden/>
              </w:rPr>
              <w:fldChar w:fldCharType="separate"/>
            </w:r>
            <w:r>
              <w:rPr>
                <w:noProof/>
                <w:webHidden/>
              </w:rPr>
              <w:t>19</w:t>
            </w:r>
            <w:r>
              <w:rPr>
                <w:noProof/>
                <w:webHidden/>
              </w:rPr>
              <w:fldChar w:fldCharType="end"/>
            </w:r>
          </w:hyperlink>
        </w:p>
        <w:p w14:paraId="1FDAC305" w14:textId="6EB0D135"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0" w:history="1">
            <w:r w:rsidRPr="008F3D34">
              <w:rPr>
                <w:rStyle w:val="Hyperlink"/>
                <w:noProof/>
              </w:rPr>
              <w:t>5.1</w:t>
            </w:r>
            <w:r>
              <w:rPr>
                <w:rFonts w:asciiTheme="minorHAnsi" w:hAnsiTheme="minorHAnsi" w:cstheme="minorBidi"/>
                <w:noProof/>
                <w:kern w:val="2"/>
                <w:sz w:val="24"/>
                <w:szCs w:val="24"/>
                <w:lang w:val="en-AU" w:eastAsia="en-AU"/>
                <w14:ligatures w14:val="standardContextual"/>
              </w:rPr>
              <w:tab/>
            </w:r>
            <w:r w:rsidRPr="008F3D34">
              <w:rPr>
                <w:rStyle w:val="Hyperlink"/>
                <w:noProof/>
              </w:rPr>
              <w:t>Tailored Performance Meetings for Effective Oversight</w:t>
            </w:r>
            <w:r>
              <w:rPr>
                <w:noProof/>
                <w:webHidden/>
              </w:rPr>
              <w:tab/>
            </w:r>
            <w:r>
              <w:rPr>
                <w:noProof/>
                <w:webHidden/>
              </w:rPr>
              <w:fldChar w:fldCharType="begin"/>
            </w:r>
            <w:r>
              <w:rPr>
                <w:noProof/>
                <w:webHidden/>
              </w:rPr>
              <w:instrText xml:space="preserve"> PAGEREF _Toc211343290 \h </w:instrText>
            </w:r>
            <w:r>
              <w:rPr>
                <w:noProof/>
                <w:webHidden/>
              </w:rPr>
            </w:r>
            <w:r>
              <w:rPr>
                <w:noProof/>
                <w:webHidden/>
              </w:rPr>
              <w:fldChar w:fldCharType="separate"/>
            </w:r>
            <w:r>
              <w:rPr>
                <w:noProof/>
                <w:webHidden/>
              </w:rPr>
              <w:t>19</w:t>
            </w:r>
            <w:r>
              <w:rPr>
                <w:noProof/>
                <w:webHidden/>
              </w:rPr>
              <w:fldChar w:fldCharType="end"/>
            </w:r>
          </w:hyperlink>
        </w:p>
        <w:p w14:paraId="26784C18" w14:textId="6F2565BC"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91" w:history="1">
            <w:r w:rsidRPr="008F3D34">
              <w:rPr>
                <w:rStyle w:val="Hyperlink"/>
                <w:noProof/>
              </w:rPr>
              <w:t>6.</w:t>
            </w:r>
            <w:r>
              <w:rPr>
                <w:rFonts w:asciiTheme="minorHAnsi" w:hAnsiTheme="minorHAnsi" w:cstheme="minorBidi"/>
                <w:noProof/>
                <w:kern w:val="2"/>
                <w:sz w:val="24"/>
                <w:szCs w:val="24"/>
                <w:lang w:val="en-AU" w:eastAsia="en-AU"/>
                <w14:ligatures w14:val="standardContextual"/>
              </w:rPr>
              <w:tab/>
            </w:r>
            <w:r w:rsidRPr="008F3D34">
              <w:rPr>
                <w:rStyle w:val="Hyperlink"/>
                <w:noProof/>
              </w:rPr>
              <w:t>Roles and responsibilities</w:t>
            </w:r>
            <w:r>
              <w:rPr>
                <w:noProof/>
                <w:webHidden/>
              </w:rPr>
              <w:tab/>
            </w:r>
            <w:r>
              <w:rPr>
                <w:noProof/>
                <w:webHidden/>
              </w:rPr>
              <w:fldChar w:fldCharType="begin"/>
            </w:r>
            <w:r>
              <w:rPr>
                <w:noProof/>
                <w:webHidden/>
              </w:rPr>
              <w:instrText xml:space="preserve"> PAGEREF _Toc211343291 \h </w:instrText>
            </w:r>
            <w:r>
              <w:rPr>
                <w:noProof/>
                <w:webHidden/>
              </w:rPr>
            </w:r>
            <w:r>
              <w:rPr>
                <w:noProof/>
                <w:webHidden/>
              </w:rPr>
              <w:fldChar w:fldCharType="separate"/>
            </w:r>
            <w:r>
              <w:rPr>
                <w:noProof/>
                <w:webHidden/>
              </w:rPr>
              <w:t>21</w:t>
            </w:r>
            <w:r>
              <w:rPr>
                <w:noProof/>
                <w:webHidden/>
              </w:rPr>
              <w:fldChar w:fldCharType="end"/>
            </w:r>
          </w:hyperlink>
        </w:p>
        <w:p w14:paraId="700BEDD0" w14:textId="4E488351"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2" w:history="1">
            <w:r w:rsidRPr="008F3D34">
              <w:rPr>
                <w:rStyle w:val="Hyperlink"/>
                <w:noProof/>
              </w:rPr>
              <w:t>6.1</w:t>
            </w:r>
            <w:r>
              <w:rPr>
                <w:rFonts w:asciiTheme="minorHAnsi" w:hAnsiTheme="minorHAnsi" w:cstheme="minorBidi"/>
                <w:noProof/>
                <w:kern w:val="2"/>
                <w:sz w:val="24"/>
                <w:szCs w:val="24"/>
                <w:lang w:val="en-AU" w:eastAsia="en-AU"/>
                <w14:ligatures w14:val="standardContextual"/>
              </w:rPr>
              <w:tab/>
            </w:r>
            <w:r w:rsidRPr="008F3D34">
              <w:rPr>
                <w:rStyle w:val="Hyperlink"/>
                <w:noProof/>
              </w:rPr>
              <w:t>Health services</w:t>
            </w:r>
            <w:r>
              <w:rPr>
                <w:noProof/>
                <w:webHidden/>
              </w:rPr>
              <w:tab/>
            </w:r>
            <w:r>
              <w:rPr>
                <w:noProof/>
                <w:webHidden/>
              </w:rPr>
              <w:fldChar w:fldCharType="begin"/>
            </w:r>
            <w:r>
              <w:rPr>
                <w:noProof/>
                <w:webHidden/>
              </w:rPr>
              <w:instrText xml:space="preserve"> PAGEREF _Toc211343292 \h </w:instrText>
            </w:r>
            <w:r>
              <w:rPr>
                <w:noProof/>
                <w:webHidden/>
              </w:rPr>
            </w:r>
            <w:r>
              <w:rPr>
                <w:noProof/>
                <w:webHidden/>
              </w:rPr>
              <w:fldChar w:fldCharType="separate"/>
            </w:r>
            <w:r>
              <w:rPr>
                <w:noProof/>
                <w:webHidden/>
              </w:rPr>
              <w:t>21</w:t>
            </w:r>
            <w:r>
              <w:rPr>
                <w:noProof/>
                <w:webHidden/>
              </w:rPr>
              <w:fldChar w:fldCharType="end"/>
            </w:r>
          </w:hyperlink>
        </w:p>
        <w:p w14:paraId="14AF2E24" w14:textId="650B6A20"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3" w:history="1">
            <w:r w:rsidRPr="008F3D34">
              <w:rPr>
                <w:rStyle w:val="Hyperlink"/>
                <w:noProof/>
              </w:rPr>
              <w:t>6.2</w:t>
            </w:r>
            <w:r>
              <w:rPr>
                <w:rFonts w:asciiTheme="minorHAnsi" w:hAnsiTheme="minorHAnsi" w:cstheme="minorBidi"/>
                <w:noProof/>
                <w:kern w:val="2"/>
                <w:sz w:val="24"/>
                <w:szCs w:val="24"/>
                <w:lang w:val="en-AU" w:eastAsia="en-AU"/>
                <w14:ligatures w14:val="standardContextual"/>
              </w:rPr>
              <w:tab/>
            </w:r>
            <w:r w:rsidRPr="008F3D34">
              <w:rPr>
                <w:rStyle w:val="Hyperlink"/>
                <w:noProof/>
              </w:rPr>
              <w:t>Department of Health</w:t>
            </w:r>
            <w:r>
              <w:rPr>
                <w:noProof/>
                <w:webHidden/>
              </w:rPr>
              <w:tab/>
            </w:r>
            <w:r>
              <w:rPr>
                <w:noProof/>
                <w:webHidden/>
              </w:rPr>
              <w:fldChar w:fldCharType="begin"/>
            </w:r>
            <w:r>
              <w:rPr>
                <w:noProof/>
                <w:webHidden/>
              </w:rPr>
              <w:instrText xml:space="preserve"> PAGEREF _Toc211343293 \h </w:instrText>
            </w:r>
            <w:r>
              <w:rPr>
                <w:noProof/>
                <w:webHidden/>
              </w:rPr>
            </w:r>
            <w:r>
              <w:rPr>
                <w:noProof/>
                <w:webHidden/>
              </w:rPr>
              <w:fldChar w:fldCharType="separate"/>
            </w:r>
            <w:r>
              <w:rPr>
                <w:noProof/>
                <w:webHidden/>
              </w:rPr>
              <w:t>21</w:t>
            </w:r>
            <w:r>
              <w:rPr>
                <w:noProof/>
                <w:webHidden/>
              </w:rPr>
              <w:fldChar w:fldCharType="end"/>
            </w:r>
          </w:hyperlink>
        </w:p>
        <w:p w14:paraId="1F89CC02" w14:textId="68D62B0C"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94" w:history="1">
            <w:r w:rsidRPr="008F3D34">
              <w:rPr>
                <w:rStyle w:val="Hyperlink"/>
                <w:noProof/>
              </w:rPr>
              <w:t>6.2.1</w:t>
            </w:r>
            <w:r>
              <w:rPr>
                <w:rFonts w:asciiTheme="minorHAnsi" w:hAnsiTheme="minorHAnsi" w:cstheme="minorBidi"/>
                <w:noProof/>
                <w:kern w:val="2"/>
                <w:sz w:val="24"/>
                <w:szCs w:val="24"/>
                <w:lang w:val="en-AU" w:eastAsia="en-AU"/>
                <w14:ligatures w14:val="standardContextual"/>
              </w:rPr>
              <w:tab/>
            </w:r>
            <w:r w:rsidRPr="008F3D34">
              <w:rPr>
                <w:rStyle w:val="Hyperlink"/>
                <w:noProof/>
              </w:rPr>
              <w:t>Overarching departmental roles and responsibilities</w:t>
            </w:r>
            <w:r>
              <w:rPr>
                <w:noProof/>
                <w:webHidden/>
              </w:rPr>
              <w:tab/>
            </w:r>
            <w:r>
              <w:rPr>
                <w:noProof/>
                <w:webHidden/>
              </w:rPr>
              <w:fldChar w:fldCharType="begin"/>
            </w:r>
            <w:r>
              <w:rPr>
                <w:noProof/>
                <w:webHidden/>
              </w:rPr>
              <w:instrText xml:space="preserve"> PAGEREF _Toc211343294 \h </w:instrText>
            </w:r>
            <w:r>
              <w:rPr>
                <w:noProof/>
                <w:webHidden/>
              </w:rPr>
            </w:r>
            <w:r>
              <w:rPr>
                <w:noProof/>
                <w:webHidden/>
              </w:rPr>
              <w:fldChar w:fldCharType="separate"/>
            </w:r>
            <w:r>
              <w:rPr>
                <w:noProof/>
                <w:webHidden/>
              </w:rPr>
              <w:t>21</w:t>
            </w:r>
            <w:r>
              <w:rPr>
                <w:noProof/>
                <w:webHidden/>
              </w:rPr>
              <w:fldChar w:fldCharType="end"/>
            </w:r>
          </w:hyperlink>
        </w:p>
        <w:p w14:paraId="046433A9" w14:textId="20A3AAAD"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95" w:history="1">
            <w:r w:rsidRPr="008F3D34">
              <w:rPr>
                <w:rStyle w:val="Hyperlink"/>
                <w:noProof/>
              </w:rPr>
              <w:t>6.2.2</w:t>
            </w:r>
            <w:r>
              <w:rPr>
                <w:rFonts w:asciiTheme="minorHAnsi" w:hAnsiTheme="minorHAnsi" w:cstheme="minorBidi"/>
                <w:noProof/>
                <w:kern w:val="2"/>
                <w:sz w:val="24"/>
                <w:szCs w:val="24"/>
                <w:lang w:val="en-AU" w:eastAsia="en-AU"/>
                <w14:ligatures w14:val="standardContextual"/>
              </w:rPr>
              <w:tab/>
            </w:r>
            <w:r w:rsidRPr="008F3D34">
              <w:rPr>
                <w:rStyle w:val="Hyperlink"/>
                <w:noProof/>
              </w:rPr>
              <w:t>Roles and responsibilities across areas of the department</w:t>
            </w:r>
            <w:r>
              <w:rPr>
                <w:noProof/>
                <w:webHidden/>
              </w:rPr>
              <w:tab/>
            </w:r>
            <w:r>
              <w:rPr>
                <w:noProof/>
                <w:webHidden/>
              </w:rPr>
              <w:fldChar w:fldCharType="begin"/>
            </w:r>
            <w:r>
              <w:rPr>
                <w:noProof/>
                <w:webHidden/>
              </w:rPr>
              <w:instrText xml:space="preserve"> PAGEREF _Toc211343295 \h </w:instrText>
            </w:r>
            <w:r>
              <w:rPr>
                <w:noProof/>
                <w:webHidden/>
              </w:rPr>
            </w:r>
            <w:r>
              <w:rPr>
                <w:noProof/>
                <w:webHidden/>
              </w:rPr>
              <w:fldChar w:fldCharType="separate"/>
            </w:r>
            <w:r>
              <w:rPr>
                <w:noProof/>
                <w:webHidden/>
              </w:rPr>
              <w:t>22</w:t>
            </w:r>
            <w:r>
              <w:rPr>
                <w:noProof/>
                <w:webHidden/>
              </w:rPr>
              <w:fldChar w:fldCharType="end"/>
            </w:r>
          </w:hyperlink>
        </w:p>
        <w:p w14:paraId="131E8016" w14:textId="01F1B8A7"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296" w:history="1">
            <w:r w:rsidRPr="008F3D34">
              <w:rPr>
                <w:rStyle w:val="Hyperlink"/>
                <w:noProof/>
              </w:rPr>
              <w:t>7. Reporting requirements</w:t>
            </w:r>
            <w:r>
              <w:rPr>
                <w:noProof/>
                <w:webHidden/>
              </w:rPr>
              <w:tab/>
            </w:r>
            <w:r>
              <w:rPr>
                <w:noProof/>
                <w:webHidden/>
              </w:rPr>
              <w:fldChar w:fldCharType="begin"/>
            </w:r>
            <w:r>
              <w:rPr>
                <w:noProof/>
                <w:webHidden/>
              </w:rPr>
              <w:instrText xml:space="preserve"> PAGEREF _Toc211343296 \h </w:instrText>
            </w:r>
            <w:r>
              <w:rPr>
                <w:noProof/>
                <w:webHidden/>
              </w:rPr>
            </w:r>
            <w:r>
              <w:rPr>
                <w:noProof/>
                <w:webHidden/>
              </w:rPr>
              <w:fldChar w:fldCharType="separate"/>
            </w:r>
            <w:r>
              <w:rPr>
                <w:noProof/>
                <w:webHidden/>
              </w:rPr>
              <w:t>26</w:t>
            </w:r>
            <w:r>
              <w:rPr>
                <w:noProof/>
                <w:webHidden/>
              </w:rPr>
              <w:fldChar w:fldCharType="end"/>
            </w:r>
          </w:hyperlink>
        </w:p>
        <w:p w14:paraId="14248D7C" w14:textId="53B13660"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7" w:history="1">
            <w:r w:rsidRPr="008F3D34">
              <w:rPr>
                <w:rStyle w:val="Hyperlink"/>
                <w:noProof/>
              </w:rPr>
              <w:t>7.1 Specific events – Breaches</w:t>
            </w:r>
            <w:r>
              <w:rPr>
                <w:noProof/>
                <w:webHidden/>
              </w:rPr>
              <w:tab/>
            </w:r>
            <w:r>
              <w:rPr>
                <w:noProof/>
                <w:webHidden/>
              </w:rPr>
              <w:fldChar w:fldCharType="begin"/>
            </w:r>
            <w:r>
              <w:rPr>
                <w:noProof/>
                <w:webHidden/>
              </w:rPr>
              <w:instrText xml:space="preserve"> PAGEREF _Toc211343297 \h </w:instrText>
            </w:r>
            <w:r>
              <w:rPr>
                <w:noProof/>
                <w:webHidden/>
              </w:rPr>
            </w:r>
            <w:r>
              <w:rPr>
                <w:noProof/>
                <w:webHidden/>
              </w:rPr>
              <w:fldChar w:fldCharType="separate"/>
            </w:r>
            <w:r>
              <w:rPr>
                <w:noProof/>
                <w:webHidden/>
              </w:rPr>
              <w:t>26</w:t>
            </w:r>
            <w:r>
              <w:rPr>
                <w:noProof/>
                <w:webHidden/>
              </w:rPr>
              <w:fldChar w:fldCharType="end"/>
            </w:r>
          </w:hyperlink>
        </w:p>
        <w:p w14:paraId="59547815" w14:textId="557A7EB1"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8" w:history="1">
            <w:r w:rsidRPr="008F3D34">
              <w:rPr>
                <w:rStyle w:val="Hyperlink"/>
                <w:noProof/>
              </w:rPr>
              <w:t>7.2 Reporting of temporary change to capability level</w:t>
            </w:r>
            <w:r>
              <w:rPr>
                <w:noProof/>
                <w:webHidden/>
              </w:rPr>
              <w:tab/>
            </w:r>
            <w:r>
              <w:rPr>
                <w:noProof/>
                <w:webHidden/>
              </w:rPr>
              <w:fldChar w:fldCharType="begin"/>
            </w:r>
            <w:r>
              <w:rPr>
                <w:noProof/>
                <w:webHidden/>
              </w:rPr>
              <w:instrText xml:space="preserve"> PAGEREF _Toc211343298 \h </w:instrText>
            </w:r>
            <w:r>
              <w:rPr>
                <w:noProof/>
                <w:webHidden/>
              </w:rPr>
            </w:r>
            <w:r>
              <w:rPr>
                <w:noProof/>
                <w:webHidden/>
              </w:rPr>
              <w:fldChar w:fldCharType="separate"/>
            </w:r>
            <w:r>
              <w:rPr>
                <w:noProof/>
                <w:webHidden/>
              </w:rPr>
              <w:t>27</w:t>
            </w:r>
            <w:r>
              <w:rPr>
                <w:noProof/>
                <w:webHidden/>
              </w:rPr>
              <w:fldChar w:fldCharType="end"/>
            </w:r>
          </w:hyperlink>
        </w:p>
        <w:p w14:paraId="188F93A6" w14:textId="619EC48C"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299" w:history="1">
            <w:r w:rsidRPr="008F3D34">
              <w:rPr>
                <w:rStyle w:val="Hyperlink"/>
                <w:noProof/>
              </w:rPr>
              <w:t>Appendix 1: Coverage of the Framework</w:t>
            </w:r>
            <w:r>
              <w:rPr>
                <w:noProof/>
                <w:webHidden/>
              </w:rPr>
              <w:tab/>
            </w:r>
            <w:r>
              <w:rPr>
                <w:noProof/>
                <w:webHidden/>
              </w:rPr>
              <w:fldChar w:fldCharType="begin"/>
            </w:r>
            <w:r>
              <w:rPr>
                <w:noProof/>
                <w:webHidden/>
              </w:rPr>
              <w:instrText xml:space="preserve"> PAGEREF _Toc211343299 \h </w:instrText>
            </w:r>
            <w:r>
              <w:rPr>
                <w:noProof/>
                <w:webHidden/>
              </w:rPr>
            </w:r>
            <w:r>
              <w:rPr>
                <w:noProof/>
                <w:webHidden/>
              </w:rPr>
              <w:fldChar w:fldCharType="separate"/>
            </w:r>
            <w:r>
              <w:rPr>
                <w:noProof/>
                <w:webHidden/>
              </w:rPr>
              <w:t>28</w:t>
            </w:r>
            <w:r>
              <w:rPr>
                <w:noProof/>
                <w:webHidden/>
              </w:rPr>
              <w:fldChar w:fldCharType="end"/>
            </w:r>
          </w:hyperlink>
        </w:p>
        <w:p w14:paraId="57200EDC" w14:textId="15A71CCC"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0" w:history="1">
            <w:r w:rsidRPr="008F3D34">
              <w:rPr>
                <w:rStyle w:val="Hyperlink"/>
                <w:noProof/>
              </w:rPr>
              <w:t>Appendix 2: Statement of Priorities (SoP)</w:t>
            </w:r>
            <w:r>
              <w:rPr>
                <w:noProof/>
                <w:webHidden/>
              </w:rPr>
              <w:tab/>
            </w:r>
            <w:r>
              <w:rPr>
                <w:noProof/>
                <w:webHidden/>
              </w:rPr>
              <w:fldChar w:fldCharType="begin"/>
            </w:r>
            <w:r>
              <w:rPr>
                <w:noProof/>
                <w:webHidden/>
              </w:rPr>
              <w:instrText xml:space="preserve"> PAGEREF _Toc211343300 \h </w:instrText>
            </w:r>
            <w:r>
              <w:rPr>
                <w:noProof/>
                <w:webHidden/>
              </w:rPr>
            </w:r>
            <w:r>
              <w:rPr>
                <w:noProof/>
                <w:webHidden/>
              </w:rPr>
              <w:fldChar w:fldCharType="separate"/>
            </w:r>
            <w:r>
              <w:rPr>
                <w:noProof/>
                <w:webHidden/>
              </w:rPr>
              <w:t>29</w:t>
            </w:r>
            <w:r>
              <w:rPr>
                <w:noProof/>
                <w:webHidden/>
              </w:rPr>
              <w:fldChar w:fldCharType="end"/>
            </w:r>
          </w:hyperlink>
        </w:p>
        <w:p w14:paraId="03E6F9AC" w14:textId="28AFC80A"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1" w:history="1">
            <w:r w:rsidRPr="008F3D34">
              <w:rPr>
                <w:rStyle w:val="Hyperlink"/>
                <w:noProof/>
              </w:rPr>
              <w:t>Appendix 3: Initiatives to support performance improvement</w:t>
            </w:r>
            <w:r>
              <w:rPr>
                <w:noProof/>
                <w:webHidden/>
              </w:rPr>
              <w:tab/>
            </w:r>
            <w:r>
              <w:rPr>
                <w:noProof/>
                <w:webHidden/>
              </w:rPr>
              <w:fldChar w:fldCharType="begin"/>
            </w:r>
            <w:r>
              <w:rPr>
                <w:noProof/>
                <w:webHidden/>
              </w:rPr>
              <w:instrText xml:space="preserve"> PAGEREF _Toc211343301 \h </w:instrText>
            </w:r>
            <w:r>
              <w:rPr>
                <w:noProof/>
                <w:webHidden/>
              </w:rPr>
            </w:r>
            <w:r>
              <w:rPr>
                <w:noProof/>
                <w:webHidden/>
              </w:rPr>
              <w:fldChar w:fldCharType="separate"/>
            </w:r>
            <w:r>
              <w:rPr>
                <w:noProof/>
                <w:webHidden/>
              </w:rPr>
              <w:t>31</w:t>
            </w:r>
            <w:r>
              <w:rPr>
                <w:noProof/>
                <w:webHidden/>
              </w:rPr>
              <w:fldChar w:fldCharType="end"/>
            </w:r>
          </w:hyperlink>
        </w:p>
        <w:p w14:paraId="4F04F69A" w14:textId="7D6E9C35"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2" w:history="1">
            <w:r w:rsidRPr="008F3D34">
              <w:rPr>
                <w:rStyle w:val="Hyperlink"/>
                <w:noProof/>
              </w:rPr>
              <w:t>Appendix 4: Performance Tier Criteria</w:t>
            </w:r>
            <w:r>
              <w:rPr>
                <w:noProof/>
                <w:webHidden/>
              </w:rPr>
              <w:tab/>
            </w:r>
            <w:r>
              <w:rPr>
                <w:noProof/>
                <w:webHidden/>
              </w:rPr>
              <w:fldChar w:fldCharType="begin"/>
            </w:r>
            <w:r>
              <w:rPr>
                <w:noProof/>
                <w:webHidden/>
              </w:rPr>
              <w:instrText xml:space="preserve"> PAGEREF _Toc211343302 \h </w:instrText>
            </w:r>
            <w:r>
              <w:rPr>
                <w:noProof/>
                <w:webHidden/>
              </w:rPr>
            </w:r>
            <w:r>
              <w:rPr>
                <w:noProof/>
                <w:webHidden/>
              </w:rPr>
              <w:fldChar w:fldCharType="separate"/>
            </w:r>
            <w:r>
              <w:rPr>
                <w:noProof/>
                <w:webHidden/>
              </w:rPr>
              <w:t>33</w:t>
            </w:r>
            <w:r>
              <w:rPr>
                <w:noProof/>
                <w:webHidden/>
              </w:rPr>
              <w:fldChar w:fldCharType="end"/>
            </w:r>
          </w:hyperlink>
        </w:p>
        <w:p w14:paraId="0C7557DA" w14:textId="179E1694"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3" w:history="1">
            <w:r w:rsidRPr="008F3D34">
              <w:rPr>
                <w:rStyle w:val="Hyperlink"/>
                <w:noProof/>
              </w:rPr>
              <w:t>Appendix 5: Implications for health services in each performance tier</w:t>
            </w:r>
            <w:r>
              <w:rPr>
                <w:noProof/>
                <w:webHidden/>
              </w:rPr>
              <w:tab/>
            </w:r>
            <w:r>
              <w:rPr>
                <w:noProof/>
                <w:webHidden/>
              </w:rPr>
              <w:fldChar w:fldCharType="begin"/>
            </w:r>
            <w:r>
              <w:rPr>
                <w:noProof/>
                <w:webHidden/>
              </w:rPr>
              <w:instrText xml:space="preserve"> PAGEREF _Toc211343303 \h </w:instrText>
            </w:r>
            <w:r>
              <w:rPr>
                <w:noProof/>
                <w:webHidden/>
              </w:rPr>
            </w:r>
            <w:r>
              <w:rPr>
                <w:noProof/>
                <w:webHidden/>
              </w:rPr>
              <w:fldChar w:fldCharType="separate"/>
            </w:r>
            <w:r>
              <w:rPr>
                <w:noProof/>
                <w:webHidden/>
              </w:rPr>
              <w:t>35</w:t>
            </w:r>
            <w:r>
              <w:rPr>
                <w:noProof/>
                <w:webHidden/>
              </w:rPr>
              <w:fldChar w:fldCharType="end"/>
            </w:r>
          </w:hyperlink>
        </w:p>
        <w:p w14:paraId="0CB7FAE0" w14:textId="5336D4A5"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4" w:history="1">
            <w:r w:rsidRPr="008F3D34">
              <w:rPr>
                <w:rStyle w:val="Hyperlink"/>
                <w:noProof/>
              </w:rPr>
              <w:t>Appendix 6 - Escalation options and considerations for use</w:t>
            </w:r>
            <w:r>
              <w:rPr>
                <w:noProof/>
                <w:webHidden/>
              </w:rPr>
              <w:tab/>
            </w:r>
            <w:r>
              <w:rPr>
                <w:noProof/>
                <w:webHidden/>
              </w:rPr>
              <w:fldChar w:fldCharType="begin"/>
            </w:r>
            <w:r>
              <w:rPr>
                <w:noProof/>
                <w:webHidden/>
              </w:rPr>
              <w:instrText xml:space="preserve"> PAGEREF _Toc211343304 \h </w:instrText>
            </w:r>
            <w:r>
              <w:rPr>
                <w:noProof/>
                <w:webHidden/>
              </w:rPr>
            </w:r>
            <w:r>
              <w:rPr>
                <w:noProof/>
                <w:webHidden/>
              </w:rPr>
              <w:fldChar w:fldCharType="separate"/>
            </w:r>
            <w:r>
              <w:rPr>
                <w:noProof/>
                <w:webHidden/>
              </w:rPr>
              <w:t>38</w:t>
            </w:r>
            <w:r>
              <w:rPr>
                <w:noProof/>
                <w:webHidden/>
              </w:rPr>
              <w:fldChar w:fldCharType="end"/>
            </w:r>
          </w:hyperlink>
        </w:p>
        <w:p w14:paraId="09200B17" w14:textId="0BEB1A86"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5" w:history="1">
            <w:r w:rsidRPr="008F3D34">
              <w:rPr>
                <w:rStyle w:val="Hyperlink"/>
                <w:noProof/>
              </w:rPr>
              <w:t>Attachment 1 - Health service notification process</w:t>
            </w:r>
            <w:r>
              <w:rPr>
                <w:noProof/>
                <w:webHidden/>
              </w:rPr>
              <w:tab/>
            </w:r>
            <w:r>
              <w:rPr>
                <w:noProof/>
                <w:webHidden/>
              </w:rPr>
              <w:fldChar w:fldCharType="begin"/>
            </w:r>
            <w:r>
              <w:rPr>
                <w:noProof/>
                <w:webHidden/>
              </w:rPr>
              <w:instrText xml:space="preserve"> PAGEREF _Toc211343305 \h </w:instrText>
            </w:r>
            <w:r>
              <w:rPr>
                <w:noProof/>
                <w:webHidden/>
              </w:rPr>
            </w:r>
            <w:r>
              <w:rPr>
                <w:noProof/>
                <w:webHidden/>
              </w:rPr>
              <w:fldChar w:fldCharType="separate"/>
            </w:r>
            <w:r>
              <w:rPr>
                <w:noProof/>
                <w:webHidden/>
              </w:rPr>
              <w:t>40</w:t>
            </w:r>
            <w:r>
              <w:rPr>
                <w:noProof/>
                <w:webHidden/>
              </w:rPr>
              <w:fldChar w:fldCharType="end"/>
            </w:r>
          </w:hyperlink>
        </w:p>
        <w:p w14:paraId="2D562F2C" w14:textId="29F3057F"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6" w:history="1">
            <w:r w:rsidRPr="008F3D34">
              <w:rPr>
                <w:rStyle w:val="Hyperlink"/>
                <w:noProof/>
              </w:rPr>
              <w:t>Attachment 2 - Temporary Capability Change Notification Template</w:t>
            </w:r>
            <w:r>
              <w:rPr>
                <w:noProof/>
                <w:webHidden/>
              </w:rPr>
              <w:tab/>
            </w:r>
            <w:r>
              <w:rPr>
                <w:noProof/>
                <w:webHidden/>
              </w:rPr>
              <w:fldChar w:fldCharType="begin"/>
            </w:r>
            <w:r>
              <w:rPr>
                <w:noProof/>
                <w:webHidden/>
              </w:rPr>
              <w:instrText xml:space="preserve"> PAGEREF _Toc211343306 \h </w:instrText>
            </w:r>
            <w:r>
              <w:rPr>
                <w:noProof/>
                <w:webHidden/>
              </w:rPr>
            </w:r>
            <w:r>
              <w:rPr>
                <w:noProof/>
                <w:webHidden/>
              </w:rPr>
              <w:fldChar w:fldCharType="separate"/>
            </w:r>
            <w:r>
              <w:rPr>
                <w:noProof/>
                <w:webHidden/>
              </w:rPr>
              <w:t>42</w:t>
            </w:r>
            <w:r>
              <w:rPr>
                <w:noProof/>
                <w:webHidden/>
              </w:rPr>
              <w:fldChar w:fldCharType="end"/>
            </w:r>
          </w:hyperlink>
        </w:p>
        <w:p w14:paraId="1B958EB8" w14:textId="5E5C7F34" w:rsidR="346D7DB3" w:rsidRDefault="346D7DB3" w:rsidP="346D7DB3">
          <w:pPr>
            <w:pStyle w:val="TOC2"/>
            <w:tabs>
              <w:tab w:val="clear" w:pos="9350"/>
              <w:tab w:val="right" w:leader="dot" w:pos="9345"/>
            </w:tabs>
            <w:rPr>
              <w:rStyle w:val="Hyperlink"/>
            </w:rPr>
          </w:pPr>
          <w:r>
            <w:fldChar w:fldCharType="end"/>
          </w:r>
        </w:p>
      </w:sdtContent>
    </w:sdt>
    <w:p w14:paraId="45230689" w14:textId="0BC06BAF" w:rsidR="005575AF" w:rsidRDefault="005575AF"/>
    <w:p w14:paraId="1F6EAB8D" w14:textId="77777777" w:rsidR="005A4917" w:rsidRDefault="005A4917">
      <w:pPr>
        <w:spacing w:line="279" w:lineRule="auto"/>
        <w:rPr>
          <w:rFonts w:eastAsiaTheme="majorEastAsia" w:cstheme="majorBidi"/>
          <w:color w:val="0F4761" w:themeColor="accent1" w:themeShade="BF"/>
          <w:sz w:val="40"/>
          <w:szCs w:val="40"/>
        </w:rPr>
      </w:pPr>
      <w:r>
        <w:br w:type="page"/>
      </w:r>
    </w:p>
    <w:p w14:paraId="7C928014" w14:textId="6BC5D44E" w:rsidR="00DE293A" w:rsidRPr="00E95F61" w:rsidRDefault="00751B0A" w:rsidP="0067294F">
      <w:pPr>
        <w:pStyle w:val="Heading1"/>
        <w:numPr>
          <w:ilvl w:val="0"/>
          <w:numId w:val="0"/>
        </w:numPr>
        <w:rPr>
          <w:color w:val="201547"/>
          <w:sz w:val="44"/>
          <w:szCs w:val="44"/>
        </w:rPr>
      </w:pPr>
      <w:bookmarkStart w:id="3" w:name="_Toc211343271"/>
      <w:r w:rsidRPr="00E95F61">
        <w:rPr>
          <w:color w:val="201547"/>
          <w:sz w:val="44"/>
          <w:szCs w:val="44"/>
        </w:rPr>
        <w:lastRenderedPageBreak/>
        <w:t>Overview</w:t>
      </w:r>
      <w:bookmarkEnd w:id="3"/>
      <w:bookmarkEnd w:id="2"/>
      <w:bookmarkEnd w:id="1"/>
    </w:p>
    <w:p w14:paraId="162D7B55" w14:textId="77777777" w:rsidR="00A15A05" w:rsidRDefault="00A15A05" w:rsidP="00A15A05">
      <w:pPr>
        <w:pStyle w:val="DHHSbody"/>
        <w:spacing w:before="240"/>
        <w:rPr>
          <w:szCs w:val="21"/>
        </w:rPr>
      </w:pPr>
      <w:r w:rsidRPr="00A15A05">
        <w:rPr>
          <w:szCs w:val="21"/>
        </w:rPr>
        <w:t xml:space="preserve">The </w:t>
      </w:r>
      <w:r w:rsidRPr="00A15A05">
        <w:rPr>
          <w:i/>
          <w:iCs/>
          <w:szCs w:val="21"/>
        </w:rPr>
        <w:t>Victorian Health Services Performance Monitoring Framework</w:t>
      </w:r>
      <w:r w:rsidRPr="00A15A05">
        <w:rPr>
          <w:szCs w:val="21"/>
        </w:rPr>
        <w:t xml:space="preserve"> (the ‘Framework’) articulates how the Department of Health (‘the department’), as the steward of Victoria’s public health system, oversees the performance of health services to deliver safe, high-quality, accessible, and sustainable healthcare for Victorian patients and communities. </w:t>
      </w:r>
    </w:p>
    <w:p w14:paraId="69E139E1" w14:textId="77777777" w:rsidR="00A15A05" w:rsidRPr="00A15A05" w:rsidRDefault="00A15A05" w:rsidP="00A15A05">
      <w:pPr>
        <w:pStyle w:val="DHHSbody"/>
        <w:spacing w:before="240"/>
        <w:rPr>
          <w:szCs w:val="21"/>
        </w:rPr>
      </w:pPr>
      <w:r w:rsidRPr="00A15A05">
        <w:rPr>
          <w:szCs w:val="21"/>
        </w:rPr>
        <w:t xml:space="preserve">The Framework has progressively incorporated a broader range of performance factors, balancing quantitative and qualitative measures to assess not only target achievement but also continuous improvement and risk management. </w:t>
      </w:r>
    </w:p>
    <w:p w14:paraId="54FFC79E" w14:textId="2F96B45A" w:rsidR="00A15A05" w:rsidRPr="00A15A05" w:rsidRDefault="00A15A05" w:rsidP="00A15A05">
      <w:pPr>
        <w:pStyle w:val="DHHSbody"/>
        <w:spacing w:before="240"/>
        <w:rPr>
          <w:szCs w:val="21"/>
        </w:rPr>
      </w:pPr>
      <w:r w:rsidRPr="00A15A05">
        <w:rPr>
          <w:szCs w:val="21"/>
        </w:rPr>
        <w:t>In 2024-25, the Framework was substantially revised to reset expectations, strengthen central support, and clarify accountability</w:t>
      </w:r>
      <w:r w:rsidR="00A61358">
        <w:rPr>
          <w:szCs w:val="21"/>
        </w:rPr>
        <w:t xml:space="preserve">, </w:t>
      </w:r>
      <w:r w:rsidR="00A61358" w:rsidRPr="00A61358">
        <w:rPr>
          <w:szCs w:val="21"/>
        </w:rPr>
        <w:t>this has been further refined in 2025-26.</w:t>
      </w:r>
      <w:r w:rsidR="00A51B6B">
        <w:rPr>
          <w:szCs w:val="21"/>
        </w:rPr>
        <w:t xml:space="preserve"> </w:t>
      </w:r>
      <w:r w:rsidRPr="00A15A05">
        <w:rPr>
          <w:szCs w:val="21"/>
        </w:rPr>
        <w:t>For 2025-26, the Framework builds on these changes with a</w:t>
      </w:r>
      <w:r w:rsidR="00C26E83">
        <w:rPr>
          <w:szCs w:val="21"/>
        </w:rPr>
        <w:t>n emphasis</w:t>
      </w:r>
      <w:r w:rsidRPr="00A15A05">
        <w:rPr>
          <w:szCs w:val="21"/>
        </w:rPr>
        <w:t xml:space="preserve"> on:</w:t>
      </w:r>
    </w:p>
    <w:p w14:paraId="32BF908A" w14:textId="0F2BFC8A" w:rsidR="00680B7A" w:rsidRPr="00680B7A" w:rsidRDefault="00680B7A" w:rsidP="00C02D14">
      <w:pPr>
        <w:pStyle w:val="DHHSbody"/>
        <w:numPr>
          <w:ilvl w:val="0"/>
          <w:numId w:val="11"/>
        </w:numPr>
        <w:spacing w:before="240"/>
        <w:rPr>
          <w:szCs w:val="21"/>
        </w:rPr>
      </w:pPr>
      <w:r w:rsidRPr="00057765">
        <w:rPr>
          <w:b/>
          <w:bCs/>
          <w:szCs w:val="21"/>
        </w:rPr>
        <w:t>Focusing</w:t>
      </w:r>
      <w:r>
        <w:rPr>
          <w:b/>
          <w:bCs/>
          <w:szCs w:val="21"/>
        </w:rPr>
        <w:t xml:space="preserve"> on</w:t>
      </w:r>
      <w:r w:rsidRPr="00057765">
        <w:rPr>
          <w:b/>
          <w:bCs/>
          <w:szCs w:val="21"/>
        </w:rPr>
        <w:t xml:space="preserve"> core </w:t>
      </w:r>
      <w:r w:rsidRPr="001401D3">
        <w:rPr>
          <w:b/>
          <w:szCs w:val="21"/>
        </w:rPr>
        <w:t>performance priorities:</w:t>
      </w:r>
      <w:r w:rsidRPr="00A15A05">
        <w:rPr>
          <w:szCs w:val="21"/>
        </w:rPr>
        <w:t xml:space="preserve"> Emphasising access to care, </w:t>
      </w:r>
      <w:r w:rsidR="00A238FA">
        <w:rPr>
          <w:szCs w:val="21"/>
        </w:rPr>
        <w:t xml:space="preserve">workforce sustainability, </w:t>
      </w:r>
      <w:r w:rsidRPr="00A15A05">
        <w:rPr>
          <w:szCs w:val="21"/>
        </w:rPr>
        <w:t xml:space="preserve">financial management, and safety (including culturally safe services), while maintaining adaptability to </w:t>
      </w:r>
      <w:r w:rsidRPr="001401D3">
        <w:rPr>
          <w:szCs w:val="21"/>
        </w:rPr>
        <w:t>government priorities.</w:t>
      </w:r>
    </w:p>
    <w:p w14:paraId="215C2FA1" w14:textId="1064ECBD" w:rsidR="00657891" w:rsidRPr="00657891" w:rsidRDefault="00657891" w:rsidP="00C02D14">
      <w:pPr>
        <w:pStyle w:val="DHHSbody"/>
        <w:numPr>
          <w:ilvl w:val="0"/>
          <w:numId w:val="11"/>
        </w:numPr>
        <w:spacing w:before="240"/>
        <w:rPr>
          <w:szCs w:val="21"/>
        </w:rPr>
      </w:pPr>
      <w:r w:rsidRPr="00A070DD">
        <w:rPr>
          <w:b/>
          <w:bCs/>
          <w:szCs w:val="21"/>
        </w:rPr>
        <w:t>Risk-based alignment:</w:t>
      </w:r>
      <w:r w:rsidRPr="00A070DD">
        <w:rPr>
          <w:szCs w:val="21"/>
        </w:rPr>
        <w:t xml:space="preserve"> Aligning with the department’s risk-response focus </w:t>
      </w:r>
      <w:r>
        <w:rPr>
          <w:szCs w:val="21"/>
        </w:rPr>
        <w:t xml:space="preserve">through collaborative </w:t>
      </w:r>
      <w:r w:rsidRPr="00A070DD">
        <w:rPr>
          <w:szCs w:val="21"/>
        </w:rPr>
        <w:t xml:space="preserve">engagement with health services based on </w:t>
      </w:r>
      <w:r>
        <w:rPr>
          <w:szCs w:val="21"/>
        </w:rPr>
        <w:t>risk,</w:t>
      </w:r>
      <w:r w:rsidRPr="00A070DD">
        <w:rPr>
          <w:szCs w:val="21"/>
        </w:rPr>
        <w:t xml:space="preserve"> complexity, and performance tier</w:t>
      </w:r>
      <w:r>
        <w:rPr>
          <w:szCs w:val="21"/>
        </w:rPr>
        <w:t xml:space="preserve">. </w:t>
      </w:r>
    </w:p>
    <w:p w14:paraId="7399D828" w14:textId="33AA250D" w:rsidR="00A15A05" w:rsidRPr="00A15A05" w:rsidRDefault="00A15A05" w:rsidP="00C02D14">
      <w:pPr>
        <w:pStyle w:val="DHHSbody"/>
        <w:numPr>
          <w:ilvl w:val="0"/>
          <w:numId w:val="11"/>
        </w:numPr>
        <w:spacing w:before="240"/>
        <w:rPr>
          <w:szCs w:val="21"/>
        </w:rPr>
      </w:pPr>
      <w:r w:rsidRPr="00057765">
        <w:rPr>
          <w:b/>
          <w:bCs/>
          <w:szCs w:val="21"/>
        </w:rPr>
        <w:t>Increasing transparency in performance tier changes:</w:t>
      </w:r>
      <w:r w:rsidRPr="00A15A05">
        <w:rPr>
          <w:szCs w:val="21"/>
        </w:rPr>
        <w:t xml:space="preserve"> Clearly communicating how performance tiers are determined, the step-by-step process for tier changes, and </w:t>
      </w:r>
      <w:r w:rsidR="00FA47A8">
        <w:rPr>
          <w:szCs w:val="21"/>
        </w:rPr>
        <w:t>defined</w:t>
      </w:r>
      <w:r w:rsidR="00FA47A8" w:rsidRPr="00A15A05">
        <w:rPr>
          <w:szCs w:val="21"/>
        </w:rPr>
        <w:t xml:space="preserve"> </w:t>
      </w:r>
      <w:r w:rsidRPr="00A15A05">
        <w:rPr>
          <w:szCs w:val="21"/>
        </w:rPr>
        <w:t>exit criteria to ensure health services understand expectations and outcomes.</w:t>
      </w:r>
    </w:p>
    <w:p w14:paraId="0DD9E5A5" w14:textId="54FA2202" w:rsidR="005D1F40" w:rsidRDefault="00A15A05" w:rsidP="00C02D14">
      <w:pPr>
        <w:pStyle w:val="DHHSbody"/>
        <w:numPr>
          <w:ilvl w:val="0"/>
          <w:numId w:val="11"/>
        </w:numPr>
        <w:spacing w:before="240"/>
        <w:rPr>
          <w:szCs w:val="21"/>
        </w:rPr>
      </w:pPr>
      <w:r w:rsidRPr="00A070DD">
        <w:rPr>
          <w:b/>
          <w:bCs/>
          <w:szCs w:val="21"/>
        </w:rPr>
        <w:t xml:space="preserve">Tailored </w:t>
      </w:r>
      <w:r w:rsidR="00201EBA" w:rsidRPr="00A070DD">
        <w:rPr>
          <w:b/>
          <w:bCs/>
          <w:szCs w:val="21"/>
        </w:rPr>
        <w:t>s</w:t>
      </w:r>
      <w:r w:rsidRPr="00A070DD">
        <w:rPr>
          <w:b/>
          <w:bCs/>
          <w:szCs w:val="21"/>
        </w:rPr>
        <w:t xml:space="preserve">upport </w:t>
      </w:r>
      <w:r w:rsidR="00245D7D" w:rsidRPr="00A070DD">
        <w:rPr>
          <w:b/>
          <w:bCs/>
          <w:szCs w:val="21"/>
        </w:rPr>
        <w:t xml:space="preserve">to </w:t>
      </w:r>
      <w:r w:rsidR="008F708C">
        <w:rPr>
          <w:b/>
          <w:bCs/>
          <w:szCs w:val="21"/>
        </w:rPr>
        <w:t xml:space="preserve">meet </w:t>
      </w:r>
      <w:r w:rsidR="00245D7D" w:rsidRPr="00A070DD">
        <w:rPr>
          <w:b/>
          <w:bCs/>
          <w:szCs w:val="21"/>
        </w:rPr>
        <w:t>the needs of the health service</w:t>
      </w:r>
      <w:r w:rsidRPr="00A070DD">
        <w:rPr>
          <w:b/>
          <w:bCs/>
          <w:szCs w:val="21"/>
        </w:rPr>
        <w:t>:</w:t>
      </w:r>
      <w:r w:rsidR="0042766D">
        <w:rPr>
          <w:szCs w:val="21"/>
        </w:rPr>
        <w:t xml:space="preserve"> </w:t>
      </w:r>
      <w:r w:rsidR="00E37579">
        <w:rPr>
          <w:szCs w:val="21"/>
        </w:rPr>
        <w:t>A</w:t>
      </w:r>
      <w:r w:rsidRPr="00A070DD">
        <w:rPr>
          <w:szCs w:val="21"/>
        </w:rPr>
        <w:t>djust</w:t>
      </w:r>
      <w:r w:rsidR="00E33AF9">
        <w:rPr>
          <w:szCs w:val="21"/>
        </w:rPr>
        <w:t>ing</w:t>
      </w:r>
      <w:r w:rsidRPr="00A070DD">
        <w:rPr>
          <w:szCs w:val="21"/>
        </w:rPr>
        <w:t xml:space="preserve"> performance monitoring approach to offer greater flexibility, ensuring equitable and relevant expectations. Adopting streamlined escalation processes and fostering proportionate oversight and support.</w:t>
      </w:r>
    </w:p>
    <w:p w14:paraId="68BE806D" w14:textId="14E64E50" w:rsidR="003A1023" w:rsidRPr="003A1023" w:rsidRDefault="003A1023" w:rsidP="003A1023">
      <w:pPr>
        <w:pStyle w:val="ListParagraph"/>
        <w:numPr>
          <w:ilvl w:val="0"/>
          <w:numId w:val="11"/>
        </w:numPr>
        <w:contextualSpacing/>
        <w:rPr>
          <w:rFonts w:ascii="Arial" w:eastAsia="Times" w:hAnsi="Arial" w:cs="Times New Roman"/>
          <w:sz w:val="21"/>
          <w:szCs w:val="21"/>
          <w14:ligatures w14:val="none"/>
        </w:rPr>
      </w:pPr>
      <w:r w:rsidRPr="003A1023">
        <w:rPr>
          <w:rFonts w:ascii="Arial" w:eastAsia="Times" w:hAnsi="Arial" w:cs="Times New Roman"/>
          <w:b/>
          <w:bCs/>
          <w:sz w:val="21"/>
          <w:szCs w:val="21"/>
          <w14:ligatures w14:val="none"/>
        </w:rPr>
        <w:t>Supporting improvement:</w:t>
      </w:r>
      <w:r w:rsidRPr="003A1023">
        <w:rPr>
          <w:rFonts w:ascii="Arial" w:eastAsia="Times" w:hAnsi="Arial" w:cs="Times New Roman"/>
          <w:sz w:val="21"/>
          <w:szCs w:val="21"/>
          <w14:ligatures w14:val="none"/>
        </w:rPr>
        <w:t xml:space="preserve"> Through regular engagement, strengthened collaboration and ways of working, access to shared resources and best practices to drive continuous improvement in health service performance.</w:t>
      </w:r>
    </w:p>
    <w:p w14:paraId="7E2CCAD6" w14:textId="6E40780D" w:rsidR="00A15A05" w:rsidRDefault="00A15A05" w:rsidP="00A15A05">
      <w:pPr>
        <w:pStyle w:val="DHHSbody"/>
        <w:spacing w:before="240"/>
        <w:rPr>
          <w:szCs w:val="21"/>
        </w:rPr>
      </w:pPr>
      <w:r w:rsidRPr="00A15A05">
        <w:rPr>
          <w:szCs w:val="21"/>
        </w:rPr>
        <w:t xml:space="preserve">The Framework adopts a risk-based approach to performance </w:t>
      </w:r>
      <w:r w:rsidR="00456A7D">
        <w:rPr>
          <w:szCs w:val="21"/>
        </w:rPr>
        <w:t>monitoring</w:t>
      </w:r>
      <w:r w:rsidRPr="00A15A05">
        <w:rPr>
          <w:szCs w:val="21"/>
        </w:rPr>
        <w:t xml:space="preserve">, enabling the department to assign performance tiers and tailor support based on both performance outcomes and underlying risks. </w:t>
      </w:r>
    </w:p>
    <w:p w14:paraId="176E6809" w14:textId="77777777" w:rsidR="00A15A05" w:rsidRPr="00A15A05" w:rsidRDefault="00A15A05" w:rsidP="00A15A05">
      <w:pPr>
        <w:pStyle w:val="DHHSbody"/>
        <w:spacing w:before="240"/>
        <w:rPr>
          <w:szCs w:val="21"/>
        </w:rPr>
      </w:pPr>
      <w:r w:rsidRPr="00A15A05">
        <w:rPr>
          <w:szCs w:val="21"/>
        </w:rPr>
        <w:t>The remainder of this document is structured as follows:</w:t>
      </w:r>
    </w:p>
    <w:p w14:paraId="0199D127" w14:textId="77777777" w:rsidR="00A15A05" w:rsidRPr="00DA4F60" w:rsidRDefault="00A15A05" w:rsidP="00C02D14">
      <w:pPr>
        <w:pStyle w:val="DHHSbody"/>
        <w:numPr>
          <w:ilvl w:val="0"/>
          <w:numId w:val="12"/>
        </w:numPr>
        <w:spacing w:before="240"/>
        <w:rPr>
          <w:szCs w:val="21"/>
        </w:rPr>
      </w:pPr>
      <w:r w:rsidRPr="00DA4F60">
        <w:rPr>
          <w:b/>
          <w:szCs w:val="21"/>
        </w:rPr>
        <w:t>Section 1</w:t>
      </w:r>
      <w:r w:rsidRPr="00DA4F60">
        <w:rPr>
          <w:szCs w:val="21"/>
        </w:rPr>
        <w:t xml:space="preserve"> sets out the scope of the Framework, including its legislative basis in the </w:t>
      </w:r>
      <w:r w:rsidRPr="00D055B1">
        <w:rPr>
          <w:i/>
          <w:iCs/>
          <w:szCs w:val="21"/>
        </w:rPr>
        <w:t>Health Services Act 1988</w:t>
      </w:r>
      <w:r w:rsidRPr="00DA4F60">
        <w:rPr>
          <w:szCs w:val="21"/>
        </w:rPr>
        <w:t>, its application to publicly funded health services, and links to key policy documents and operating parameters.</w:t>
      </w:r>
    </w:p>
    <w:p w14:paraId="04F97B45" w14:textId="0B2FC6E2" w:rsidR="00A15A05" w:rsidRPr="0014498D" w:rsidRDefault="00A15A05" w:rsidP="00C02D14">
      <w:pPr>
        <w:pStyle w:val="DHHSbody"/>
        <w:numPr>
          <w:ilvl w:val="0"/>
          <w:numId w:val="12"/>
        </w:numPr>
        <w:spacing w:before="240"/>
        <w:rPr>
          <w:szCs w:val="21"/>
        </w:rPr>
      </w:pPr>
      <w:r w:rsidRPr="0074775B">
        <w:rPr>
          <w:b/>
          <w:szCs w:val="21"/>
        </w:rPr>
        <w:t>Section 2</w:t>
      </w:r>
      <w:r w:rsidRPr="0074775B">
        <w:rPr>
          <w:szCs w:val="21"/>
        </w:rPr>
        <w:t xml:space="preserve"> </w:t>
      </w:r>
      <w:r w:rsidR="00E0139B" w:rsidRPr="0074775B">
        <w:rPr>
          <w:szCs w:val="21"/>
        </w:rPr>
        <w:t>outlines</w:t>
      </w:r>
      <w:r w:rsidRPr="0074775B">
        <w:rPr>
          <w:szCs w:val="21"/>
        </w:rPr>
        <w:t xml:space="preserve"> key</w:t>
      </w:r>
      <w:r w:rsidR="00DD419E" w:rsidRPr="0074775B">
        <w:rPr>
          <w:szCs w:val="21"/>
        </w:rPr>
        <w:t xml:space="preserve"> components</w:t>
      </w:r>
      <w:r w:rsidRPr="0074775B">
        <w:rPr>
          <w:szCs w:val="21"/>
        </w:rPr>
        <w:t xml:space="preserve"> of the Framework</w:t>
      </w:r>
      <w:r w:rsidR="00E12DCD" w:rsidRPr="0074775B">
        <w:rPr>
          <w:szCs w:val="21"/>
        </w:rPr>
        <w:t xml:space="preserve"> including performance cycle, </w:t>
      </w:r>
      <w:r w:rsidR="00E12DCD" w:rsidRPr="0014498D">
        <w:rPr>
          <w:szCs w:val="21"/>
        </w:rPr>
        <w:t>performance domain and performance tier</w:t>
      </w:r>
      <w:r w:rsidR="00CA15B8" w:rsidRPr="0014498D">
        <w:rPr>
          <w:szCs w:val="21"/>
        </w:rPr>
        <w:t>s</w:t>
      </w:r>
      <w:r w:rsidR="00C70A48" w:rsidRPr="0014498D">
        <w:rPr>
          <w:szCs w:val="21"/>
        </w:rPr>
        <w:t>.</w:t>
      </w:r>
    </w:p>
    <w:p w14:paraId="71FABF16" w14:textId="53AAED5F" w:rsidR="00A15A05" w:rsidRPr="00D770F4" w:rsidRDefault="00A15A05" w:rsidP="00C02D14">
      <w:pPr>
        <w:pStyle w:val="ListParagraph"/>
        <w:numPr>
          <w:ilvl w:val="0"/>
          <w:numId w:val="12"/>
        </w:numPr>
        <w:rPr>
          <w:rFonts w:ascii="Arial" w:eastAsia="Times" w:hAnsi="Arial" w:cs="Arial"/>
          <w:sz w:val="21"/>
          <w:szCs w:val="21"/>
          <w14:ligatures w14:val="none"/>
        </w:rPr>
      </w:pPr>
      <w:r w:rsidRPr="00D770F4">
        <w:rPr>
          <w:rFonts w:ascii="Arial" w:hAnsi="Arial" w:cs="Arial"/>
          <w:b/>
          <w:bCs/>
          <w:sz w:val="21"/>
          <w:szCs w:val="21"/>
        </w:rPr>
        <w:lastRenderedPageBreak/>
        <w:t>Section 3</w:t>
      </w:r>
      <w:r w:rsidR="00593209" w:rsidRPr="00D770F4">
        <w:rPr>
          <w:rFonts w:ascii="Arial" w:hAnsi="Arial" w:cs="Arial"/>
          <w:sz w:val="21"/>
          <w:szCs w:val="21"/>
        </w:rPr>
        <w:t xml:space="preserve"> </w:t>
      </w:r>
      <w:r w:rsidR="00593209" w:rsidRPr="00D770F4">
        <w:rPr>
          <w:rFonts w:ascii="Arial" w:eastAsia="Times" w:hAnsi="Arial" w:cs="Arial"/>
          <w:sz w:val="21"/>
          <w:szCs w:val="21"/>
          <w14:ligatures w14:val="none"/>
        </w:rPr>
        <w:t xml:space="preserve">details each </w:t>
      </w:r>
      <w:r w:rsidR="00AC4D55" w:rsidRPr="00D770F4">
        <w:rPr>
          <w:rFonts w:ascii="Arial" w:eastAsia="Times" w:hAnsi="Arial" w:cs="Arial"/>
          <w:sz w:val="21"/>
          <w:szCs w:val="21"/>
          <w14:ligatures w14:val="none"/>
        </w:rPr>
        <w:t>stage</w:t>
      </w:r>
      <w:r w:rsidR="00593209" w:rsidRPr="00D770F4">
        <w:rPr>
          <w:rFonts w:ascii="Arial" w:eastAsia="Times" w:hAnsi="Arial" w:cs="Arial"/>
          <w:sz w:val="21"/>
          <w:szCs w:val="21"/>
          <w14:ligatures w14:val="none"/>
        </w:rPr>
        <w:t xml:space="preserve"> of the performance cycle </w:t>
      </w:r>
      <w:r w:rsidRPr="00D770F4">
        <w:rPr>
          <w:rFonts w:ascii="Arial" w:hAnsi="Arial" w:cs="Arial"/>
          <w:sz w:val="21"/>
          <w:szCs w:val="21"/>
        </w:rPr>
        <w:t xml:space="preserve">encompassing </w:t>
      </w:r>
      <w:r w:rsidR="009435E0" w:rsidRPr="00D770F4">
        <w:rPr>
          <w:rFonts w:ascii="Arial" w:hAnsi="Arial" w:cs="Arial"/>
          <w:sz w:val="21"/>
          <w:szCs w:val="21"/>
        </w:rPr>
        <w:t>planning and strategy</w:t>
      </w:r>
      <w:r w:rsidRPr="00D770F4">
        <w:rPr>
          <w:rFonts w:ascii="Arial" w:hAnsi="Arial" w:cs="Arial"/>
          <w:sz w:val="21"/>
          <w:szCs w:val="21"/>
        </w:rPr>
        <w:t>, continuous improvement</w:t>
      </w:r>
      <w:r w:rsidR="00130373" w:rsidRPr="00D770F4">
        <w:rPr>
          <w:rFonts w:ascii="Arial" w:hAnsi="Arial" w:cs="Arial"/>
          <w:sz w:val="21"/>
          <w:szCs w:val="21"/>
        </w:rPr>
        <w:t xml:space="preserve"> and</w:t>
      </w:r>
      <w:r w:rsidRPr="00D770F4">
        <w:rPr>
          <w:rFonts w:ascii="Arial" w:hAnsi="Arial" w:cs="Arial"/>
          <w:sz w:val="21"/>
          <w:szCs w:val="21"/>
        </w:rPr>
        <w:t xml:space="preserve"> formal accountability</w:t>
      </w:r>
      <w:r w:rsidR="00C83DEA">
        <w:rPr>
          <w:rFonts w:ascii="Arial" w:hAnsi="Arial" w:cs="Arial"/>
          <w:sz w:val="21"/>
          <w:szCs w:val="21"/>
        </w:rPr>
        <w:t>.</w:t>
      </w:r>
    </w:p>
    <w:p w14:paraId="07C09364" w14:textId="77777777" w:rsidR="00D770F4" w:rsidRPr="00D770F4" w:rsidRDefault="00D770F4" w:rsidP="00D770F4">
      <w:pPr>
        <w:pStyle w:val="ListParagraph"/>
        <w:rPr>
          <w:rFonts w:ascii="Arial" w:eastAsia="Times" w:hAnsi="Arial" w:cs="Arial"/>
          <w:sz w:val="21"/>
          <w:szCs w:val="21"/>
          <w14:ligatures w14:val="none"/>
        </w:rPr>
      </w:pPr>
    </w:p>
    <w:p w14:paraId="660EB6D8" w14:textId="77777777" w:rsidR="00040B5F" w:rsidRPr="00D770F4" w:rsidRDefault="00A15A05" w:rsidP="00C02D14">
      <w:pPr>
        <w:pStyle w:val="ListParagraph"/>
        <w:numPr>
          <w:ilvl w:val="0"/>
          <w:numId w:val="12"/>
        </w:numPr>
        <w:rPr>
          <w:rFonts w:ascii="Arial" w:eastAsia="Times" w:hAnsi="Arial" w:cs="Arial"/>
          <w:sz w:val="21"/>
          <w:szCs w:val="21"/>
          <w14:ligatures w14:val="none"/>
        </w:rPr>
      </w:pPr>
      <w:r w:rsidRPr="00040B5F">
        <w:rPr>
          <w:rFonts w:ascii="Arial" w:hAnsi="Arial" w:cs="Arial"/>
          <w:b/>
          <w:sz w:val="21"/>
          <w:szCs w:val="21"/>
        </w:rPr>
        <w:t>Section 4</w:t>
      </w:r>
      <w:r w:rsidRPr="00040B5F">
        <w:rPr>
          <w:rFonts w:ascii="Arial" w:hAnsi="Arial" w:cs="Arial"/>
          <w:sz w:val="21"/>
          <w:szCs w:val="21"/>
        </w:rPr>
        <w:t xml:space="preserve"> </w:t>
      </w:r>
      <w:r w:rsidR="00040B5F" w:rsidRPr="00D770F4">
        <w:rPr>
          <w:rFonts w:ascii="Arial" w:hAnsi="Arial" w:cs="Arial"/>
          <w:sz w:val="21"/>
          <w:szCs w:val="21"/>
        </w:rPr>
        <w:t xml:space="preserve">outlines </w:t>
      </w:r>
      <w:r w:rsidR="00040B5F">
        <w:rPr>
          <w:rFonts w:ascii="Arial" w:eastAsia="Times" w:hAnsi="Arial" w:cs="Arial"/>
          <w:sz w:val="21"/>
          <w:szCs w:val="21"/>
          <w14:ligatures w14:val="none"/>
        </w:rPr>
        <w:t>f</w:t>
      </w:r>
      <w:r w:rsidR="00040B5F" w:rsidRPr="00D770F4">
        <w:rPr>
          <w:rFonts w:ascii="Arial" w:eastAsia="Times" w:hAnsi="Arial" w:cs="Arial"/>
          <w:sz w:val="21"/>
          <w:szCs w:val="21"/>
          <w14:ligatures w14:val="none"/>
        </w:rPr>
        <w:t>ormal performance assessments and performance tier changes</w:t>
      </w:r>
      <w:r w:rsidR="00040B5F">
        <w:rPr>
          <w:rFonts w:ascii="Arial" w:eastAsia="Times" w:hAnsi="Arial" w:cs="Arial"/>
          <w:sz w:val="21"/>
          <w:szCs w:val="21"/>
          <w14:ligatures w14:val="none"/>
        </w:rPr>
        <w:t>.</w:t>
      </w:r>
    </w:p>
    <w:p w14:paraId="39298B60" w14:textId="5D89727B" w:rsidR="00EE731A" w:rsidRPr="00040B5F" w:rsidRDefault="00EE731A" w:rsidP="00040B5F">
      <w:pPr>
        <w:pStyle w:val="ListParagraph"/>
        <w:rPr>
          <w:rFonts w:ascii="Arial" w:hAnsi="Arial" w:cs="Arial"/>
          <w:b/>
          <w:bCs/>
          <w:sz w:val="21"/>
          <w:szCs w:val="21"/>
        </w:rPr>
      </w:pPr>
    </w:p>
    <w:p w14:paraId="62BD2B64" w14:textId="77777777" w:rsidR="00040B5F" w:rsidRPr="00EE731A" w:rsidRDefault="00EE731A" w:rsidP="00C02D14">
      <w:pPr>
        <w:pStyle w:val="ListParagraph"/>
        <w:numPr>
          <w:ilvl w:val="0"/>
          <w:numId w:val="12"/>
        </w:numPr>
        <w:rPr>
          <w:rFonts w:ascii="Arial" w:eastAsia="Times" w:hAnsi="Arial" w:cs="Arial"/>
          <w:sz w:val="21"/>
          <w:szCs w:val="21"/>
          <w14:ligatures w14:val="none"/>
        </w:rPr>
      </w:pPr>
      <w:r w:rsidRPr="00317FF4">
        <w:rPr>
          <w:rFonts w:ascii="Arial" w:hAnsi="Arial" w:cs="Arial"/>
          <w:b/>
          <w:bCs/>
          <w:sz w:val="21"/>
          <w:szCs w:val="21"/>
        </w:rPr>
        <w:t>Section 5</w:t>
      </w:r>
      <w:r>
        <w:rPr>
          <w:rFonts w:ascii="Arial" w:hAnsi="Arial" w:cs="Arial"/>
          <w:sz w:val="21"/>
          <w:szCs w:val="21"/>
        </w:rPr>
        <w:t xml:space="preserve"> </w:t>
      </w:r>
      <w:r w:rsidR="00040B5F">
        <w:rPr>
          <w:rFonts w:ascii="Arial" w:hAnsi="Arial" w:cs="Arial"/>
          <w:sz w:val="21"/>
          <w:szCs w:val="21"/>
        </w:rPr>
        <w:t>outlines performance meeting approach.</w:t>
      </w:r>
    </w:p>
    <w:p w14:paraId="76748419" w14:textId="685BE5C3" w:rsidR="00A15A05" w:rsidRPr="0014498D" w:rsidRDefault="00A15A05" w:rsidP="00C02D14">
      <w:pPr>
        <w:pStyle w:val="DHHSbody"/>
        <w:numPr>
          <w:ilvl w:val="0"/>
          <w:numId w:val="12"/>
        </w:numPr>
        <w:spacing w:before="240"/>
        <w:rPr>
          <w:szCs w:val="21"/>
        </w:rPr>
      </w:pPr>
      <w:r w:rsidRPr="0014498D">
        <w:rPr>
          <w:b/>
          <w:szCs w:val="21"/>
        </w:rPr>
        <w:t xml:space="preserve">Section </w:t>
      </w:r>
      <w:r w:rsidR="00317FF4">
        <w:rPr>
          <w:b/>
          <w:szCs w:val="21"/>
        </w:rPr>
        <w:t>6</w:t>
      </w:r>
      <w:r w:rsidRPr="0014498D">
        <w:rPr>
          <w:szCs w:val="21"/>
        </w:rPr>
        <w:t xml:space="preserve"> details distributed roles and responsibilities across the department, including key points of contact for health services.</w:t>
      </w:r>
    </w:p>
    <w:p w14:paraId="6EFC9FE0" w14:textId="5C86CE0B" w:rsidR="00A15A05" w:rsidRPr="0014498D" w:rsidRDefault="00A15A05" w:rsidP="00C02D14">
      <w:pPr>
        <w:pStyle w:val="DHHSbody"/>
        <w:numPr>
          <w:ilvl w:val="0"/>
          <w:numId w:val="12"/>
        </w:numPr>
        <w:spacing w:before="240"/>
        <w:rPr>
          <w:szCs w:val="21"/>
        </w:rPr>
      </w:pPr>
      <w:r w:rsidRPr="0014498D">
        <w:rPr>
          <w:b/>
          <w:szCs w:val="21"/>
        </w:rPr>
        <w:t>Section</w:t>
      </w:r>
      <w:r w:rsidR="00386921" w:rsidRPr="0014498D">
        <w:rPr>
          <w:b/>
          <w:szCs w:val="21"/>
        </w:rPr>
        <w:t xml:space="preserve"> </w:t>
      </w:r>
      <w:r w:rsidR="00317FF4">
        <w:rPr>
          <w:b/>
          <w:szCs w:val="21"/>
        </w:rPr>
        <w:t>7</w:t>
      </w:r>
      <w:r w:rsidRPr="0014498D">
        <w:rPr>
          <w:szCs w:val="21"/>
        </w:rPr>
        <w:t xml:space="preserve"> specifies formal reporting requirements.</w:t>
      </w:r>
    </w:p>
    <w:p w14:paraId="72C112F3" w14:textId="77777777" w:rsidR="00314F71" w:rsidRDefault="00314F71" w:rsidP="00406B3C">
      <w:pPr>
        <w:rPr>
          <w:rFonts w:eastAsia="Times" w:cs="Times New Roman"/>
          <w:sz w:val="21"/>
          <w:szCs w:val="21"/>
          <w:lang w:val="en-AU" w:eastAsia="en-US"/>
        </w:rPr>
      </w:pPr>
    </w:p>
    <w:p w14:paraId="74ACFAC5" w14:textId="232281C6" w:rsidR="007903F1" w:rsidRDefault="00314F71" w:rsidP="00406B3C">
      <w:pPr>
        <w:rPr>
          <w:rFonts w:eastAsia="Times" w:cs="Times New Roman"/>
          <w:sz w:val="21"/>
          <w:szCs w:val="21"/>
          <w:lang w:val="en-AU" w:eastAsia="en-US"/>
        </w:rPr>
      </w:pPr>
      <w:r w:rsidRPr="00314F71">
        <w:rPr>
          <w:rFonts w:eastAsia="Times" w:cs="Times New Roman"/>
          <w:sz w:val="21"/>
          <w:szCs w:val="21"/>
          <w:lang w:val="en-AU" w:eastAsia="en-US"/>
        </w:rPr>
        <w:t xml:space="preserve">The department is committed to partnering with health services to enhance performance through the Framework. </w:t>
      </w:r>
      <w:r>
        <w:rPr>
          <w:rFonts w:eastAsia="Times" w:cs="Times New Roman"/>
          <w:sz w:val="21"/>
          <w:szCs w:val="21"/>
          <w:lang w:val="en-AU" w:eastAsia="en-US"/>
        </w:rPr>
        <w:t>In</w:t>
      </w:r>
      <w:r w:rsidRPr="00314F71">
        <w:rPr>
          <w:rFonts w:eastAsia="Times" w:cs="Times New Roman"/>
          <w:sz w:val="21"/>
          <w:szCs w:val="21"/>
          <w:lang w:val="en-AU" w:eastAsia="en-US"/>
        </w:rPr>
        <w:t xml:space="preserve"> 2025-26, the department will </w:t>
      </w:r>
      <w:r w:rsidR="000706F6">
        <w:rPr>
          <w:rFonts w:eastAsia="Times" w:cs="Times New Roman"/>
          <w:sz w:val="21"/>
          <w:szCs w:val="21"/>
          <w:lang w:val="en-AU" w:eastAsia="en-US"/>
        </w:rPr>
        <w:t xml:space="preserve">continue to </w:t>
      </w:r>
      <w:r w:rsidRPr="00314F71">
        <w:rPr>
          <w:rFonts w:eastAsia="Times" w:cs="Times New Roman"/>
          <w:sz w:val="21"/>
          <w:szCs w:val="21"/>
          <w:lang w:val="en-AU" w:eastAsia="en-US"/>
        </w:rPr>
        <w:t>evaluate the Framework’s effectiveness, engaging with health services as needed to identify and prioriti</w:t>
      </w:r>
      <w:r w:rsidR="00DA1912">
        <w:rPr>
          <w:rFonts w:eastAsia="Times" w:cs="Times New Roman"/>
          <w:sz w:val="21"/>
          <w:szCs w:val="21"/>
          <w:lang w:val="en-AU" w:eastAsia="en-US"/>
        </w:rPr>
        <w:t>s</w:t>
      </w:r>
      <w:r w:rsidRPr="00314F71">
        <w:rPr>
          <w:rFonts w:eastAsia="Times" w:cs="Times New Roman"/>
          <w:sz w:val="21"/>
          <w:szCs w:val="21"/>
          <w:lang w:val="en-AU" w:eastAsia="en-US"/>
        </w:rPr>
        <w:t>e areas for ongoing improvement.</w:t>
      </w:r>
    </w:p>
    <w:p w14:paraId="766D53CA" w14:textId="5ABA70D5" w:rsidR="00E01AA1" w:rsidRDefault="00E01AA1" w:rsidP="00E01AA1">
      <w:pPr>
        <w:spacing w:line="279" w:lineRule="auto"/>
        <w:rPr>
          <w:rFonts w:eastAsia="Times" w:cs="Times New Roman"/>
          <w:sz w:val="21"/>
          <w:szCs w:val="21"/>
          <w:lang w:val="en-AU" w:eastAsia="en-US"/>
        </w:rPr>
      </w:pPr>
      <w:r>
        <w:rPr>
          <w:rFonts w:eastAsia="Times" w:cs="Times New Roman"/>
          <w:sz w:val="21"/>
          <w:szCs w:val="21"/>
          <w:lang w:val="en-AU" w:eastAsia="en-US"/>
        </w:rPr>
        <w:br w:type="page"/>
      </w:r>
    </w:p>
    <w:p w14:paraId="18A85664" w14:textId="2BADF932" w:rsidR="00751B0A" w:rsidRPr="00040B5F" w:rsidRDefault="00751B0A" w:rsidP="00FC308D">
      <w:pPr>
        <w:pStyle w:val="Heading1"/>
        <w:rPr>
          <w:color w:val="auto"/>
        </w:rPr>
      </w:pPr>
      <w:bookmarkStart w:id="4" w:name="_Ref166862992"/>
      <w:bookmarkStart w:id="5" w:name="_Toc167215580"/>
      <w:bookmarkStart w:id="6" w:name="_Toc167215677"/>
      <w:bookmarkStart w:id="7" w:name="_Toc211343272"/>
      <w:r w:rsidRPr="00040B5F">
        <w:rPr>
          <w:color w:val="auto"/>
        </w:rPr>
        <w:lastRenderedPageBreak/>
        <w:t>Scope of the Framework</w:t>
      </w:r>
      <w:bookmarkEnd w:id="4"/>
      <w:bookmarkEnd w:id="5"/>
      <w:bookmarkEnd w:id="6"/>
      <w:bookmarkEnd w:id="7"/>
    </w:p>
    <w:p w14:paraId="24835DBB" w14:textId="15AFD42C" w:rsidR="0094607A" w:rsidRPr="0094607A" w:rsidRDefault="0094607A" w:rsidP="0094607A">
      <w:pPr>
        <w:rPr>
          <w:sz w:val="21"/>
          <w:szCs w:val="21"/>
        </w:rPr>
      </w:pPr>
      <w:r w:rsidRPr="00766148">
        <w:rPr>
          <w:sz w:val="21"/>
          <w:szCs w:val="21"/>
        </w:rPr>
        <w:t xml:space="preserve">The Framework applies to all publicly funded health services, as listed </w:t>
      </w:r>
      <w:r w:rsidRPr="001B567F">
        <w:rPr>
          <w:sz w:val="21"/>
          <w:szCs w:val="21"/>
        </w:rPr>
        <w:t xml:space="preserve">in </w:t>
      </w:r>
      <w:r w:rsidRPr="001B567F">
        <w:rPr>
          <w:b/>
          <w:bCs/>
          <w:sz w:val="21"/>
          <w:szCs w:val="21"/>
        </w:rPr>
        <w:t>Appendix 1.</w:t>
      </w:r>
      <w:r w:rsidRPr="001B567F">
        <w:rPr>
          <w:sz w:val="21"/>
          <w:szCs w:val="21"/>
        </w:rPr>
        <w:t xml:space="preserve"> The</w:t>
      </w:r>
      <w:r w:rsidRPr="00766148">
        <w:rPr>
          <w:sz w:val="21"/>
          <w:szCs w:val="21"/>
        </w:rPr>
        <w:t xml:space="preserve"> term ‘health </w:t>
      </w:r>
      <w:r w:rsidR="00DD10DA" w:rsidRPr="00766148">
        <w:rPr>
          <w:sz w:val="21"/>
          <w:szCs w:val="21"/>
        </w:rPr>
        <w:t>services</w:t>
      </w:r>
      <w:r w:rsidRPr="00766148">
        <w:rPr>
          <w:sz w:val="21"/>
          <w:szCs w:val="21"/>
        </w:rPr>
        <w:t xml:space="preserve"> </w:t>
      </w:r>
      <w:r w:rsidR="00DD10DA" w:rsidRPr="00766148">
        <w:rPr>
          <w:sz w:val="21"/>
          <w:szCs w:val="21"/>
        </w:rPr>
        <w:t>refer</w:t>
      </w:r>
      <w:r w:rsidRPr="00766148">
        <w:rPr>
          <w:sz w:val="21"/>
          <w:szCs w:val="21"/>
        </w:rPr>
        <w:t xml:space="preserve"> to the ‘public hospitals</w:t>
      </w:r>
      <w:r w:rsidR="00EF025D" w:rsidRPr="00766148">
        <w:rPr>
          <w:sz w:val="21"/>
          <w:szCs w:val="21"/>
        </w:rPr>
        <w:t xml:space="preserve">’, </w:t>
      </w:r>
      <w:r w:rsidRPr="00766148">
        <w:rPr>
          <w:sz w:val="21"/>
          <w:szCs w:val="21"/>
        </w:rPr>
        <w:t xml:space="preserve">public health services’, and ‘multi-purpose services’ listed in the Health Services Act 1988, unless otherwise specified. </w:t>
      </w:r>
      <w:r w:rsidR="00DD10DA" w:rsidRPr="00766148">
        <w:rPr>
          <w:sz w:val="21"/>
          <w:szCs w:val="21"/>
        </w:rPr>
        <w:t xml:space="preserve">Similarly, </w:t>
      </w:r>
      <w:r w:rsidRPr="00766148">
        <w:rPr>
          <w:sz w:val="21"/>
          <w:szCs w:val="21"/>
        </w:rPr>
        <w:t xml:space="preserve">the department’ encompasses various areas within and alongside the Department of Health, including independent </w:t>
      </w:r>
      <w:r w:rsidRPr="0094607A">
        <w:rPr>
          <w:sz w:val="21"/>
          <w:szCs w:val="21"/>
        </w:rPr>
        <w:t>entities such as Safer Care Victoria and the Office of the Chief Psychiatrist.</w:t>
      </w:r>
    </w:p>
    <w:p w14:paraId="5EAF9032" w14:textId="65F3B7E5" w:rsidR="0094607A" w:rsidRPr="0094607A" w:rsidRDefault="0094607A" w:rsidP="0094607A">
      <w:pPr>
        <w:rPr>
          <w:sz w:val="21"/>
          <w:szCs w:val="21"/>
        </w:rPr>
      </w:pPr>
      <w:r w:rsidRPr="0094607A">
        <w:rPr>
          <w:sz w:val="21"/>
          <w:szCs w:val="21"/>
        </w:rPr>
        <w:t xml:space="preserve">The Framework draws its primary authority from, and operates in accordance with, the </w:t>
      </w:r>
      <w:r w:rsidRPr="0094607A">
        <w:rPr>
          <w:i/>
          <w:iCs/>
          <w:sz w:val="21"/>
          <w:szCs w:val="21"/>
        </w:rPr>
        <w:t>Health Services Act 1988 (</w:t>
      </w:r>
      <w:r w:rsidR="007227BB">
        <w:rPr>
          <w:i/>
          <w:iCs/>
          <w:sz w:val="21"/>
          <w:szCs w:val="21"/>
        </w:rPr>
        <w:t>HSA</w:t>
      </w:r>
      <w:r w:rsidRPr="0094607A">
        <w:rPr>
          <w:i/>
          <w:iCs/>
          <w:sz w:val="21"/>
          <w:szCs w:val="21"/>
        </w:rPr>
        <w:t>),</w:t>
      </w:r>
      <w:r w:rsidRPr="0094607A">
        <w:rPr>
          <w:sz w:val="21"/>
          <w:szCs w:val="21"/>
        </w:rPr>
        <w:t xml:space="preserve"> which defines the roles of Ministers, the department, Secretary, and Boards of Directors in overseeing health service performance. It is published as two interconnected documents: this Framework and the accompanying </w:t>
      </w:r>
      <w:hyperlink r:id="rId14" w:history="1">
        <w:r w:rsidRPr="0094607A">
          <w:rPr>
            <w:rStyle w:val="Hyperlink"/>
            <w:i/>
            <w:sz w:val="21"/>
            <w:szCs w:val="21"/>
          </w:rPr>
          <w:t>Victorian Health Services Performance Monitoring Framework Business Rules</w:t>
        </w:r>
        <w:r w:rsidRPr="0094607A">
          <w:rPr>
            <w:rStyle w:val="Hyperlink"/>
            <w:sz w:val="21"/>
            <w:szCs w:val="21"/>
          </w:rPr>
          <w:t xml:space="preserve"> </w:t>
        </w:r>
        <w:r w:rsidRPr="0094607A">
          <w:rPr>
            <w:rStyle w:val="Hyperlink"/>
            <w:sz w:val="21"/>
            <w:szCs w:val="21"/>
            <w:lang w:eastAsia="en-AU"/>
          </w:rPr>
          <w:t>&lt;</w:t>
        </w:r>
      </w:hyperlink>
      <w:hyperlink r:id="rId15" w:history="1">
        <w:r w:rsidRPr="0094607A">
          <w:rPr>
            <w:sz w:val="21"/>
            <w:szCs w:val="21"/>
            <w:lang w:eastAsia="en-AU"/>
          </w:rPr>
          <w:t>https://www.health.vic.gov.au/funding-performance-accountability/performance-monitoring-framework</w:t>
        </w:r>
      </w:hyperlink>
      <w:r w:rsidRPr="0094607A">
        <w:rPr>
          <w:sz w:val="21"/>
          <w:szCs w:val="21"/>
          <w:lang w:eastAsia="en-AU"/>
        </w:rPr>
        <w:t>&gt;</w:t>
      </w:r>
      <w:r w:rsidRPr="0094607A">
        <w:rPr>
          <w:sz w:val="21"/>
          <w:szCs w:val="21"/>
        </w:rPr>
        <w:t>.</w:t>
      </w:r>
      <w:r w:rsidRPr="0094607A">
        <w:rPr>
          <w:rStyle w:val="FootnoteReference"/>
          <w:sz w:val="21"/>
          <w:szCs w:val="21"/>
        </w:rPr>
        <w:footnoteReference w:id="2"/>
      </w:r>
      <w:r w:rsidRPr="0094607A">
        <w:rPr>
          <w:sz w:val="21"/>
          <w:szCs w:val="21"/>
        </w:rPr>
        <w:t xml:space="preserve"> The Business Rules detail key performance measures, risk factors, technical specifications, and updates for 2025-26.</w:t>
      </w:r>
    </w:p>
    <w:p w14:paraId="103BB006" w14:textId="77777777" w:rsidR="0094607A" w:rsidRPr="00002741" w:rsidRDefault="0094607A" w:rsidP="0094607A">
      <w:pPr>
        <w:rPr>
          <w:sz w:val="21"/>
          <w:szCs w:val="21"/>
        </w:rPr>
      </w:pPr>
      <w:r w:rsidRPr="00002741">
        <w:rPr>
          <w:sz w:val="21"/>
          <w:szCs w:val="21"/>
        </w:rPr>
        <w:t>The Framework aligns with broader operating parameters set by key policy documents, including:</w:t>
      </w:r>
    </w:p>
    <w:p w14:paraId="188EDFF8" w14:textId="3F62B2B4" w:rsidR="004700DD" w:rsidRPr="00992F92" w:rsidRDefault="004700DD" w:rsidP="004700DD">
      <w:pPr>
        <w:pStyle w:val="DHHSbullet1"/>
        <w:rPr>
          <w:rFonts w:cs="Arial"/>
          <w:szCs w:val="21"/>
        </w:rPr>
      </w:pPr>
      <w:bookmarkStart w:id="8" w:name="_Hlk200005126"/>
      <w:r w:rsidRPr="00F33A88">
        <w:rPr>
          <w:rFonts w:cs="Arial"/>
          <w:szCs w:val="21"/>
        </w:rPr>
        <w:t xml:space="preserve">strategic priorities and service delivery targets set out in each health service’s </w:t>
      </w:r>
      <w:hyperlink r:id="rId16" w:history="1">
        <w:r w:rsidRPr="00992F92">
          <w:rPr>
            <w:rStyle w:val="Hyperlink"/>
          </w:rPr>
          <w:t>Statement of Priorities</w:t>
        </w:r>
      </w:hyperlink>
      <w:r w:rsidRPr="00992F92">
        <w:rPr>
          <w:rStyle w:val="Hyperlink"/>
        </w:rPr>
        <w:t xml:space="preserve"> (</w:t>
      </w:r>
      <w:r w:rsidR="009D3B9B">
        <w:rPr>
          <w:rFonts w:cs="Arial"/>
          <w:szCs w:val="21"/>
        </w:rPr>
        <w:t>S</w:t>
      </w:r>
      <w:r w:rsidR="0063685D">
        <w:rPr>
          <w:rFonts w:cs="Arial"/>
          <w:szCs w:val="21"/>
        </w:rPr>
        <w:t>o</w:t>
      </w:r>
      <w:r w:rsidR="009D3B9B">
        <w:rPr>
          <w:rFonts w:cs="Arial"/>
          <w:szCs w:val="21"/>
        </w:rPr>
        <w:t>P</w:t>
      </w:r>
      <w:r>
        <w:rPr>
          <w:rFonts w:cs="Arial"/>
          <w:szCs w:val="21"/>
        </w:rPr>
        <w:t>s</w:t>
      </w:r>
      <w:r w:rsidRPr="00F33A88">
        <w:rPr>
          <w:rFonts w:cs="Arial"/>
          <w:szCs w:val="21"/>
        </w:rPr>
        <w:t>)</w:t>
      </w:r>
      <w:r>
        <w:rPr>
          <w:rFonts w:cs="Arial"/>
          <w:szCs w:val="21"/>
        </w:rPr>
        <w:t xml:space="preserve"> &lt;</w:t>
      </w:r>
      <w:hyperlink r:id="rId17" w:history="1">
        <w:r w:rsidRPr="00992F92">
          <w:t>https://www.health.vic.gov.au/funding-performance-accountability/statements-of-priorities</w:t>
        </w:r>
      </w:hyperlink>
      <w:r>
        <w:rPr>
          <w:rFonts w:cs="Arial"/>
          <w:szCs w:val="21"/>
        </w:rPr>
        <w:t>&gt;</w:t>
      </w:r>
      <w:r w:rsidRPr="00F33A88">
        <w:rPr>
          <w:rFonts w:cs="Arial"/>
          <w:szCs w:val="21"/>
        </w:rPr>
        <w:t>, the key service delivery and accountability agreements between health services and the Minister for Health and Ambulance Services</w:t>
      </w:r>
    </w:p>
    <w:p w14:paraId="3C32F2ED" w14:textId="540707E3" w:rsidR="004700DD" w:rsidRPr="00243B6C" w:rsidRDefault="004700DD" w:rsidP="004700DD">
      <w:pPr>
        <w:pStyle w:val="DHHSbullet1"/>
        <w:rPr>
          <w:rFonts w:cs="Arial"/>
          <w:szCs w:val="21"/>
        </w:rPr>
      </w:pPr>
      <w:r w:rsidRPr="00243B6C">
        <w:rPr>
          <w:rFonts w:cs="Arial"/>
          <w:szCs w:val="21"/>
        </w:rPr>
        <w:t>the</w:t>
      </w:r>
      <w:r w:rsidR="00325FA1" w:rsidRPr="00243B6C">
        <w:rPr>
          <w:rFonts w:cs="Arial"/>
          <w:szCs w:val="21"/>
        </w:rPr>
        <w:t xml:space="preserve"> </w:t>
      </w:r>
      <w:hyperlink r:id="rId18" w:history="1">
        <w:r w:rsidR="00325FA1" w:rsidRPr="00243B6C">
          <w:rPr>
            <w:rFonts w:eastAsiaTheme="minorEastAsia" w:cs="Arial"/>
            <w:color w:val="0000FF"/>
            <w:szCs w:val="21"/>
            <w:u w:val="single"/>
            <w:lang w:val="en-US" w:eastAsia="ja-JP"/>
          </w:rPr>
          <w:t>Department of Health’s Strategic Plan 2023-27</w:t>
        </w:r>
      </w:hyperlink>
      <w:r w:rsidRPr="00243B6C">
        <w:rPr>
          <w:rFonts w:cs="Arial"/>
          <w:szCs w:val="21"/>
        </w:rPr>
        <w:t xml:space="preserve"> &lt;</w:t>
      </w:r>
      <w:hyperlink r:id="rId19" w:history="1">
        <w:r w:rsidRPr="00243B6C">
          <w:rPr>
            <w:rFonts w:cs="Arial"/>
            <w:szCs w:val="21"/>
          </w:rPr>
          <w:t>https://www.health.vic.gov.au/our-strategic-plan-2023-27</w:t>
        </w:r>
      </w:hyperlink>
      <w:r w:rsidRPr="00243B6C">
        <w:rPr>
          <w:rFonts w:cs="Arial"/>
          <w:szCs w:val="21"/>
        </w:rPr>
        <w:t xml:space="preserve">&gt; and </w:t>
      </w:r>
      <w:hyperlink r:id="rId20" w:history="1">
        <w:r w:rsidRPr="00243B6C">
          <w:rPr>
            <w:rStyle w:val="Hyperlink"/>
            <w:szCs w:val="21"/>
          </w:rPr>
          <w:t>Outcomes Framework</w:t>
        </w:r>
      </w:hyperlink>
      <w:r w:rsidRPr="00243B6C">
        <w:rPr>
          <w:szCs w:val="21"/>
        </w:rPr>
        <w:t xml:space="preserve"> &lt;</w:t>
      </w:r>
      <w:hyperlink r:id="rId21" w:history="1">
        <w:r w:rsidRPr="00243B6C">
          <w:rPr>
            <w:szCs w:val="21"/>
          </w:rPr>
          <w:t>https://www.health.vic.gov.au/our-strategic-plan-2023-27/our-outcomes-framework</w:t>
        </w:r>
      </w:hyperlink>
      <w:r w:rsidRPr="00243B6C">
        <w:rPr>
          <w:szCs w:val="21"/>
        </w:rPr>
        <w:t>&gt;</w:t>
      </w:r>
      <w:r w:rsidRPr="00243B6C">
        <w:rPr>
          <w:rFonts w:cs="Arial"/>
          <w:szCs w:val="21"/>
        </w:rPr>
        <w:t xml:space="preserve">, which reflect the Victorian Government’s priorities and inform the </w:t>
      </w:r>
      <w:r w:rsidR="009D3B9B" w:rsidRPr="00243B6C">
        <w:rPr>
          <w:rFonts w:cs="Arial"/>
          <w:szCs w:val="21"/>
        </w:rPr>
        <w:t>S</w:t>
      </w:r>
      <w:r w:rsidR="0063685D" w:rsidRPr="00243B6C">
        <w:rPr>
          <w:rFonts w:cs="Arial"/>
          <w:szCs w:val="21"/>
        </w:rPr>
        <w:t>o</w:t>
      </w:r>
      <w:r w:rsidR="009D3B9B" w:rsidRPr="00243B6C">
        <w:rPr>
          <w:rFonts w:cs="Arial"/>
          <w:szCs w:val="21"/>
        </w:rPr>
        <w:t>P</w:t>
      </w:r>
      <w:r w:rsidRPr="00243B6C">
        <w:rPr>
          <w:rFonts w:cs="Arial"/>
          <w:szCs w:val="21"/>
        </w:rPr>
        <w:t>s</w:t>
      </w:r>
    </w:p>
    <w:p w14:paraId="099E5308" w14:textId="77777777" w:rsidR="004700DD" w:rsidRPr="00992F92" w:rsidRDefault="004700DD" w:rsidP="004700DD">
      <w:pPr>
        <w:pStyle w:val="DHHSbullet1"/>
        <w:rPr>
          <w:rFonts w:cs="Arial"/>
          <w:szCs w:val="21"/>
        </w:rPr>
      </w:pPr>
      <w:r w:rsidRPr="00992F92">
        <w:rPr>
          <w:rFonts w:cs="Arial"/>
          <w:szCs w:val="21"/>
        </w:rPr>
        <w:t xml:space="preserve">the conditions of health service funding (including detailed program and policy requirements) outlined in the </w:t>
      </w:r>
      <w:hyperlink r:id="rId22" w:history="1">
        <w:r w:rsidRPr="00992F92">
          <w:rPr>
            <w:rStyle w:val="Hyperlink"/>
          </w:rPr>
          <w:t>Policy and Funding Guidelines</w:t>
        </w:r>
      </w:hyperlink>
      <w:r w:rsidRPr="00992F92">
        <w:t xml:space="preserve"> &lt;</w:t>
      </w:r>
      <w:hyperlink r:id="rId23" w:history="1">
        <w:r w:rsidRPr="00992F92">
          <w:t>https://www.health.vic.gov.au/policy-and-funding-guidelines-for-health-services</w:t>
        </w:r>
      </w:hyperlink>
      <w:r w:rsidRPr="00992F92">
        <w:t>&gt;</w:t>
      </w:r>
    </w:p>
    <w:p w14:paraId="19E400B9" w14:textId="77777777" w:rsidR="004700DD" w:rsidRDefault="004700DD" w:rsidP="004700DD">
      <w:pPr>
        <w:pStyle w:val="DHHSbullet1"/>
        <w:rPr>
          <w:szCs w:val="21"/>
        </w:rPr>
      </w:pPr>
      <w:r w:rsidRPr="00F33A88">
        <w:rPr>
          <w:szCs w:val="21"/>
        </w:rPr>
        <w:t xml:space="preserve">the </w:t>
      </w:r>
      <w:hyperlink r:id="rId24" w:history="1">
        <w:r w:rsidRPr="00992F92">
          <w:rPr>
            <w:rStyle w:val="Hyperlink"/>
          </w:rPr>
          <w:t>Victorian Clinical Governance Framework</w:t>
        </w:r>
      </w:hyperlink>
      <w:r w:rsidRPr="00A25D1D">
        <w:rPr>
          <w:szCs w:val="21"/>
        </w:rPr>
        <w:t xml:space="preserve"> &lt;</w:t>
      </w:r>
      <w:hyperlink r:id="rId25" w:history="1">
        <w:r w:rsidRPr="00A25D1D">
          <w:rPr>
            <w:szCs w:val="21"/>
          </w:rPr>
          <w:t>https://www.safercare.vic.gov.au/best-practice-improvement/publications/clinical-governance-framework</w:t>
        </w:r>
      </w:hyperlink>
      <w:r w:rsidRPr="00A25D1D">
        <w:rPr>
          <w:szCs w:val="21"/>
        </w:rPr>
        <w:t>&gt;</w:t>
      </w:r>
      <w:r w:rsidRPr="00F33A88">
        <w:rPr>
          <w:szCs w:val="21"/>
        </w:rPr>
        <w:t xml:space="preserve">, which articulates expectations </w:t>
      </w:r>
      <w:r>
        <w:rPr>
          <w:szCs w:val="21"/>
        </w:rPr>
        <w:t>of</w:t>
      </w:r>
      <w:r w:rsidRPr="00F33A88">
        <w:rPr>
          <w:szCs w:val="21"/>
        </w:rPr>
        <w:t xml:space="preserve"> clinical governance to ensure quality and safety of care</w:t>
      </w:r>
    </w:p>
    <w:p w14:paraId="5AFC7021" w14:textId="2083055D" w:rsidR="004700DD" w:rsidRDefault="004700DD" w:rsidP="004700DD">
      <w:pPr>
        <w:pStyle w:val="DHHSbullet1"/>
        <w:rPr>
          <w:szCs w:val="21"/>
        </w:rPr>
      </w:pPr>
      <w:r w:rsidRPr="00225F4A">
        <w:rPr>
          <w:szCs w:val="21"/>
        </w:rPr>
        <w:t>the</w:t>
      </w:r>
      <w:r w:rsidR="00D21C53">
        <w:rPr>
          <w:szCs w:val="21"/>
        </w:rPr>
        <w:t xml:space="preserve"> </w:t>
      </w:r>
      <w:hyperlink r:id="rId26" w:history="1">
        <w:r w:rsidR="0070100C">
          <w:rPr>
            <w:rFonts w:eastAsiaTheme="minorEastAsia" w:cs="Arial"/>
            <w:color w:val="0000FF"/>
            <w:sz w:val="20"/>
            <w:u w:val="single"/>
            <w:lang w:val="en-US" w:eastAsia="ja-JP"/>
          </w:rPr>
          <w:t>Mental Health and Wellbeing Outcomes and Performance Framework</w:t>
        </w:r>
      </w:hyperlink>
      <w:r w:rsidR="0070100C">
        <w:rPr>
          <w:szCs w:val="21"/>
        </w:rPr>
        <w:t xml:space="preserve"> </w:t>
      </w:r>
      <w:r w:rsidR="00083023">
        <w:rPr>
          <w:szCs w:val="21"/>
        </w:rPr>
        <w:t>&lt;</w:t>
      </w:r>
      <w:r w:rsidR="00BC6596" w:rsidRPr="00BC6596">
        <w:rPr>
          <w:szCs w:val="21"/>
        </w:rPr>
        <w:t>https://www.health.vic.gov.au/mental-health/research-and-reporting/mental-health-and-wellbeing-outcomes-and-performance-framework</w:t>
      </w:r>
      <w:r w:rsidR="00083023">
        <w:rPr>
          <w:szCs w:val="21"/>
        </w:rPr>
        <w:t>&gt;</w:t>
      </w:r>
      <w:r w:rsidR="00BC6596" w:rsidRPr="00BC6596">
        <w:rPr>
          <w:szCs w:val="21"/>
        </w:rPr>
        <w:t>.</w:t>
      </w:r>
    </w:p>
    <w:p w14:paraId="404C3219" w14:textId="23AA90EC" w:rsidR="0094607A" w:rsidRPr="00C3317B" w:rsidRDefault="0094607A" w:rsidP="0094607A">
      <w:pPr>
        <w:pStyle w:val="DHHSbullet1"/>
      </w:pPr>
      <w:r w:rsidRPr="00C3317B">
        <w:t xml:space="preserve">Service capability frameworks are being introduced for clinical streams across Victoria's health system. </w:t>
      </w:r>
      <w:hyperlink r:id="rId27" w:history="1">
        <w:r w:rsidRPr="00C3317B">
          <w:rPr>
            <w:rStyle w:val="Hyperlink"/>
            <w:rFonts w:cs="Arial"/>
            <w:szCs w:val="21"/>
            <w:lang w:val="en-US"/>
          </w:rPr>
          <w:t>Service capability frameworks for Victoria | health.vic.gov.au</w:t>
        </w:r>
      </w:hyperlink>
      <w:r w:rsidR="00F547B0">
        <w:t xml:space="preserve"> &lt;</w:t>
      </w:r>
      <w:r w:rsidR="00F547B0" w:rsidRPr="00F547B0">
        <w:t xml:space="preserve"> https://www.health.vic.gov.au/health-system-design-planning/service-capability-frameworks-for-victoria</w:t>
      </w:r>
      <w:r w:rsidR="00F547B0">
        <w:t>&gt;</w:t>
      </w:r>
    </w:p>
    <w:p w14:paraId="29D73655" w14:textId="77777777" w:rsidR="0094607A" w:rsidRPr="00AD0B3E" w:rsidRDefault="0094607A" w:rsidP="0094607A">
      <w:pPr>
        <w:pStyle w:val="DHHSbullet1"/>
        <w:numPr>
          <w:ilvl w:val="0"/>
          <w:numId w:val="0"/>
        </w:numPr>
        <w:ind w:left="284"/>
        <w:rPr>
          <w:szCs w:val="21"/>
        </w:rPr>
      </w:pPr>
    </w:p>
    <w:p w14:paraId="3FA602A7" w14:textId="2DA284DD" w:rsidR="00D46724" w:rsidRPr="00E95F61" w:rsidRDefault="00FC63CE" w:rsidP="00FC308D">
      <w:pPr>
        <w:pStyle w:val="Heading1"/>
        <w:rPr>
          <w:color w:val="201547"/>
          <w:sz w:val="44"/>
          <w:szCs w:val="44"/>
        </w:rPr>
      </w:pPr>
      <w:bookmarkStart w:id="9" w:name="_Ref166863215"/>
      <w:bookmarkStart w:id="10" w:name="_Toc167215581"/>
      <w:bookmarkStart w:id="11" w:name="_Toc167215678"/>
      <w:bookmarkStart w:id="12" w:name="_Toc211343273"/>
      <w:bookmarkStart w:id="13" w:name="_Ref107215605"/>
      <w:bookmarkEnd w:id="8"/>
      <w:r w:rsidRPr="00146AFE">
        <w:rPr>
          <w:color w:val="201547"/>
          <w:sz w:val="44"/>
          <w:szCs w:val="44"/>
        </w:rPr>
        <w:lastRenderedPageBreak/>
        <w:t xml:space="preserve">Key </w:t>
      </w:r>
      <w:r w:rsidR="00E0139B">
        <w:rPr>
          <w:color w:val="201547"/>
          <w:sz w:val="44"/>
          <w:szCs w:val="44"/>
        </w:rPr>
        <w:t>components</w:t>
      </w:r>
      <w:r w:rsidRPr="00E95F61">
        <w:rPr>
          <w:color w:val="201547"/>
          <w:sz w:val="44"/>
          <w:szCs w:val="44"/>
        </w:rPr>
        <w:t xml:space="preserve"> </w:t>
      </w:r>
      <w:r w:rsidR="00E0139B">
        <w:rPr>
          <w:color w:val="201547"/>
          <w:sz w:val="44"/>
          <w:szCs w:val="44"/>
        </w:rPr>
        <w:t>of</w:t>
      </w:r>
      <w:r w:rsidRPr="00E95F61">
        <w:rPr>
          <w:color w:val="201547"/>
          <w:sz w:val="44"/>
          <w:szCs w:val="44"/>
        </w:rPr>
        <w:t xml:space="preserve"> the</w:t>
      </w:r>
      <w:r w:rsidR="00F4201A" w:rsidRPr="00E95F61">
        <w:rPr>
          <w:color w:val="201547"/>
          <w:sz w:val="44"/>
          <w:szCs w:val="44"/>
        </w:rPr>
        <w:t xml:space="preserve"> Framework</w:t>
      </w:r>
      <w:bookmarkEnd w:id="9"/>
      <w:bookmarkEnd w:id="10"/>
      <w:bookmarkEnd w:id="11"/>
      <w:bookmarkEnd w:id="12"/>
    </w:p>
    <w:p w14:paraId="403F32E0" w14:textId="0D5E8034" w:rsidR="009505E2" w:rsidRDefault="009505E2" w:rsidP="00591E06">
      <w:pPr>
        <w:pStyle w:val="DHHSbullet1"/>
        <w:numPr>
          <w:ilvl w:val="0"/>
          <w:numId w:val="0"/>
        </w:numPr>
        <w:spacing w:after="0" w:line="240" w:lineRule="auto"/>
        <w:rPr>
          <w:szCs w:val="21"/>
        </w:rPr>
      </w:pPr>
      <w:bookmarkStart w:id="14" w:name="_Toc167215589"/>
      <w:bookmarkStart w:id="15" w:name="_Toc167215686"/>
      <w:bookmarkStart w:id="16" w:name="_Toc169262053"/>
      <w:bookmarkEnd w:id="13"/>
      <w:r w:rsidRPr="009505E2">
        <w:rPr>
          <w:szCs w:val="21"/>
        </w:rPr>
        <w:t xml:space="preserve">The Framework is built around three </w:t>
      </w:r>
      <w:r>
        <w:rPr>
          <w:szCs w:val="21"/>
        </w:rPr>
        <w:t>key</w:t>
      </w:r>
      <w:r w:rsidRPr="009505E2">
        <w:rPr>
          <w:szCs w:val="21"/>
        </w:rPr>
        <w:t xml:space="preserve"> components: the </w:t>
      </w:r>
      <w:r w:rsidR="00C36BEA" w:rsidRPr="00C36BEA">
        <w:rPr>
          <w:b/>
          <w:bCs/>
          <w:szCs w:val="21"/>
        </w:rPr>
        <w:t>P</w:t>
      </w:r>
      <w:r w:rsidRPr="00C36BEA">
        <w:rPr>
          <w:b/>
          <w:bCs/>
          <w:szCs w:val="21"/>
        </w:rPr>
        <w:t xml:space="preserve">erformance </w:t>
      </w:r>
      <w:r w:rsidR="007C58CE">
        <w:rPr>
          <w:b/>
          <w:bCs/>
          <w:szCs w:val="21"/>
        </w:rPr>
        <w:t>C</w:t>
      </w:r>
      <w:r w:rsidRPr="00C36BEA">
        <w:rPr>
          <w:b/>
          <w:bCs/>
          <w:szCs w:val="21"/>
        </w:rPr>
        <w:t xml:space="preserve">ycle, </w:t>
      </w:r>
      <w:r w:rsidR="00C36BEA" w:rsidRPr="00C36BEA">
        <w:rPr>
          <w:b/>
          <w:bCs/>
          <w:szCs w:val="21"/>
        </w:rPr>
        <w:t>P</w:t>
      </w:r>
      <w:r w:rsidRPr="00C36BEA">
        <w:rPr>
          <w:b/>
          <w:bCs/>
          <w:szCs w:val="21"/>
        </w:rPr>
        <w:t xml:space="preserve">erformance </w:t>
      </w:r>
      <w:r w:rsidR="007C58CE">
        <w:rPr>
          <w:b/>
          <w:bCs/>
          <w:szCs w:val="21"/>
        </w:rPr>
        <w:t>D</w:t>
      </w:r>
      <w:r w:rsidRPr="00C36BEA">
        <w:rPr>
          <w:b/>
          <w:bCs/>
          <w:szCs w:val="21"/>
        </w:rPr>
        <w:t xml:space="preserve">omains, </w:t>
      </w:r>
      <w:r w:rsidRPr="00C36BEA">
        <w:rPr>
          <w:szCs w:val="21"/>
        </w:rPr>
        <w:t>and</w:t>
      </w:r>
      <w:r w:rsidRPr="00C36BEA">
        <w:rPr>
          <w:b/>
          <w:bCs/>
          <w:szCs w:val="21"/>
        </w:rPr>
        <w:t xml:space="preserve"> </w:t>
      </w:r>
      <w:r w:rsidR="00C36BEA" w:rsidRPr="00C36BEA">
        <w:rPr>
          <w:b/>
          <w:bCs/>
          <w:szCs w:val="21"/>
        </w:rPr>
        <w:t>P</w:t>
      </w:r>
      <w:r w:rsidRPr="00C36BEA">
        <w:rPr>
          <w:b/>
          <w:bCs/>
          <w:szCs w:val="21"/>
        </w:rPr>
        <w:t xml:space="preserve">erformance </w:t>
      </w:r>
      <w:r w:rsidR="007C58CE">
        <w:rPr>
          <w:b/>
          <w:bCs/>
          <w:szCs w:val="21"/>
        </w:rPr>
        <w:t>T</w:t>
      </w:r>
      <w:r w:rsidRPr="00C36BEA">
        <w:rPr>
          <w:b/>
          <w:bCs/>
          <w:szCs w:val="21"/>
        </w:rPr>
        <w:t>iers,</w:t>
      </w:r>
      <w:r w:rsidRPr="009505E2">
        <w:rPr>
          <w:szCs w:val="21"/>
        </w:rPr>
        <w:t xml:space="preserve"> which together drive strategic alignment, improvement, and accountability.</w:t>
      </w:r>
    </w:p>
    <w:p w14:paraId="440C0B4B" w14:textId="77777777" w:rsidR="009505E2" w:rsidRDefault="009505E2" w:rsidP="00591E06">
      <w:pPr>
        <w:pStyle w:val="DHHSbullet1"/>
        <w:numPr>
          <w:ilvl w:val="0"/>
          <w:numId w:val="0"/>
        </w:numPr>
        <w:spacing w:after="0" w:line="240" w:lineRule="auto"/>
        <w:rPr>
          <w:szCs w:val="21"/>
        </w:rPr>
      </w:pPr>
    </w:p>
    <w:p w14:paraId="6887E77C" w14:textId="5328D907" w:rsidR="00D2063C" w:rsidRPr="00D2063C" w:rsidRDefault="00591E06" w:rsidP="0064749D">
      <w:pPr>
        <w:pStyle w:val="DHHSbullet1"/>
        <w:numPr>
          <w:ilvl w:val="0"/>
          <w:numId w:val="0"/>
        </w:numPr>
        <w:spacing w:after="0" w:line="240" w:lineRule="auto"/>
        <w:rPr>
          <w:bCs/>
          <w:i/>
          <w:iCs/>
          <w:sz w:val="20"/>
        </w:rPr>
      </w:pPr>
      <w:r w:rsidRPr="004B315D">
        <w:rPr>
          <w:b/>
          <w:bCs/>
          <w:color w:val="3A3A3A" w:themeColor="background2" w:themeShade="40"/>
          <w:sz w:val="20"/>
        </w:rPr>
        <w:t xml:space="preserve">Figure </w:t>
      </w:r>
      <w:r w:rsidRPr="004B315D">
        <w:rPr>
          <w:b/>
          <w:bCs/>
          <w:color w:val="3A3A3A" w:themeColor="background2" w:themeShade="40"/>
          <w:sz w:val="20"/>
        </w:rPr>
        <w:fldChar w:fldCharType="begin"/>
      </w:r>
      <w:r w:rsidRPr="004B315D">
        <w:rPr>
          <w:b/>
          <w:bCs/>
          <w:color w:val="3A3A3A" w:themeColor="background2" w:themeShade="40"/>
          <w:sz w:val="20"/>
        </w:rPr>
        <w:instrText xml:space="preserve"> SEQ Figure \* ARABIC </w:instrText>
      </w:r>
      <w:r w:rsidRPr="004B315D">
        <w:rPr>
          <w:b/>
          <w:bCs/>
          <w:color w:val="3A3A3A" w:themeColor="background2" w:themeShade="40"/>
          <w:sz w:val="20"/>
        </w:rPr>
        <w:fldChar w:fldCharType="separate"/>
      </w:r>
      <w:r w:rsidR="00D87DE1">
        <w:rPr>
          <w:b/>
          <w:bCs/>
          <w:noProof/>
          <w:color w:val="3A3A3A" w:themeColor="background2" w:themeShade="40"/>
          <w:sz w:val="20"/>
        </w:rPr>
        <w:t>1</w:t>
      </w:r>
      <w:r w:rsidRPr="004B315D">
        <w:rPr>
          <w:b/>
          <w:bCs/>
          <w:color w:val="3A3A3A" w:themeColor="background2" w:themeShade="40"/>
          <w:sz w:val="20"/>
        </w:rPr>
        <w:fldChar w:fldCharType="end"/>
      </w:r>
      <w:r w:rsidRPr="004B315D">
        <w:rPr>
          <w:b/>
          <w:bCs/>
          <w:color w:val="3A3A3A" w:themeColor="background2" w:themeShade="40"/>
          <w:sz w:val="20"/>
        </w:rPr>
        <w:t xml:space="preserve">: </w:t>
      </w:r>
      <w:r>
        <w:rPr>
          <w:b/>
          <w:bCs/>
          <w:color w:val="3A3A3A" w:themeColor="background2" w:themeShade="40"/>
          <w:sz w:val="20"/>
        </w:rPr>
        <w:t xml:space="preserve">Key components of the Framework </w:t>
      </w:r>
    </w:p>
    <w:p w14:paraId="006B0629" w14:textId="2293DD2C" w:rsidR="002B4069" w:rsidRDefault="00BF4FA1" w:rsidP="00350913">
      <w:pPr>
        <w:pStyle w:val="DHHSbody"/>
        <w:rPr>
          <w:noProof/>
        </w:rPr>
      </w:pPr>
      <w:r w:rsidRPr="00BF4FA1">
        <w:rPr>
          <w:noProof/>
        </w:rPr>
        <w:t xml:space="preserve"> </w:t>
      </w:r>
    </w:p>
    <w:p w14:paraId="5986C9BD" w14:textId="52AB304D" w:rsidR="008F4FF1" w:rsidRPr="00343F37" w:rsidRDefault="00D14957" w:rsidP="00C866E2">
      <w:pPr>
        <w:pStyle w:val="DHHSbody"/>
        <w:rPr>
          <w:color w:val="3A3A3A" w:themeColor="background2" w:themeShade="40"/>
        </w:rPr>
      </w:pPr>
      <w:r>
        <w:rPr>
          <w:noProof/>
        </w:rPr>
        <w:drawing>
          <wp:inline distT="0" distB="0" distL="0" distR="0" wp14:anchorId="604C3609" wp14:editId="257DEB8E">
            <wp:extent cx="5943600" cy="3631565"/>
            <wp:effectExtent l="0" t="0" r="0" b="6985"/>
            <wp:docPr id="906151875" name="Picture 1" descr="The three components of the Performance monitoring framework are represented as three interlinked circles, with the three key components being:&#10;The Performance Cycle: The Performance Cycle provides a structured process (planning and strategy, continuous improvement, accountability) that integrates the SoP to set and monitor performance expectations.&#10;Performance Domains: The Performance Domains define the key areas of focus (quality, governance, finance, access) within the SoP, ensuring metrics align with overall health system priorities.&#10;Performance Tiers: The Performance Tiers result from quarterly assessments of performance against SoP targets, reflecting outcomes of the Performance Cycle and guiding the level of oversight or intervention need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51875" name="Picture 1" descr="The three components of the Performance monitoring framework are represented as three interlinked circles, with the three key components being:&#10;The Performance Cycle: The Performance Cycle provides a structured process (planning and strategy, continuous improvement, accountability) that integrates the SoP to set and monitor performance expectations.&#10;Performance Domains: The Performance Domains define the key areas of focus (quality, governance, finance, access) within the SoP, ensuring metrics align with overall health system priorities.&#10;Performance Tiers: The Performance Tiers result from quarterly assessments of performance against SoP targets, reflecting outcomes of the Performance Cycle and guiding the level of oversight or intervention needed.&#10;"/>
                    <pic:cNvPicPr/>
                  </pic:nvPicPr>
                  <pic:blipFill>
                    <a:blip r:embed="rId28"/>
                    <a:stretch>
                      <a:fillRect/>
                    </a:stretch>
                  </pic:blipFill>
                  <pic:spPr>
                    <a:xfrm>
                      <a:off x="0" y="0"/>
                      <a:ext cx="5943600" cy="3631565"/>
                    </a:xfrm>
                    <a:prstGeom prst="rect">
                      <a:avLst/>
                    </a:prstGeom>
                  </pic:spPr>
                </pic:pic>
              </a:graphicData>
            </a:graphic>
          </wp:inline>
        </w:drawing>
      </w:r>
      <w:bookmarkEnd w:id="14"/>
      <w:bookmarkEnd w:id="15"/>
      <w:bookmarkEnd w:id="16"/>
      <w:r w:rsidR="008F4FF1" w:rsidRPr="00343F37">
        <w:rPr>
          <w:color w:val="3A3A3A" w:themeColor="background2" w:themeShade="40"/>
        </w:rPr>
        <w:t xml:space="preserve">The </w:t>
      </w:r>
      <w:r w:rsidR="007C58CE">
        <w:rPr>
          <w:color w:val="3A3A3A" w:themeColor="background2" w:themeShade="40"/>
        </w:rPr>
        <w:t>P</w:t>
      </w:r>
      <w:r w:rsidR="008F4FF1" w:rsidRPr="00343F37">
        <w:rPr>
          <w:color w:val="3A3A3A" w:themeColor="background2" w:themeShade="40"/>
        </w:rPr>
        <w:t xml:space="preserve">erformance </w:t>
      </w:r>
      <w:r w:rsidR="007C58CE">
        <w:rPr>
          <w:color w:val="3A3A3A" w:themeColor="background2" w:themeShade="40"/>
        </w:rPr>
        <w:t>C</w:t>
      </w:r>
      <w:r w:rsidR="008F4FF1" w:rsidRPr="00343F37">
        <w:rPr>
          <w:color w:val="3A3A3A" w:themeColor="background2" w:themeShade="40"/>
        </w:rPr>
        <w:t>ycle</w:t>
      </w:r>
    </w:p>
    <w:p w14:paraId="308C8DFF" w14:textId="7A8D085F" w:rsidR="00894930" w:rsidRDefault="00894930" w:rsidP="00894930">
      <w:pPr>
        <w:pStyle w:val="DHHSbullet1"/>
        <w:numPr>
          <w:ilvl w:val="0"/>
          <w:numId w:val="0"/>
        </w:numPr>
        <w:spacing w:after="0" w:line="240" w:lineRule="auto"/>
        <w:ind w:left="284" w:hanging="284"/>
      </w:pPr>
      <w:r w:rsidRPr="00894930">
        <w:t xml:space="preserve">The Performance Cycle (Figure </w:t>
      </w:r>
      <w:r w:rsidR="0077083D">
        <w:t>2</w:t>
      </w:r>
      <w:r w:rsidRPr="00894930">
        <w:t xml:space="preserve">) drives health service performance through </w:t>
      </w:r>
      <w:r>
        <w:t>3</w:t>
      </w:r>
      <w:r w:rsidRPr="00894930">
        <w:t xml:space="preserve"> interconnected</w:t>
      </w:r>
    </w:p>
    <w:p w14:paraId="12248312" w14:textId="7FFD2FB7" w:rsidR="00894930" w:rsidRDefault="00855BD0" w:rsidP="00894930">
      <w:pPr>
        <w:pStyle w:val="DHHSbullet1"/>
        <w:numPr>
          <w:ilvl w:val="0"/>
          <w:numId w:val="0"/>
        </w:numPr>
        <w:spacing w:after="0" w:line="240" w:lineRule="auto"/>
        <w:ind w:left="284" w:hanging="284"/>
      </w:pPr>
      <w:r>
        <w:t xml:space="preserve">stages:  </w:t>
      </w:r>
    </w:p>
    <w:p w14:paraId="2FE4D22A" w14:textId="77777777" w:rsidR="00894930" w:rsidRDefault="00894930" w:rsidP="00894930">
      <w:pPr>
        <w:pStyle w:val="DHHSbullet1"/>
        <w:numPr>
          <w:ilvl w:val="0"/>
          <w:numId w:val="0"/>
        </w:numPr>
        <w:spacing w:after="0" w:line="240" w:lineRule="auto"/>
        <w:ind w:left="284" w:hanging="284"/>
      </w:pPr>
    </w:p>
    <w:p w14:paraId="6CA741F6" w14:textId="74D344FB" w:rsidR="00C47EF2" w:rsidRPr="00CE4725" w:rsidRDefault="00AC4BDD" w:rsidP="00C02D14">
      <w:pPr>
        <w:pStyle w:val="DHHSbullet1"/>
        <w:numPr>
          <w:ilvl w:val="0"/>
          <w:numId w:val="18"/>
        </w:numPr>
      </w:pPr>
      <w:bookmarkStart w:id="17" w:name="_Hlk200455123"/>
      <w:r>
        <w:rPr>
          <w:b/>
          <w:bCs/>
        </w:rPr>
        <w:t xml:space="preserve">Planning and </w:t>
      </w:r>
      <w:r w:rsidR="00C47EF2">
        <w:rPr>
          <w:b/>
          <w:bCs/>
        </w:rPr>
        <w:t>Strategy</w:t>
      </w:r>
    </w:p>
    <w:p w14:paraId="33432C23" w14:textId="77777777" w:rsidR="00CE4725" w:rsidRDefault="00C47EF2" w:rsidP="00C02D14">
      <w:pPr>
        <w:pStyle w:val="DHHSbullet1"/>
        <w:numPr>
          <w:ilvl w:val="0"/>
          <w:numId w:val="18"/>
        </w:numPr>
      </w:pPr>
      <w:r w:rsidRPr="00CE4725">
        <w:rPr>
          <w:b/>
          <w:bCs/>
          <w:lang w:val="en-US"/>
        </w:rPr>
        <w:t>Continuous Improvement</w:t>
      </w:r>
    </w:p>
    <w:p w14:paraId="3E1F58B5" w14:textId="0CA1B902" w:rsidR="00744975" w:rsidRPr="00CE4725" w:rsidRDefault="00C47EF2" w:rsidP="00C02D14">
      <w:pPr>
        <w:pStyle w:val="DHHSbullet1"/>
        <w:numPr>
          <w:ilvl w:val="0"/>
          <w:numId w:val="18"/>
        </w:numPr>
      </w:pPr>
      <w:r w:rsidRPr="00CE4725">
        <w:rPr>
          <w:b/>
          <w:bCs/>
          <w:lang w:val="en-US"/>
        </w:rPr>
        <w:t>Accountability</w:t>
      </w:r>
      <w:r w:rsidR="00336306" w:rsidRPr="00CE4725">
        <w:rPr>
          <w:lang w:val="en-US"/>
        </w:rPr>
        <w:t xml:space="preserve"> </w:t>
      </w:r>
    </w:p>
    <w:p w14:paraId="4A64A9EE" w14:textId="6D08E5C7" w:rsidR="00CE4725" w:rsidRPr="00CF6160" w:rsidRDefault="00CE4725" w:rsidP="00CE4725">
      <w:pPr>
        <w:pStyle w:val="DHHSbullet1"/>
        <w:numPr>
          <w:ilvl w:val="0"/>
          <w:numId w:val="0"/>
        </w:numPr>
        <w:ind w:left="284" w:hanging="284"/>
        <w:rPr>
          <w:i/>
          <w:iCs/>
        </w:rPr>
      </w:pPr>
      <w:r w:rsidRPr="00CF6160">
        <w:rPr>
          <w:i/>
          <w:iCs/>
          <w:lang w:val="en-US"/>
        </w:rPr>
        <w:t xml:space="preserve">Refer to </w:t>
      </w:r>
      <w:r w:rsidRPr="00110A9D">
        <w:rPr>
          <w:b/>
          <w:bCs/>
          <w:i/>
          <w:iCs/>
          <w:lang w:val="en-US"/>
        </w:rPr>
        <w:t>Section 3</w:t>
      </w:r>
      <w:r w:rsidRPr="00CF6160">
        <w:rPr>
          <w:i/>
          <w:iCs/>
          <w:lang w:val="en-US"/>
        </w:rPr>
        <w:t xml:space="preserve"> for </w:t>
      </w:r>
      <w:r w:rsidR="00CF6160" w:rsidRPr="00CF6160">
        <w:rPr>
          <w:i/>
          <w:iCs/>
          <w:lang w:val="en-US"/>
        </w:rPr>
        <w:t xml:space="preserve">detailed performance cycle process. </w:t>
      </w:r>
    </w:p>
    <w:bookmarkEnd w:id="17"/>
    <w:p w14:paraId="1D490F03" w14:textId="77777777" w:rsidR="00F72F80" w:rsidRDefault="00F72F80" w:rsidP="004B315D">
      <w:pPr>
        <w:pStyle w:val="DHHSbullet1"/>
        <w:numPr>
          <w:ilvl w:val="0"/>
          <w:numId w:val="0"/>
        </w:numPr>
        <w:spacing w:after="0" w:line="240" w:lineRule="auto"/>
        <w:rPr>
          <w:b/>
          <w:bCs/>
          <w:color w:val="3A3A3A" w:themeColor="background2" w:themeShade="40"/>
          <w:sz w:val="20"/>
        </w:rPr>
      </w:pPr>
    </w:p>
    <w:p w14:paraId="044786F8" w14:textId="5E7C2004" w:rsidR="00F72F80" w:rsidRDefault="00F72F80" w:rsidP="004B315D">
      <w:pPr>
        <w:pStyle w:val="DHHSbullet1"/>
        <w:numPr>
          <w:ilvl w:val="0"/>
          <w:numId w:val="0"/>
        </w:numPr>
        <w:spacing w:after="0" w:line="240" w:lineRule="auto"/>
        <w:rPr>
          <w:b/>
          <w:bCs/>
          <w:color w:val="3A3A3A" w:themeColor="background2" w:themeShade="40"/>
          <w:sz w:val="20"/>
        </w:rPr>
      </w:pPr>
    </w:p>
    <w:p w14:paraId="07916CCD" w14:textId="77777777" w:rsidR="00F72F80" w:rsidRDefault="00F72F80" w:rsidP="004B315D">
      <w:pPr>
        <w:pStyle w:val="DHHSbullet1"/>
        <w:numPr>
          <w:ilvl w:val="0"/>
          <w:numId w:val="0"/>
        </w:numPr>
        <w:spacing w:after="0" w:line="240" w:lineRule="auto"/>
        <w:rPr>
          <w:b/>
          <w:bCs/>
          <w:color w:val="3A3A3A" w:themeColor="background2" w:themeShade="40"/>
          <w:sz w:val="20"/>
        </w:rPr>
      </w:pPr>
    </w:p>
    <w:p w14:paraId="4D38ED28" w14:textId="77777777" w:rsidR="00F72F80" w:rsidRDefault="00F72F80" w:rsidP="004B315D">
      <w:pPr>
        <w:pStyle w:val="DHHSbullet1"/>
        <w:numPr>
          <w:ilvl w:val="0"/>
          <w:numId w:val="0"/>
        </w:numPr>
        <w:spacing w:after="0" w:line="240" w:lineRule="auto"/>
        <w:rPr>
          <w:b/>
          <w:bCs/>
          <w:color w:val="3A3A3A" w:themeColor="background2" w:themeShade="40"/>
          <w:sz w:val="20"/>
        </w:rPr>
      </w:pPr>
    </w:p>
    <w:p w14:paraId="3989115B" w14:textId="77777777" w:rsidR="00F72F80" w:rsidRDefault="00F72F80" w:rsidP="004B315D">
      <w:pPr>
        <w:pStyle w:val="DHHSbullet1"/>
        <w:numPr>
          <w:ilvl w:val="0"/>
          <w:numId w:val="0"/>
        </w:numPr>
        <w:spacing w:after="0" w:line="240" w:lineRule="auto"/>
        <w:rPr>
          <w:b/>
          <w:bCs/>
          <w:color w:val="3A3A3A" w:themeColor="background2" w:themeShade="40"/>
          <w:sz w:val="20"/>
        </w:rPr>
      </w:pPr>
    </w:p>
    <w:p w14:paraId="65091D2D" w14:textId="77777777" w:rsidR="00C866E2" w:rsidRDefault="00C866E2" w:rsidP="004B315D">
      <w:pPr>
        <w:pStyle w:val="DHHSbullet1"/>
        <w:numPr>
          <w:ilvl w:val="0"/>
          <w:numId w:val="0"/>
        </w:numPr>
        <w:spacing w:after="0" w:line="240" w:lineRule="auto"/>
        <w:rPr>
          <w:b/>
          <w:bCs/>
          <w:color w:val="3A3A3A" w:themeColor="background2" w:themeShade="40"/>
          <w:sz w:val="20"/>
        </w:rPr>
      </w:pPr>
    </w:p>
    <w:p w14:paraId="2C6C4E92" w14:textId="77777777" w:rsidR="00583C3C" w:rsidRDefault="00583C3C" w:rsidP="004B315D">
      <w:pPr>
        <w:pStyle w:val="DHHSbullet1"/>
        <w:numPr>
          <w:ilvl w:val="0"/>
          <w:numId w:val="0"/>
        </w:numPr>
        <w:spacing w:after="0" w:line="240" w:lineRule="auto"/>
        <w:rPr>
          <w:b/>
          <w:bCs/>
          <w:color w:val="3A3A3A" w:themeColor="background2" w:themeShade="40"/>
          <w:sz w:val="20"/>
        </w:rPr>
      </w:pPr>
    </w:p>
    <w:p w14:paraId="7B3E6E89" w14:textId="77777777" w:rsidR="00CA386D" w:rsidRDefault="00CA386D" w:rsidP="004B315D">
      <w:pPr>
        <w:pStyle w:val="DHHSbullet1"/>
        <w:numPr>
          <w:ilvl w:val="0"/>
          <w:numId w:val="0"/>
        </w:numPr>
        <w:spacing w:after="0" w:line="240" w:lineRule="auto"/>
        <w:rPr>
          <w:b/>
          <w:bCs/>
          <w:color w:val="3A3A3A" w:themeColor="background2" w:themeShade="40"/>
          <w:sz w:val="20"/>
        </w:rPr>
      </w:pPr>
    </w:p>
    <w:p w14:paraId="18530824" w14:textId="77777777" w:rsidR="003D6CEA" w:rsidRDefault="003D6CEA" w:rsidP="004B315D">
      <w:pPr>
        <w:pStyle w:val="DHHSbullet1"/>
        <w:numPr>
          <w:ilvl w:val="0"/>
          <w:numId w:val="0"/>
        </w:numPr>
        <w:spacing w:after="0" w:line="240" w:lineRule="auto"/>
        <w:rPr>
          <w:b/>
          <w:bCs/>
          <w:color w:val="3A3A3A" w:themeColor="background2" w:themeShade="40"/>
          <w:sz w:val="20"/>
        </w:rPr>
      </w:pPr>
    </w:p>
    <w:p w14:paraId="59577C97" w14:textId="1C81F9A5" w:rsidR="005A7A8C" w:rsidRPr="004B315D" w:rsidRDefault="005A7A8C" w:rsidP="004B315D">
      <w:pPr>
        <w:pStyle w:val="DHHSbullet1"/>
        <w:numPr>
          <w:ilvl w:val="0"/>
          <w:numId w:val="0"/>
        </w:numPr>
        <w:spacing w:after="0" w:line="240" w:lineRule="auto"/>
        <w:rPr>
          <w:b/>
          <w:bCs/>
          <w:color w:val="3A3A3A" w:themeColor="background2" w:themeShade="40"/>
          <w:sz w:val="20"/>
        </w:rPr>
      </w:pPr>
      <w:r w:rsidRPr="004B315D">
        <w:rPr>
          <w:b/>
          <w:bCs/>
          <w:color w:val="3A3A3A" w:themeColor="background2" w:themeShade="40"/>
          <w:sz w:val="20"/>
        </w:rPr>
        <w:lastRenderedPageBreak/>
        <w:t xml:space="preserve">Figure </w:t>
      </w:r>
      <w:r w:rsidR="005740F7">
        <w:rPr>
          <w:b/>
          <w:bCs/>
          <w:color w:val="3A3A3A" w:themeColor="background2" w:themeShade="40"/>
          <w:sz w:val="20"/>
        </w:rPr>
        <w:t>2</w:t>
      </w:r>
      <w:r w:rsidRPr="004B315D">
        <w:rPr>
          <w:b/>
          <w:bCs/>
          <w:color w:val="3A3A3A" w:themeColor="background2" w:themeShade="40"/>
          <w:sz w:val="20"/>
        </w:rPr>
        <w:t xml:space="preserve">: The </w:t>
      </w:r>
      <w:r w:rsidR="002128DA">
        <w:rPr>
          <w:b/>
          <w:bCs/>
          <w:color w:val="3A3A3A" w:themeColor="background2" w:themeShade="40"/>
          <w:sz w:val="20"/>
        </w:rPr>
        <w:t>P</w:t>
      </w:r>
      <w:r w:rsidRPr="004B315D">
        <w:rPr>
          <w:b/>
          <w:bCs/>
          <w:color w:val="3A3A3A" w:themeColor="background2" w:themeShade="40"/>
          <w:sz w:val="20"/>
        </w:rPr>
        <w:t xml:space="preserve">erformance </w:t>
      </w:r>
      <w:r w:rsidR="002128DA">
        <w:rPr>
          <w:b/>
          <w:bCs/>
          <w:color w:val="3A3A3A" w:themeColor="background2" w:themeShade="40"/>
          <w:sz w:val="20"/>
        </w:rPr>
        <w:t>C</w:t>
      </w:r>
      <w:r w:rsidRPr="004B315D">
        <w:rPr>
          <w:b/>
          <w:bCs/>
          <w:color w:val="3A3A3A" w:themeColor="background2" w:themeShade="40"/>
          <w:sz w:val="20"/>
        </w:rPr>
        <w:t>ycle</w:t>
      </w:r>
    </w:p>
    <w:p w14:paraId="074B063D" w14:textId="1858A141" w:rsidR="004B315D" w:rsidRPr="004B315D" w:rsidRDefault="004B315D" w:rsidP="00744975">
      <w:pPr>
        <w:pStyle w:val="DHHSbullet1"/>
        <w:numPr>
          <w:ilvl w:val="0"/>
          <w:numId w:val="0"/>
        </w:numPr>
        <w:rPr>
          <w:color w:val="53565A"/>
          <w:sz w:val="20"/>
        </w:rPr>
      </w:pPr>
    </w:p>
    <w:p w14:paraId="2645C4F4" w14:textId="77777777" w:rsidR="00E774CC" w:rsidRDefault="00E774CC" w:rsidP="00C618F7">
      <w:pPr>
        <w:pStyle w:val="DHHSbody"/>
      </w:pPr>
    </w:p>
    <w:p w14:paraId="19D9E26C" w14:textId="608D947E" w:rsidR="00E774CC" w:rsidRDefault="00E774CC" w:rsidP="00C618F7">
      <w:pPr>
        <w:pStyle w:val="DHHSbody"/>
      </w:pPr>
      <w:r>
        <w:rPr>
          <w:noProof/>
        </w:rPr>
        <w:drawing>
          <wp:inline distT="0" distB="0" distL="0" distR="0" wp14:anchorId="328699EA" wp14:editId="7D712BA9">
            <wp:extent cx="5943600" cy="2822016"/>
            <wp:effectExtent l="0" t="0" r="0" b="0"/>
            <wp:docPr id="1603738166" name="Picture 1" descr="The performance cycle is represented as a circle in three segments, with arrows indicating that each segment flows into the next. The three segments are:&#10;Planning and Strategy: Strategic priorities are defined and prioritised, with clear expectations provided to health services on how to deliver against these priorities.&#10;Continuous Improvement: Focus on structured service redesign through Performance Improvement Targets and Knowledge exchange and collaboration. &#10;Accountability: Continuous monitoring systems are applied to track performance and risk, gaps between actual and desired performance are identifi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8166" name="Picture 1" descr="The performance cycle is represented as a circle in three segments, with arrows indicating that each segment flows into the next. The three segments are:&#10;Planning and Strategy: Strategic priorities are defined and prioritised, with clear expectations provided to health services on how to deliver against these priorities.&#10;Continuous Improvement: Focus on structured service redesign through Performance Improvement Targets and Knowledge exchange and collaboration. &#10;Accountability: Continuous monitoring systems are applied to track performance and risk, gaps between actual and desired performance are identified.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2822016"/>
                    </a:xfrm>
                    <a:prstGeom prst="rect">
                      <a:avLst/>
                    </a:prstGeom>
                    <a:noFill/>
                  </pic:spPr>
                </pic:pic>
              </a:graphicData>
            </a:graphic>
          </wp:inline>
        </w:drawing>
      </w:r>
    </w:p>
    <w:p w14:paraId="45DF3050" w14:textId="4FAFF876" w:rsidR="005A7A8C" w:rsidRDefault="005A7A8C" w:rsidP="00C618F7">
      <w:pPr>
        <w:pStyle w:val="DHHSbody"/>
      </w:pPr>
    </w:p>
    <w:p w14:paraId="59D53D8A" w14:textId="595496B1" w:rsidR="001A7EFC" w:rsidRPr="006A6E5E" w:rsidRDefault="001A7EFC" w:rsidP="00040B5F">
      <w:pPr>
        <w:pStyle w:val="Heading2"/>
        <w:ind w:left="709"/>
        <w:rPr>
          <w:color w:val="3A3A3A" w:themeColor="background2" w:themeShade="40"/>
        </w:rPr>
      </w:pPr>
      <w:bookmarkStart w:id="18" w:name="_Toc211343274"/>
      <w:r w:rsidRPr="006A6E5E">
        <w:rPr>
          <w:color w:val="3A3A3A" w:themeColor="background2" w:themeShade="40"/>
        </w:rPr>
        <w:t xml:space="preserve">The </w:t>
      </w:r>
      <w:r w:rsidR="002128DA">
        <w:rPr>
          <w:color w:val="3A3A3A" w:themeColor="background2" w:themeShade="40"/>
        </w:rPr>
        <w:t>P</w:t>
      </w:r>
      <w:r w:rsidRPr="006A6E5E">
        <w:rPr>
          <w:color w:val="3A3A3A" w:themeColor="background2" w:themeShade="40"/>
        </w:rPr>
        <w:t xml:space="preserve">erformance </w:t>
      </w:r>
      <w:r w:rsidR="002128DA">
        <w:rPr>
          <w:color w:val="3A3A3A" w:themeColor="background2" w:themeShade="40"/>
        </w:rPr>
        <w:t>D</w:t>
      </w:r>
      <w:r w:rsidRPr="006A6E5E">
        <w:rPr>
          <w:color w:val="3A3A3A" w:themeColor="background2" w:themeShade="40"/>
        </w:rPr>
        <w:t>omains</w:t>
      </w:r>
      <w:bookmarkEnd w:id="18"/>
      <w:r w:rsidRPr="006A6E5E">
        <w:rPr>
          <w:color w:val="3A3A3A" w:themeColor="background2" w:themeShade="40"/>
        </w:rPr>
        <w:t xml:space="preserve"> </w:t>
      </w:r>
    </w:p>
    <w:p w14:paraId="6D229215" w14:textId="1366C29D" w:rsidR="00CD31AE" w:rsidRPr="00CE453B" w:rsidRDefault="00187F39" w:rsidP="00CD31AE">
      <w:pPr>
        <w:rPr>
          <w:sz w:val="21"/>
          <w:szCs w:val="21"/>
        </w:rPr>
      </w:pPr>
      <w:r w:rsidRPr="103A17EC">
        <w:rPr>
          <w:sz w:val="21"/>
          <w:szCs w:val="21"/>
        </w:rPr>
        <w:t>The Framework outlines four interdependent performance domains that determine the overall performance of health services. These domains are central to the Framework’s performance cycle and are used to monitor, assess, and guide strategic goals to achieve the best patient outcome</w:t>
      </w:r>
      <w:r w:rsidR="007322FA" w:rsidRPr="103A17EC">
        <w:rPr>
          <w:sz w:val="21"/>
          <w:szCs w:val="21"/>
        </w:rPr>
        <w:t xml:space="preserve"> (see </w:t>
      </w:r>
      <w:r w:rsidR="009B71C9" w:rsidRPr="103A17EC">
        <w:rPr>
          <w:sz w:val="21"/>
          <w:szCs w:val="21"/>
        </w:rPr>
        <w:t xml:space="preserve">Figure </w:t>
      </w:r>
      <w:r w:rsidR="0095260C" w:rsidRPr="103A17EC">
        <w:rPr>
          <w:sz w:val="21"/>
          <w:szCs w:val="21"/>
        </w:rPr>
        <w:t>3</w:t>
      </w:r>
      <w:r w:rsidR="007322FA" w:rsidRPr="103A17EC">
        <w:rPr>
          <w:sz w:val="21"/>
          <w:szCs w:val="21"/>
        </w:rPr>
        <w:t>)</w:t>
      </w:r>
      <w:r w:rsidR="00DB0401" w:rsidRPr="103A17EC">
        <w:rPr>
          <w:sz w:val="21"/>
          <w:szCs w:val="21"/>
        </w:rPr>
        <w:t xml:space="preserve">. </w:t>
      </w:r>
      <w:r w:rsidR="00CD31AE" w:rsidRPr="103A17EC">
        <w:rPr>
          <w:sz w:val="21"/>
          <w:szCs w:val="21"/>
        </w:rPr>
        <w:t>These domains are:</w:t>
      </w:r>
    </w:p>
    <w:p w14:paraId="624B1980" w14:textId="3FDA492F" w:rsidR="00CD31AE" w:rsidRPr="00CE453B" w:rsidRDefault="00CD31AE" w:rsidP="00C02D14">
      <w:pPr>
        <w:pStyle w:val="ListParagraph"/>
        <w:numPr>
          <w:ilvl w:val="0"/>
          <w:numId w:val="16"/>
        </w:numPr>
        <w:spacing w:before="120" w:after="120"/>
        <w:ind w:left="357" w:hanging="357"/>
        <w:rPr>
          <w:rFonts w:ascii="Arial" w:hAnsi="Arial" w:cs="Arial"/>
          <w:sz w:val="21"/>
          <w:szCs w:val="21"/>
        </w:rPr>
      </w:pPr>
      <w:r w:rsidRPr="00CE453B">
        <w:rPr>
          <w:rFonts w:ascii="Arial" w:hAnsi="Arial" w:cs="Arial"/>
          <w:b/>
          <w:bCs/>
          <w:sz w:val="21"/>
          <w:szCs w:val="21"/>
        </w:rPr>
        <w:t>High quality and safe care:</w:t>
      </w:r>
      <w:r w:rsidRPr="00CE453B">
        <w:rPr>
          <w:rFonts w:ascii="Arial" w:hAnsi="Arial" w:cs="Arial"/>
          <w:sz w:val="21"/>
          <w:szCs w:val="21"/>
        </w:rPr>
        <w:t xml:space="preserve"> delivery of safe and high-quality care that improves patient outcomes and involves a positive and culturally safe experience of care for patients. </w:t>
      </w:r>
    </w:p>
    <w:p w14:paraId="761E36A9" w14:textId="72EF7068" w:rsidR="00CD31AE" w:rsidRPr="00CE453B" w:rsidRDefault="00CD31AE" w:rsidP="00C02D14">
      <w:pPr>
        <w:pStyle w:val="ListParagraph"/>
        <w:numPr>
          <w:ilvl w:val="0"/>
          <w:numId w:val="16"/>
        </w:numPr>
        <w:spacing w:before="120" w:after="120"/>
        <w:ind w:left="357" w:hanging="357"/>
        <w:rPr>
          <w:rFonts w:ascii="Arial" w:hAnsi="Arial" w:cs="Arial"/>
          <w:sz w:val="21"/>
          <w:szCs w:val="21"/>
        </w:rPr>
      </w:pPr>
      <w:r w:rsidRPr="00CE453B">
        <w:rPr>
          <w:rFonts w:ascii="Arial" w:hAnsi="Arial" w:cs="Arial"/>
          <w:b/>
          <w:bCs/>
          <w:sz w:val="21"/>
          <w:szCs w:val="21"/>
        </w:rPr>
        <w:t>Strong governance, leadership and culture:</w:t>
      </w:r>
      <w:r w:rsidRPr="00CE453B">
        <w:rPr>
          <w:rFonts w:ascii="Arial" w:hAnsi="Arial" w:cs="Arial"/>
          <w:sz w:val="21"/>
          <w:szCs w:val="21"/>
        </w:rPr>
        <w:t xml:space="preserve"> overarching organisational maturity, inclusive of characteristics of board and executive leadership and capability, workforce safety and engagement, and clinical and corporate governance.</w:t>
      </w:r>
    </w:p>
    <w:p w14:paraId="44F19EF9" w14:textId="317BB8F3" w:rsidR="004B315D" w:rsidRPr="004B315D" w:rsidRDefault="004B315D" w:rsidP="00C02D14">
      <w:pPr>
        <w:pStyle w:val="ListParagraph"/>
        <w:numPr>
          <w:ilvl w:val="0"/>
          <w:numId w:val="16"/>
        </w:numPr>
        <w:spacing w:before="120" w:after="120"/>
        <w:ind w:left="357" w:hanging="357"/>
        <w:rPr>
          <w:rFonts w:ascii="Arial" w:hAnsi="Arial" w:cs="Arial"/>
          <w:sz w:val="21"/>
          <w:szCs w:val="21"/>
        </w:rPr>
      </w:pPr>
      <w:r w:rsidRPr="004B315D">
        <w:rPr>
          <w:rFonts w:ascii="Arial" w:hAnsi="Arial" w:cs="Arial"/>
          <w:b/>
          <w:bCs/>
          <w:sz w:val="21"/>
          <w:szCs w:val="21"/>
        </w:rPr>
        <w:t xml:space="preserve">Effective financial management: </w:t>
      </w:r>
      <w:r w:rsidRPr="004B315D">
        <w:rPr>
          <w:rFonts w:ascii="Arial" w:hAnsi="Arial" w:cs="Arial"/>
          <w:sz w:val="21"/>
          <w:szCs w:val="21"/>
        </w:rPr>
        <w:t>effective and efficient allocation of resources to deliver safe, cost-effective and sustainable services that are delivered within allocated budgets and achieve value from resources</w:t>
      </w:r>
      <w:r w:rsidR="005A159F">
        <w:rPr>
          <w:rFonts w:ascii="Arial" w:hAnsi="Arial" w:cs="Arial"/>
          <w:sz w:val="21"/>
          <w:szCs w:val="21"/>
        </w:rPr>
        <w:t>.</w:t>
      </w:r>
      <w:r w:rsidRPr="004B315D">
        <w:rPr>
          <w:rFonts w:ascii="Arial" w:hAnsi="Arial" w:cs="Arial"/>
          <w:sz w:val="21"/>
          <w:szCs w:val="21"/>
        </w:rPr>
        <w:t xml:space="preserve"> </w:t>
      </w:r>
    </w:p>
    <w:p w14:paraId="44EC0619" w14:textId="59B8FE3A" w:rsidR="00C65C79" w:rsidRPr="00C65C79" w:rsidRDefault="00CD31AE" w:rsidP="00C02D14">
      <w:pPr>
        <w:pStyle w:val="ListParagraph"/>
        <w:numPr>
          <w:ilvl w:val="0"/>
          <w:numId w:val="16"/>
        </w:numPr>
        <w:spacing w:before="120" w:after="120"/>
        <w:ind w:left="357" w:hanging="357"/>
        <w:rPr>
          <w:rFonts w:ascii="Arial" w:hAnsi="Arial" w:cs="Arial"/>
          <w:sz w:val="21"/>
          <w:szCs w:val="21"/>
        </w:rPr>
      </w:pPr>
      <w:r w:rsidRPr="00CE453B">
        <w:rPr>
          <w:rFonts w:ascii="Arial" w:hAnsi="Arial" w:cs="Arial"/>
          <w:b/>
          <w:bCs/>
          <w:sz w:val="21"/>
          <w:szCs w:val="21"/>
        </w:rPr>
        <w:t>Timely access to care:</w:t>
      </w:r>
      <w:r w:rsidRPr="00CE453B">
        <w:rPr>
          <w:rFonts w:ascii="Arial" w:hAnsi="Arial" w:cs="Arial"/>
          <w:sz w:val="21"/>
          <w:szCs w:val="21"/>
        </w:rPr>
        <w:t xml:space="preserve"> efficient management of supply and demand to equitably provide the right care, in the right place, at the right time, for all Victorians. This reflects operational capacity and delivery of services and programs as well as service efficiency. </w:t>
      </w:r>
    </w:p>
    <w:p w14:paraId="7BF907B5" w14:textId="77777777" w:rsidR="00C65C79" w:rsidRDefault="00C65C79" w:rsidP="00C65C79">
      <w:pPr>
        <w:spacing w:after="0" w:line="240" w:lineRule="auto"/>
        <w:rPr>
          <w:b/>
        </w:rPr>
      </w:pPr>
    </w:p>
    <w:p w14:paraId="1EB31FC6" w14:textId="77777777" w:rsidR="009B71C9" w:rsidRDefault="009B71C9" w:rsidP="00C65C79">
      <w:pPr>
        <w:spacing w:after="0" w:line="240" w:lineRule="auto"/>
        <w:rPr>
          <w:b/>
        </w:rPr>
      </w:pPr>
    </w:p>
    <w:p w14:paraId="3D691E38" w14:textId="77777777" w:rsidR="009B71C9" w:rsidRDefault="009B71C9" w:rsidP="00C65C79">
      <w:pPr>
        <w:spacing w:after="0" w:line="240" w:lineRule="auto"/>
        <w:rPr>
          <w:b/>
        </w:rPr>
      </w:pPr>
    </w:p>
    <w:p w14:paraId="4F6B7CB3" w14:textId="77777777" w:rsidR="009B71C9" w:rsidRDefault="009B71C9" w:rsidP="00C65C79">
      <w:pPr>
        <w:spacing w:after="0" w:line="240" w:lineRule="auto"/>
        <w:rPr>
          <w:b/>
        </w:rPr>
      </w:pPr>
    </w:p>
    <w:p w14:paraId="180137F3" w14:textId="77777777" w:rsidR="009B71C9" w:rsidRDefault="009B71C9" w:rsidP="00C65C79">
      <w:pPr>
        <w:spacing w:after="0" w:line="240" w:lineRule="auto"/>
        <w:rPr>
          <w:b/>
        </w:rPr>
      </w:pPr>
    </w:p>
    <w:p w14:paraId="002CE471" w14:textId="3CC09F05" w:rsidR="003D6CEA" w:rsidRDefault="003D6CEA" w:rsidP="00C65C79">
      <w:pPr>
        <w:spacing w:after="0" w:line="240" w:lineRule="auto"/>
        <w:rPr>
          <w:b/>
        </w:rPr>
      </w:pPr>
    </w:p>
    <w:p w14:paraId="7C6CE872" w14:textId="77777777" w:rsidR="003A78F8" w:rsidRDefault="003A78F8" w:rsidP="00C65C79">
      <w:pPr>
        <w:spacing w:after="0" w:line="240" w:lineRule="auto"/>
        <w:rPr>
          <w:b/>
        </w:rPr>
      </w:pPr>
    </w:p>
    <w:p w14:paraId="3FF60CDA" w14:textId="65856544" w:rsidR="00C65C79" w:rsidRPr="0046670E" w:rsidRDefault="00C65C79" w:rsidP="00C65C79">
      <w:pPr>
        <w:spacing w:after="0" w:line="240" w:lineRule="auto"/>
        <w:rPr>
          <w:color w:val="53565A"/>
          <w:highlight w:val="yellow"/>
        </w:rPr>
      </w:pPr>
      <w:r w:rsidRPr="0046670E">
        <w:rPr>
          <w:b/>
        </w:rPr>
        <w:lastRenderedPageBreak/>
        <w:t xml:space="preserve">Figure </w:t>
      </w:r>
      <w:r w:rsidR="0095260C">
        <w:rPr>
          <w:b/>
        </w:rPr>
        <w:t>3</w:t>
      </w:r>
      <w:r w:rsidRPr="0046670E">
        <w:rPr>
          <w:b/>
        </w:rPr>
        <w:t xml:space="preserve">: Performance </w:t>
      </w:r>
      <w:r w:rsidR="009E49CA">
        <w:rPr>
          <w:b/>
        </w:rPr>
        <w:t>D</w:t>
      </w:r>
      <w:r w:rsidRPr="0046670E">
        <w:rPr>
          <w:b/>
        </w:rPr>
        <w:t>omains</w:t>
      </w:r>
    </w:p>
    <w:p w14:paraId="0B4118E9" w14:textId="1A745BC8" w:rsidR="00B95EA4" w:rsidRPr="0046670E" w:rsidRDefault="00B95EA4" w:rsidP="00C65C79">
      <w:pPr>
        <w:spacing w:after="0" w:line="240" w:lineRule="auto"/>
        <w:rPr>
          <w:lang w:val="en-AU"/>
        </w:rPr>
      </w:pPr>
    </w:p>
    <w:p w14:paraId="3965A6BE" w14:textId="70C29E12" w:rsidR="00FC6F6A" w:rsidRPr="00CE453B" w:rsidRDefault="2494D8D2" w:rsidP="00B95EA4">
      <w:pPr>
        <w:jc w:val="center"/>
      </w:pPr>
      <w:r w:rsidRPr="43FCA44B">
        <w:rPr>
          <w:rFonts w:ascii="Times New Roman" w:eastAsia="Times New Roman" w:hAnsi="Times New Roman" w:cs="Times New Roman"/>
          <w:color w:val="000000" w:themeColor="text1"/>
        </w:rPr>
        <w:t xml:space="preserve"> </w:t>
      </w:r>
      <w:r w:rsidR="00A437A6">
        <w:rPr>
          <w:rFonts w:ascii="Times New Roman" w:eastAsia="Times New Roman" w:hAnsi="Times New Roman" w:cs="Times New Roman"/>
          <w:noProof/>
          <w:color w:val="000000" w:themeColor="text1"/>
        </w:rPr>
        <w:drawing>
          <wp:inline distT="0" distB="0" distL="0" distR="0" wp14:anchorId="28203B33" wp14:editId="1DAC226C">
            <wp:extent cx="4186227" cy="4181475"/>
            <wp:effectExtent l="0" t="0" r="5080" b="0"/>
            <wp:docPr id="1720150023" name="Picture 1" descr="The performance domains are represented as a wheel, with the inner circle being Best Patient Outcomes; and the outer circles being:&#10;High quality and safe care, which is comprised of Best practice, Zero harm, Positive patient experience.&#10;Strong governance, leadership and culture, which is comprised of Leadership and capability, Workforce safety and engagement, Effective risk management.&#10;Timely access to care, which is comprised of Reduced waiting, Equitable access, Optimal recovery.&#10;Effective financial management, which is comprised of Balanced operating results and Value from resour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50023" name="Picture 1" descr="The performance domains are represented as a wheel, with the inner circle being Best Patient Outcomes; and the outer circles being:&#10;High quality and safe care, which is comprised of Best practice, Zero harm, Positive patient experience.&#10;Strong governance, leadership and culture, which is comprised of Leadership and capability, Workforce safety and engagement, Effective risk management.&#10;Timely access to care, which is comprised of Reduced waiting, Equitable access, Optimal recovery.&#10;Effective financial management, which is comprised of Balanced operating results and Value from resources.&#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09211" cy="4204433"/>
                    </a:xfrm>
                    <a:prstGeom prst="rect">
                      <a:avLst/>
                    </a:prstGeom>
                    <a:noFill/>
                  </pic:spPr>
                </pic:pic>
              </a:graphicData>
            </a:graphic>
          </wp:inline>
        </w:drawing>
      </w:r>
      <w:r w:rsidRPr="43FCA44B">
        <w:rPr>
          <w:rFonts w:eastAsia="Arial"/>
        </w:rPr>
        <w:t xml:space="preserve"> </w:t>
      </w:r>
      <w:r w:rsidRPr="43FCA44B">
        <w:rPr>
          <w:rFonts w:ascii="Times New Roman" w:eastAsia="Times New Roman" w:hAnsi="Times New Roman" w:cs="Times New Roman"/>
          <w:color w:val="000000" w:themeColor="text1"/>
        </w:rPr>
        <w:t xml:space="preserve"> </w:t>
      </w:r>
      <w:r w:rsidRPr="43FCA44B">
        <w:rPr>
          <w:rFonts w:eastAsia="Arial"/>
        </w:rPr>
        <w:t xml:space="preserve"> </w:t>
      </w:r>
      <w:r w:rsidRPr="43FCA44B">
        <w:rPr>
          <w:rFonts w:ascii="Times New Roman" w:eastAsia="Times New Roman" w:hAnsi="Times New Roman" w:cs="Times New Roman"/>
          <w:color w:val="000000" w:themeColor="text1"/>
        </w:rPr>
        <w:t xml:space="preserve"> </w:t>
      </w:r>
      <w:r w:rsidRPr="43FCA44B">
        <w:rPr>
          <w:rFonts w:eastAsia="Arial"/>
        </w:rPr>
        <w:t xml:space="preserve"> </w:t>
      </w:r>
    </w:p>
    <w:p w14:paraId="7A311FC7" w14:textId="77777777" w:rsidR="00B95EA4" w:rsidRPr="00CE453B" w:rsidRDefault="00B95EA4" w:rsidP="00B95EA4">
      <w:pPr>
        <w:jc w:val="center"/>
        <w:rPr>
          <w:sz w:val="21"/>
          <w:szCs w:val="21"/>
        </w:rPr>
      </w:pPr>
    </w:p>
    <w:p w14:paraId="19635955" w14:textId="77777777" w:rsidR="00A07E66" w:rsidRPr="002F4FDA" w:rsidRDefault="00A07E66" w:rsidP="00A07E66">
      <w:pPr>
        <w:spacing w:line="279" w:lineRule="auto"/>
        <w:rPr>
          <w:rFonts w:eastAsia="Times" w:cs="Times New Roman"/>
          <w:sz w:val="21"/>
          <w:lang w:val="en-AU" w:eastAsia="en-US"/>
        </w:rPr>
      </w:pPr>
      <w:r w:rsidRPr="005F29B7">
        <w:rPr>
          <w:sz w:val="21"/>
          <w:szCs w:val="21"/>
          <w:lang w:val="en-AU"/>
        </w:rPr>
        <w:t>These domains are grounded in relevant legislation and policy. Accordingly, performance across these broader accountabilities will continue to be monitored using a comprehensive suite of quantitative metrics and qualitative intelligence</w:t>
      </w:r>
      <w:r>
        <w:rPr>
          <w:sz w:val="21"/>
          <w:szCs w:val="21"/>
          <w:lang w:val="en-AU"/>
        </w:rPr>
        <w:t xml:space="preserve">. </w:t>
      </w:r>
    </w:p>
    <w:p w14:paraId="7FD31453" w14:textId="45D53E26" w:rsidR="00C5386F" w:rsidRDefault="00982BC6" w:rsidP="00CD31AE">
      <w:pPr>
        <w:rPr>
          <w:sz w:val="21"/>
          <w:szCs w:val="21"/>
          <w:lang w:val="en-AU"/>
        </w:rPr>
      </w:pPr>
      <w:r w:rsidRPr="00CE453B">
        <w:rPr>
          <w:sz w:val="21"/>
          <w:szCs w:val="21"/>
        </w:rPr>
        <w:t>The Performance Domains form the foundation of the Statement of Priorities (SoP), to set clear expectations</w:t>
      </w:r>
      <w:r w:rsidRPr="00982BC6">
        <w:rPr>
          <w:sz w:val="21"/>
          <w:szCs w:val="21"/>
          <w:lang w:val="en-AU"/>
        </w:rPr>
        <w:t xml:space="preserve"> and metrics, ensuring alignment with system priorities. The S</w:t>
      </w:r>
      <w:r w:rsidR="0059020A">
        <w:rPr>
          <w:sz w:val="21"/>
          <w:szCs w:val="21"/>
          <w:lang w:val="en-AU"/>
        </w:rPr>
        <w:t>o</w:t>
      </w:r>
      <w:r w:rsidRPr="00982BC6">
        <w:rPr>
          <w:sz w:val="21"/>
          <w:szCs w:val="21"/>
          <w:lang w:val="en-AU"/>
        </w:rPr>
        <w:t>P is designed to articulate a focused set of strategic performance priorities. Health services are accountable for delivering against a defined set of core qualitative and quantitative strategic priorities outlined within the S</w:t>
      </w:r>
      <w:r w:rsidR="006E7F04">
        <w:rPr>
          <w:sz w:val="21"/>
          <w:szCs w:val="21"/>
          <w:lang w:val="en-AU"/>
        </w:rPr>
        <w:t>o</w:t>
      </w:r>
      <w:r w:rsidRPr="00982BC6">
        <w:rPr>
          <w:sz w:val="21"/>
          <w:szCs w:val="21"/>
          <w:lang w:val="en-AU"/>
        </w:rPr>
        <w:t xml:space="preserve">P. </w:t>
      </w:r>
      <w:r w:rsidR="003703A8" w:rsidRPr="009B71C9">
        <w:rPr>
          <w:sz w:val="21"/>
          <w:szCs w:val="21"/>
          <w:lang w:val="en-AU"/>
        </w:rPr>
        <w:t xml:space="preserve">See </w:t>
      </w:r>
      <w:r w:rsidR="003703A8" w:rsidRPr="00FD7269">
        <w:rPr>
          <w:b/>
          <w:bCs/>
          <w:sz w:val="21"/>
          <w:szCs w:val="21"/>
          <w:lang w:val="en-AU"/>
        </w:rPr>
        <w:t xml:space="preserve">Appendix </w:t>
      </w:r>
      <w:r w:rsidR="00B343F9" w:rsidRPr="00FD7269">
        <w:rPr>
          <w:b/>
          <w:bCs/>
          <w:sz w:val="21"/>
          <w:szCs w:val="21"/>
          <w:lang w:val="en-AU"/>
        </w:rPr>
        <w:t>2</w:t>
      </w:r>
      <w:r w:rsidR="003703A8" w:rsidRPr="009B71C9">
        <w:rPr>
          <w:sz w:val="21"/>
          <w:szCs w:val="21"/>
          <w:lang w:val="en-AU"/>
        </w:rPr>
        <w:t xml:space="preserve"> for </w:t>
      </w:r>
      <w:r w:rsidR="008E0491" w:rsidRPr="009B71C9">
        <w:rPr>
          <w:sz w:val="21"/>
          <w:szCs w:val="21"/>
          <w:lang w:val="en-AU"/>
        </w:rPr>
        <w:t>detailed information on SoP.</w:t>
      </w:r>
      <w:r w:rsidR="008E0491">
        <w:rPr>
          <w:sz w:val="21"/>
          <w:szCs w:val="21"/>
          <w:lang w:val="en-AU"/>
        </w:rPr>
        <w:t xml:space="preserve"> </w:t>
      </w:r>
    </w:p>
    <w:p w14:paraId="5DF65763" w14:textId="44CEB30D" w:rsidR="00EE7F5D" w:rsidRPr="00EF59E2" w:rsidRDefault="00EE7F5D" w:rsidP="00040B5F">
      <w:pPr>
        <w:pStyle w:val="Heading2"/>
        <w:ind w:left="709"/>
        <w:rPr>
          <w:color w:val="3A3A3A" w:themeColor="background2" w:themeShade="40"/>
        </w:rPr>
      </w:pPr>
      <w:bookmarkStart w:id="19" w:name="_Toc211343275"/>
      <w:r w:rsidRPr="00EF59E2">
        <w:rPr>
          <w:color w:val="3A3A3A" w:themeColor="background2" w:themeShade="40"/>
        </w:rPr>
        <w:t xml:space="preserve">The </w:t>
      </w:r>
      <w:r w:rsidR="00992DC1">
        <w:rPr>
          <w:color w:val="3A3A3A" w:themeColor="background2" w:themeShade="40"/>
        </w:rPr>
        <w:t>P</w:t>
      </w:r>
      <w:r w:rsidRPr="00EF59E2">
        <w:rPr>
          <w:color w:val="3A3A3A" w:themeColor="background2" w:themeShade="40"/>
        </w:rPr>
        <w:t xml:space="preserve">erformance </w:t>
      </w:r>
      <w:r w:rsidR="00992DC1">
        <w:rPr>
          <w:color w:val="3A3A3A" w:themeColor="background2" w:themeShade="40"/>
        </w:rPr>
        <w:t>T</w:t>
      </w:r>
      <w:r w:rsidRPr="00EF59E2">
        <w:rPr>
          <w:color w:val="3A3A3A" w:themeColor="background2" w:themeShade="40"/>
        </w:rPr>
        <w:t>iers</w:t>
      </w:r>
      <w:bookmarkEnd w:id="19"/>
      <w:r w:rsidRPr="00EF59E2">
        <w:rPr>
          <w:color w:val="3A3A3A" w:themeColor="background2" w:themeShade="40"/>
        </w:rPr>
        <w:t xml:space="preserve"> </w:t>
      </w:r>
    </w:p>
    <w:p w14:paraId="6D8844A5" w14:textId="62C16689" w:rsidR="00D305EA" w:rsidRDefault="00626687" w:rsidP="11214CB1">
      <w:pPr>
        <w:pStyle w:val="DHHSbodyafterbullets"/>
        <w:rPr>
          <w:rFonts w:ascii="Arial" w:hAnsi="Arial" w:cs="Arial"/>
          <w:sz w:val="21"/>
          <w:szCs w:val="21"/>
          <w:lang w:val="en-US"/>
        </w:rPr>
      </w:pPr>
      <w:bookmarkStart w:id="20" w:name="_Ref166949270"/>
      <w:r w:rsidRPr="0080BBB0">
        <w:rPr>
          <w:rFonts w:ascii="Arial" w:hAnsi="Arial" w:cs="Arial"/>
          <w:sz w:val="21"/>
          <w:szCs w:val="21"/>
          <w:lang w:val="en-US"/>
        </w:rPr>
        <w:t>Health service</w:t>
      </w:r>
      <w:r w:rsidR="00434060" w:rsidRPr="0080BBB0">
        <w:rPr>
          <w:rFonts w:ascii="Arial" w:hAnsi="Arial" w:cs="Arial"/>
          <w:sz w:val="21"/>
          <w:szCs w:val="21"/>
          <w:lang w:val="en-US"/>
        </w:rPr>
        <w:t>s</w:t>
      </w:r>
      <w:r w:rsidRPr="0080BBB0">
        <w:rPr>
          <w:rFonts w:ascii="Arial" w:hAnsi="Arial" w:cs="Arial"/>
          <w:sz w:val="21"/>
          <w:szCs w:val="21"/>
          <w:lang w:val="en-US"/>
        </w:rPr>
        <w:t xml:space="preserve"> </w:t>
      </w:r>
      <w:r w:rsidR="00434060" w:rsidRPr="0080BBB0">
        <w:rPr>
          <w:rFonts w:ascii="Arial" w:hAnsi="Arial" w:cs="Arial"/>
          <w:sz w:val="21"/>
          <w:szCs w:val="21"/>
          <w:lang w:val="en-US"/>
        </w:rPr>
        <w:t>are</w:t>
      </w:r>
      <w:r w:rsidRPr="0080BBB0">
        <w:rPr>
          <w:rFonts w:ascii="Arial" w:hAnsi="Arial" w:cs="Arial"/>
          <w:sz w:val="21"/>
          <w:szCs w:val="21"/>
          <w:lang w:val="en-US"/>
        </w:rPr>
        <w:t xml:space="preserve"> </w:t>
      </w:r>
      <w:r w:rsidR="00436413" w:rsidRPr="0080BBB0">
        <w:rPr>
          <w:rFonts w:ascii="Arial" w:hAnsi="Arial" w:cs="Arial"/>
          <w:sz w:val="21"/>
          <w:szCs w:val="21"/>
          <w:lang w:val="en-US"/>
        </w:rPr>
        <w:t xml:space="preserve">assessed and </w:t>
      </w:r>
      <w:r w:rsidRPr="0080BBB0">
        <w:rPr>
          <w:rFonts w:ascii="Arial" w:hAnsi="Arial" w:cs="Arial"/>
          <w:sz w:val="21"/>
          <w:szCs w:val="21"/>
          <w:lang w:val="en-US"/>
        </w:rPr>
        <w:t xml:space="preserve">allocated to </w:t>
      </w:r>
      <w:r w:rsidR="00436413" w:rsidRPr="0080BBB0">
        <w:rPr>
          <w:rFonts w:ascii="Arial" w:hAnsi="Arial" w:cs="Arial"/>
          <w:sz w:val="21"/>
          <w:szCs w:val="21"/>
          <w:lang w:val="en-US"/>
        </w:rPr>
        <w:t>one of four</w:t>
      </w:r>
      <w:r w:rsidRPr="0080BBB0">
        <w:rPr>
          <w:rFonts w:ascii="Arial" w:hAnsi="Arial" w:cs="Arial"/>
          <w:sz w:val="21"/>
          <w:szCs w:val="21"/>
          <w:lang w:val="en-US"/>
        </w:rPr>
        <w:t xml:space="preserve"> </w:t>
      </w:r>
      <w:r w:rsidR="007C4C53">
        <w:rPr>
          <w:rFonts w:ascii="Arial" w:hAnsi="Arial" w:cs="Arial"/>
          <w:sz w:val="21"/>
          <w:szCs w:val="21"/>
          <w:lang w:val="en-US"/>
        </w:rPr>
        <w:t xml:space="preserve">performance </w:t>
      </w:r>
      <w:r w:rsidRPr="0080BBB0">
        <w:rPr>
          <w:rFonts w:ascii="Arial" w:hAnsi="Arial" w:cs="Arial"/>
          <w:sz w:val="21"/>
          <w:szCs w:val="21"/>
          <w:lang w:val="en-US"/>
        </w:rPr>
        <w:t>tier</w:t>
      </w:r>
      <w:r w:rsidR="00436413" w:rsidRPr="0080BBB0">
        <w:rPr>
          <w:rFonts w:ascii="Arial" w:hAnsi="Arial" w:cs="Arial"/>
          <w:sz w:val="21"/>
          <w:szCs w:val="21"/>
          <w:lang w:val="en-US"/>
        </w:rPr>
        <w:t>s (see</w:t>
      </w:r>
      <w:r w:rsidR="00893B40">
        <w:rPr>
          <w:rFonts w:ascii="Arial" w:hAnsi="Arial" w:cs="Arial"/>
          <w:sz w:val="21"/>
          <w:szCs w:val="21"/>
          <w:lang w:val="en-US"/>
        </w:rPr>
        <w:t xml:space="preserve"> Figure</w:t>
      </w:r>
      <w:r w:rsidR="00436413" w:rsidRPr="0080BBB0">
        <w:rPr>
          <w:rFonts w:ascii="Arial" w:hAnsi="Arial" w:cs="Arial"/>
          <w:sz w:val="21"/>
          <w:szCs w:val="21"/>
          <w:lang w:val="en-US"/>
        </w:rPr>
        <w:t xml:space="preserve"> </w:t>
      </w:r>
      <w:r w:rsidR="00036043">
        <w:rPr>
          <w:rFonts w:ascii="Arial" w:hAnsi="Arial" w:cs="Arial"/>
          <w:sz w:val="21"/>
          <w:szCs w:val="21"/>
        </w:rPr>
        <w:t>4</w:t>
      </w:r>
      <w:r w:rsidR="00436413" w:rsidRPr="0080BBB0">
        <w:rPr>
          <w:rFonts w:ascii="Arial" w:hAnsi="Arial" w:cs="Arial"/>
          <w:sz w:val="21"/>
          <w:szCs w:val="21"/>
          <w:lang w:val="en-US"/>
        </w:rPr>
        <w:t>) depending on their performance</w:t>
      </w:r>
      <w:r w:rsidRPr="0080BBB0">
        <w:rPr>
          <w:rFonts w:ascii="Arial" w:hAnsi="Arial" w:cs="Arial"/>
          <w:sz w:val="21"/>
          <w:szCs w:val="21"/>
          <w:lang w:val="en-US"/>
        </w:rPr>
        <w:t xml:space="preserve">. </w:t>
      </w:r>
      <w:r w:rsidR="001520FA" w:rsidRPr="0080BBB0">
        <w:rPr>
          <w:rFonts w:ascii="Arial" w:hAnsi="Arial" w:cs="Arial"/>
          <w:sz w:val="21"/>
          <w:szCs w:val="21"/>
          <w:lang w:val="en-US"/>
        </w:rPr>
        <w:t xml:space="preserve">The levels of autonomy, support, and intervention vary across these tiers in line with </w:t>
      </w:r>
      <w:r w:rsidR="006B329C">
        <w:rPr>
          <w:rFonts w:ascii="Arial" w:hAnsi="Arial" w:cs="Arial"/>
          <w:sz w:val="21"/>
          <w:szCs w:val="21"/>
          <w:lang w:val="en-US"/>
        </w:rPr>
        <w:t>health service</w:t>
      </w:r>
      <w:r w:rsidR="001520FA" w:rsidRPr="0080BBB0">
        <w:rPr>
          <w:rFonts w:ascii="Arial" w:hAnsi="Arial" w:cs="Arial"/>
          <w:sz w:val="21"/>
          <w:szCs w:val="21"/>
          <w:lang w:val="en-US"/>
        </w:rPr>
        <w:t xml:space="preserve"> need</w:t>
      </w:r>
      <w:r w:rsidR="00641087">
        <w:rPr>
          <w:rFonts w:ascii="Arial" w:hAnsi="Arial" w:cs="Arial"/>
          <w:sz w:val="21"/>
          <w:szCs w:val="21"/>
          <w:lang w:val="en-US"/>
        </w:rPr>
        <w:t xml:space="preserve">. The performance tiers </w:t>
      </w:r>
      <w:r w:rsidR="00BA5968">
        <w:rPr>
          <w:rFonts w:ascii="Arial" w:hAnsi="Arial" w:cs="Arial"/>
          <w:sz w:val="21"/>
          <w:szCs w:val="21"/>
          <w:lang w:val="en-US"/>
        </w:rPr>
        <w:t xml:space="preserve">are </w:t>
      </w:r>
      <w:r w:rsidR="00641087">
        <w:rPr>
          <w:rFonts w:ascii="Arial" w:hAnsi="Arial" w:cs="Arial"/>
          <w:sz w:val="21"/>
          <w:szCs w:val="21"/>
          <w:lang w:val="en-US"/>
        </w:rPr>
        <w:t xml:space="preserve">set out below: </w:t>
      </w:r>
    </w:p>
    <w:p w14:paraId="765B8125" w14:textId="1DA89844" w:rsidR="009C68C0" w:rsidRDefault="009C68C0" w:rsidP="00C02D14">
      <w:pPr>
        <w:pStyle w:val="DHHSbodyafterbullets"/>
        <w:numPr>
          <w:ilvl w:val="0"/>
          <w:numId w:val="15"/>
        </w:numPr>
        <w:rPr>
          <w:rFonts w:ascii="Arial" w:hAnsi="Arial" w:cs="Arial"/>
          <w:sz w:val="21"/>
          <w:szCs w:val="21"/>
          <w:lang w:val="en-US"/>
        </w:rPr>
      </w:pPr>
      <w:r w:rsidRPr="103A17EC">
        <w:rPr>
          <w:rFonts w:ascii="Arial" w:hAnsi="Arial" w:cs="Arial"/>
          <w:b/>
          <w:bCs/>
          <w:sz w:val="21"/>
          <w:szCs w:val="21"/>
          <w:lang w:val="en-US"/>
        </w:rPr>
        <w:t>Enhanced Autonomy:</w:t>
      </w:r>
      <w:r w:rsidRPr="103A17EC">
        <w:rPr>
          <w:rFonts w:ascii="Arial" w:hAnsi="Arial" w:cs="Arial"/>
          <w:sz w:val="21"/>
          <w:szCs w:val="21"/>
          <w:lang w:val="en-US"/>
        </w:rPr>
        <w:t xml:space="preserve"> For services excelling across domains, meeting core priorities (balanced budgets, safe care, timely access)</w:t>
      </w:r>
      <w:r w:rsidR="008D4087">
        <w:rPr>
          <w:rFonts w:ascii="Arial" w:hAnsi="Arial" w:cs="Arial"/>
          <w:sz w:val="21"/>
          <w:szCs w:val="21"/>
          <w:lang w:val="en-US"/>
        </w:rPr>
        <w:t xml:space="preserve"> </w:t>
      </w:r>
      <w:r w:rsidRPr="103A17EC">
        <w:rPr>
          <w:rFonts w:ascii="Arial" w:hAnsi="Arial" w:cs="Arial"/>
          <w:sz w:val="21"/>
          <w:szCs w:val="21"/>
          <w:lang w:val="en-US"/>
        </w:rPr>
        <w:t>and leading system collaboration. They demonstrate sustained improvement and innovation.</w:t>
      </w:r>
    </w:p>
    <w:p w14:paraId="2F765B75" w14:textId="3379F047" w:rsidR="009C68C0" w:rsidRPr="000D3165" w:rsidRDefault="009C68C0" w:rsidP="00C02D14">
      <w:pPr>
        <w:pStyle w:val="DHHSbodyafterbullets"/>
        <w:numPr>
          <w:ilvl w:val="0"/>
          <w:numId w:val="15"/>
        </w:numPr>
        <w:rPr>
          <w:rFonts w:ascii="Arial" w:hAnsi="Arial" w:cs="Arial"/>
          <w:sz w:val="21"/>
          <w:szCs w:val="21"/>
          <w:lang w:val="en-US"/>
        </w:rPr>
      </w:pPr>
      <w:r w:rsidRPr="000D3165">
        <w:rPr>
          <w:rFonts w:ascii="Arial" w:hAnsi="Arial" w:cs="Arial"/>
          <w:b/>
          <w:bCs/>
          <w:sz w:val="21"/>
          <w:szCs w:val="21"/>
          <w:lang w:val="en-US"/>
        </w:rPr>
        <w:lastRenderedPageBreak/>
        <w:t>Standard Oversight:</w:t>
      </w:r>
      <w:r w:rsidRPr="000D3165">
        <w:rPr>
          <w:rFonts w:ascii="Arial" w:hAnsi="Arial" w:cs="Arial"/>
          <w:sz w:val="21"/>
          <w:szCs w:val="21"/>
          <w:lang w:val="en-US"/>
        </w:rPr>
        <w:t xml:space="preserve"> For services meeting most targets with credible plans to address gaps, showing improvement and active collaboration.</w:t>
      </w:r>
    </w:p>
    <w:p w14:paraId="6A9F6A72" w14:textId="5BE7D926" w:rsidR="009C68C0" w:rsidRPr="000D3165" w:rsidRDefault="009C68C0" w:rsidP="00C02D14">
      <w:pPr>
        <w:pStyle w:val="DHHSbodyafterbullets"/>
        <w:numPr>
          <w:ilvl w:val="0"/>
          <w:numId w:val="15"/>
        </w:numPr>
        <w:rPr>
          <w:rFonts w:ascii="Arial" w:hAnsi="Arial" w:cs="Arial"/>
          <w:sz w:val="21"/>
          <w:szCs w:val="21"/>
          <w:lang w:val="en-US"/>
        </w:rPr>
      </w:pPr>
      <w:r w:rsidRPr="000D3165">
        <w:rPr>
          <w:rFonts w:ascii="Arial" w:hAnsi="Arial" w:cs="Arial"/>
          <w:b/>
          <w:bCs/>
          <w:sz w:val="21"/>
          <w:szCs w:val="21"/>
          <w:lang w:val="en-US"/>
        </w:rPr>
        <w:t>Performance Support:</w:t>
      </w:r>
      <w:r w:rsidRPr="000D3165">
        <w:rPr>
          <w:rFonts w:ascii="Arial" w:hAnsi="Arial" w:cs="Arial"/>
          <w:sz w:val="21"/>
          <w:szCs w:val="21"/>
          <w:lang w:val="en-US"/>
        </w:rPr>
        <w:t xml:space="preserve"> For services </w:t>
      </w:r>
      <w:r w:rsidR="005A0806" w:rsidRPr="000D3165">
        <w:rPr>
          <w:rFonts w:ascii="Arial" w:hAnsi="Arial" w:cs="Arial"/>
          <w:sz w:val="21"/>
          <w:szCs w:val="21"/>
          <w:lang w:val="en-US"/>
        </w:rPr>
        <w:t xml:space="preserve">not aligned </w:t>
      </w:r>
      <w:r w:rsidR="007C0A6B" w:rsidRPr="000D3165">
        <w:rPr>
          <w:rFonts w:ascii="Arial" w:hAnsi="Arial" w:cs="Arial"/>
          <w:sz w:val="21"/>
          <w:szCs w:val="21"/>
          <w:lang w:val="en-US"/>
        </w:rPr>
        <w:t>with</w:t>
      </w:r>
      <w:r w:rsidR="005A0806" w:rsidRPr="000D3165">
        <w:rPr>
          <w:rFonts w:ascii="Arial" w:hAnsi="Arial" w:cs="Arial"/>
          <w:sz w:val="21"/>
          <w:szCs w:val="21"/>
          <w:lang w:val="en-US"/>
        </w:rPr>
        <w:t xml:space="preserve"> core priorities or not meeting most targets</w:t>
      </w:r>
      <w:r w:rsidRPr="000D3165">
        <w:rPr>
          <w:rFonts w:ascii="Arial" w:hAnsi="Arial" w:cs="Arial"/>
          <w:sz w:val="21"/>
          <w:szCs w:val="21"/>
          <w:lang w:val="en-US"/>
        </w:rPr>
        <w:t>, with poor local performance or significant risks, lacking credible improvement plans or collaboration.</w:t>
      </w:r>
    </w:p>
    <w:p w14:paraId="0C1D55F2" w14:textId="56FC7216" w:rsidR="00A2753C" w:rsidRDefault="009C68C0" w:rsidP="00C02D14">
      <w:pPr>
        <w:pStyle w:val="DHHSbodyafterbullets"/>
        <w:numPr>
          <w:ilvl w:val="0"/>
          <w:numId w:val="15"/>
        </w:numPr>
        <w:rPr>
          <w:rFonts w:ascii="Arial" w:hAnsi="Arial" w:cs="Arial"/>
          <w:sz w:val="21"/>
          <w:szCs w:val="21"/>
          <w:lang w:val="en-US"/>
        </w:rPr>
      </w:pPr>
      <w:r w:rsidRPr="000D3165">
        <w:rPr>
          <w:rFonts w:ascii="Arial" w:hAnsi="Arial" w:cs="Arial"/>
          <w:b/>
          <w:bCs/>
          <w:sz w:val="21"/>
          <w:szCs w:val="21"/>
          <w:lang w:val="en-US"/>
        </w:rPr>
        <w:t>Mandated Intensive Support:</w:t>
      </w:r>
      <w:r w:rsidRPr="000D3165">
        <w:rPr>
          <w:rFonts w:ascii="Arial" w:hAnsi="Arial" w:cs="Arial"/>
          <w:sz w:val="21"/>
          <w:szCs w:val="21"/>
          <w:lang w:val="en-US"/>
        </w:rPr>
        <w:t xml:space="preserve"> For services with critical, persistent issues (e.g., catastrophic safety or governance failures, significant</w:t>
      </w:r>
      <w:r w:rsidRPr="009C68C0">
        <w:rPr>
          <w:rFonts w:ascii="Arial" w:hAnsi="Arial" w:cs="Arial"/>
          <w:sz w:val="21"/>
          <w:szCs w:val="21"/>
          <w:lang w:val="en-US"/>
        </w:rPr>
        <w:t xml:space="preserve"> deficits), requiring intensive intervention.</w:t>
      </w:r>
    </w:p>
    <w:p w14:paraId="77F24D6A" w14:textId="2423B36D" w:rsidR="00292AEF" w:rsidRPr="00A37E08" w:rsidRDefault="00292AEF" w:rsidP="00292AEF">
      <w:pPr>
        <w:pStyle w:val="DHHSbodyafterbullets"/>
        <w:rPr>
          <w:rFonts w:ascii="Arial" w:hAnsi="Arial" w:cs="Arial"/>
          <w:i/>
          <w:iCs/>
          <w:sz w:val="21"/>
          <w:szCs w:val="21"/>
          <w:lang w:val="en-US"/>
        </w:rPr>
      </w:pPr>
      <w:r w:rsidRPr="00A37E08">
        <w:rPr>
          <w:rFonts w:ascii="Arial" w:hAnsi="Arial" w:cs="Arial"/>
          <w:i/>
          <w:iCs/>
          <w:sz w:val="21"/>
          <w:szCs w:val="21"/>
          <w:lang w:val="en-US"/>
        </w:rPr>
        <w:t xml:space="preserve">Refer to </w:t>
      </w:r>
      <w:r w:rsidRPr="00CB0AFB">
        <w:rPr>
          <w:rFonts w:ascii="Arial" w:hAnsi="Arial" w:cs="Arial"/>
          <w:b/>
          <w:i/>
          <w:sz w:val="21"/>
          <w:szCs w:val="21"/>
          <w:lang w:val="en-US"/>
        </w:rPr>
        <w:t>Section 4</w:t>
      </w:r>
      <w:r w:rsidRPr="00A37E08">
        <w:rPr>
          <w:rFonts w:ascii="Arial" w:hAnsi="Arial" w:cs="Arial"/>
          <w:i/>
          <w:iCs/>
          <w:sz w:val="21"/>
          <w:szCs w:val="21"/>
          <w:lang w:val="en-US"/>
        </w:rPr>
        <w:t xml:space="preserve"> for</w:t>
      </w:r>
      <w:r w:rsidR="00367DC7">
        <w:rPr>
          <w:rFonts w:ascii="Arial" w:hAnsi="Arial" w:cs="Arial"/>
          <w:i/>
          <w:iCs/>
          <w:sz w:val="21"/>
          <w:szCs w:val="21"/>
          <w:lang w:val="en-US"/>
        </w:rPr>
        <w:t xml:space="preserve"> f</w:t>
      </w:r>
      <w:r w:rsidR="00367DC7" w:rsidRPr="00367DC7">
        <w:rPr>
          <w:rFonts w:ascii="Arial" w:hAnsi="Arial" w:cs="Arial"/>
          <w:i/>
          <w:iCs/>
          <w:sz w:val="21"/>
          <w:szCs w:val="21"/>
          <w:lang w:val="en-US"/>
        </w:rPr>
        <w:t xml:space="preserve">ormal performance assessments and performance tier changes </w:t>
      </w:r>
      <w:r w:rsidR="00A37E08" w:rsidRPr="00A37E08">
        <w:rPr>
          <w:rFonts w:ascii="Arial" w:hAnsi="Arial" w:cs="Arial"/>
          <w:i/>
          <w:iCs/>
          <w:sz w:val="21"/>
          <w:szCs w:val="21"/>
          <w:lang w:val="en-US"/>
        </w:rPr>
        <w:t xml:space="preserve">approach. </w:t>
      </w:r>
    </w:p>
    <w:p w14:paraId="1FBE5AE4" w14:textId="4CF03AAA" w:rsidR="00436413" w:rsidRPr="00A21F7D" w:rsidRDefault="00436413" w:rsidP="00A21F7D">
      <w:pPr>
        <w:pStyle w:val="Heading4"/>
        <w:spacing w:before="0" w:after="0" w:line="240" w:lineRule="auto"/>
        <w:rPr>
          <w:color w:val="53565A"/>
          <w:sz w:val="20"/>
          <w:szCs w:val="20"/>
        </w:rPr>
      </w:pPr>
      <w:r w:rsidRPr="00A21F7D">
        <w:rPr>
          <w:color w:val="53565A"/>
          <w:sz w:val="20"/>
          <w:szCs w:val="20"/>
        </w:rPr>
        <w:t xml:space="preserve">Figure </w:t>
      </w:r>
      <w:r w:rsidR="0095260C">
        <w:rPr>
          <w:color w:val="53565A"/>
          <w:sz w:val="20"/>
          <w:szCs w:val="20"/>
        </w:rPr>
        <w:t>4</w:t>
      </w:r>
      <w:r w:rsidRPr="00A21F7D">
        <w:rPr>
          <w:color w:val="53565A"/>
          <w:sz w:val="20"/>
          <w:szCs w:val="20"/>
        </w:rPr>
        <w:t>: Four performance tiers</w:t>
      </w:r>
    </w:p>
    <w:p w14:paraId="07F23700" w14:textId="77777777" w:rsidR="00CA0DA1" w:rsidRDefault="00CA0DA1" w:rsidP="00A21F7D">
      <w:pPr>
        <w:pStyle w:val="Caption2"/>
        <w:spacing w:before="0" w:after="0"/>
        <w:rPr>
          <w:rFonts w:eastAsia="Times" w:cs="Times New Roman"/>
          <w:bCs w:val="0"/>
          <w:i w:val="0"/>
          <w:color w:val="auto"/>
          <w:sz w:val="20"/>
          <w:szCs w:val="20"/>
          <w:lang w:val="en-AU" w:eastAsia="en-US"/>
        </w:rPr>
      </w:pPr>
    </w:p>
    <w:p w14:paraId="42F78CA8" w14:textId="77777777" w:rsidR="00FF50DF" w:rsidRPr="00FD7269" w:rsidRDefault="00FF50DF" w:rsidP="00A21F7D">
      <w:pPr>
        <w:pStyle w:val="Caption2"/>
        <w:spacing w:before="0" w:after="0"/>
        <w:rPr>
          <w:bCs w:val="0"/>
          <w:sz w:val="20"/>
          <w:szCs w:val="20"/>
        </w:rPr>
      </w:pPr>
    </w:p>
    <w:p w14:paraId="0B9ACAC5" w14:textId="19DA7F36" w:rsidR="00C618F7" w:rsidRDefault="00C618F7" w:rsidP="00C618F7">
      <w:pPr>
        <w:jc w:val="center"/>
      </w:pPr>
      <w:r>
        <w:rPr>
          <w:noProof/>
        </w:rPr>
        <w:drawing>
          <wp:inline distT="0" distB="0" distL="0" distR="0" wp14:anchorId="57847702" wp14:editId="1AE5D034">
            <wp:extent cx="3217048" cy="3041650"/>
            <wp:effectExtent l="0" t="0" r="2540" b="6350"/>
            <wp:docPr id="1703557967" name="Picture 3" descr="The performance tiers are represented as a diamond showing:&#10;Enhanced autonomy: incentivise and reward excellence&#10;Standard oversight: maintain standard oversight and support to stay on track&#10;Performance support: intervene early to prevent extended decline&#10;Mandated intensive support: intensive mandatory support, with transparent triggers and hard account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39527" name="Picture 3" descr="The performance tiers are represented as a diamond showing:&#10;Enhanced autonomy: incentivise and reward excellence&#10;Standard oversight: maintain standard oversight and support to stay on track&#10;Performance support: intervene early to prevent extended decline&#10;Mandated intensive support: intensive mandatory support, with transparent triggers and hard accountabiliti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17048" cy="3041650"/>
                    </a:xfrm>
                    <a:prstGeom prst="rect">
                      <a:avLst/>
                    </a:prstGeom>
                    <a:noFill/>
                  </pic:spPr>
                </pic:pic>
              </a:graphicData>
            </a:graphic>
          </wp:inline>
        </w:drawing>
      </w:r>
    </w:p>
    <w:p w14:paraId="3260AAED" w14:textId="77777777" w:rsidR="00D13F47" w:rsidRDefault="00D13F47" w:rsidP="00C618F7">
      <w:pPr>
        <w:jc w:val="center"/>
      </w:pPr>
    </w:p>
    <w:bookmarkEnd w:id="20"/>
    <w:p w14:paraId="72B97B18" w14:textId="77777777" w:rsidR="002D48D6" w:rsidRDefault="002D48D6">
      <w:pPr>
        <w:spacing w:line="279" w:lineRule="auto"/>
        <w:rPr>
          <w:rFonts w:eastAsiaTheme="majorEastAsia" w:cstheme="majorBidi"/>
          <w:color w:val="0F4761" w:themeColor="accent1" w:themeShade="BF"/>
          <w:sz w:val="40"/>
          <w:szCs w:val="40"/>
          <w:highlight w:val="lightGray"/>
        </w:rPr>
      </w:pPr>
      <w:r>
        <w:rPr>
          <w:highlight w:val="lightGray"/>
        </w:rPr>
        <w:br w:type="page"/>
      </w:r>
    </w:p>
    <w:p w14:paraId="732F5702" w14:textId="53ADFE4F" w:rsidR="00951BD6" w:rsidRPr="0070668E" w:rsidRDefault="00F61E45" w:rsidP="002D48D6">
      <w:pPr>
        <w:pStyle w:val="Heading1"/>
        <w:rPr>
          <w:color w:val="3A3A3A" w:themeColor="background2" w:themeShade="40"/>
        </w:rPr>
      </w:pPr>
      <w:bookmarkStart w:id="21" w:name="_Toc211343276"/>
      <w:r w:rsidRPr="0070668E">
        <w:rPr>
          <w:color w:val="3A3A3A" w:themeColor="background2" w:themeShade="40"/>
        </w:rPr>
        <w:lastRenderedPageBreak/>
        <w:t xml:space="preserve">The </w:t>
      </w:r>
      <w:r w:rsidR="008D7133">
        <w:rPr>
          <w:color w:val="3A3A3A" w:themeColor="background2" w:themeShade="40"/>
        </w:rPr>
        <w:t>P</w:t>
      </w:r>
      <w:r w:rsidRPr="0070668E">
        <w:rPr>
          <w:color w:val="3A3A3A" w:themeColor="background2" w:themeShade="40"/>
        </w:rPr>
        <w:t>erformance</w:t>
      </w:r>
      <w:r w:rsidR="00220089">
        <w:rPr>
          <w:color w:val="3A3A3A" w:themeColor="background2" w:themeShade="40"/>
        </w:rPr>
        <w:t xml:space="preserve"> </w:t>
      </w:r>
      <w:r w:rsidR="008D7133">
        <w:rPr>
          <w:color w:val="3A3A3A" w:themeColor="background2" w:themeShade="40"/>
        </w:rPr>
        <w:t>C</w:t>
      </w:r>
      <w:r w:rsidRPr="0070668E">
        <w:rPr>
          <w:color w:val="3A3A3A" w:themeColor="background2" w:themeShade="40"/>
        </w:rPr>
        <w:t>ycle</w:t>
      </w:r>
      <w:bookmarkEnd w:id="21"/>
      <w:r w:rsidRPr="0070668E">
        <w:rPr>
          <w:color w:val="3A3A3A" w:themeColor="background2" w:themeShade="40"/>
        </w:rPr>
        <w:t xml:space="preserve"> </w:t>
      </w:r>
    </w:p>
    <w:p w14:paraId="75FA1F41" w14:textId="144D0DCD" w:rsidR="003D1331" w:rsidRDefault="003D1331" w:rsidP="0098638F">
      <w:pPr>
        <w:pStyle w:val="DHHSbody"/>
        <w:rPr>
          <w:szCs w:val="21"/>
        </w:rPr>
      </w:pPr>
      <w:r w:rsidRPr="003D1331">
        <w:rPr>
          <w:szCs w:val="21"/>
        </w:rPr>
        <w:t xml:space="preserve">The performance cycle integrates </w:t>
      </w:r>
      <w:r w:rsidR="004D1C37" w:rsidRPr="00737702">
        <w:rPr>
          <w:b/>
          <w:bCs/>
          <w:szCs w:val="21"/>
        </w:rPr>
        <w:t>Planning and Strategy</w:t>
      </w:r>
      <w:r w:rsidRPr="003D1331">
        <w:rPr>
          <w:szCs w:val="21"/>
        </w:rPr>
        <w:t xml:space="preserve">, </w:t>
      </w:r>
      <w:r w:rsidR="004D1C37" w:rsidRPr="00737702">
        <w:rPr>
          <w:b/>
          <w:bCs/>
          <w:szCs w:val="21"/>
        </w:rPr>
        <w:t>C</w:t>
      </w:r>
      <w:r w:rsidRPr="00737702">
        <w:rPr>
          <w:b/>
          <w:bCs/>
          <w:szCs w:val="21"/>
        </w:rPr>
        <w:t xml:space="preserve">ontinuous </w:t>
      </w:r>
      <w:r w:rsidR="004D1C37" w:rsidRPr="00737702">
        <w:rPr>
          <w:b/>
          <w:bCs/>
          <w:szCs w:val="21"/>
        </w:rPr>
        <w:t>I</w:t>
      </w:r>
      <w:r w:rsidRPr="00737702">
        <w:rPr>
          <w:b/>
          <w:bCs/>
          <w:szCs w:val="21"/>
        </w:rPr>
        <w:t>mprovement</w:t>
      </w:r>
      <w:r w:rsidRPr="003D1331">
        <w:rPr>
          <w:szCs w:val="21"/>
        </w:rPr>
        <w:t>, and</w:t>
      </w:r>
      <w:r w:rsidR="00A610E1">
        <w:rPr>
          <w:szCs w:val="21"/>
        </w:rPr>
        <w:t xml:space="preserve"> </w:t>
      </w:r>
      <w:r w:rsidR="004D1C37" w:rsidRPr="00737702">
        <w:rPr>
          <w:b/>
          <w:bCs/>
          <w:szCs w:val="21"/>
        </w:rPr>
        <w:t>A</w:t>
      </w:r>
      <w:r w:rsidRPr="00737702">
        <w:rPr>
          <w:b/>
          <w:bCs/>
          <w:szCs w:val="21"/>
        </w:rPr>
        <w:t>ccountability</w:t>
      </w:r>
      <w:r w:rsidRPr="003D1331">
        <w:rPr>
          <w:szCs w:val="21"/>
        </w:rPr>
        <w:t xml:space="preserve"> to align health services with </w:t>
      </w:r>
      <w:r w:rsidRPr="00A262EA">
        <w:rPr>
          <w:szCs w:val="21"/>
        </w:rPr>
        <w:t>government priorities</w:t>
      </w:r>
      <w:r w:rsidRPr="003D1331">
        <w:rPr>
          <w:szCs w:val="21"/>
        </w:rPr>
        <w:t xml:space="preserve"> and drive </w:t>
      </w:r>
      <w:r w:rsidR="00015CD9">
        <w:rPr>
          <w:szCs w:val="21"/>
        </w:rPr>
        <w:t xml:space="preserve">health </w:t>
      </w:r>
      <w:r w:rsidRPr="003D1331">
        <w:rPr>
          <w:szCs w:val="21"/>
        </w:rPr>
        <w:t xml:space="preserve">system-wide </w:t>
      </w:r>
      <w:r w:rsidR="00D84332">
        <w:rPr>
          <w:szCs w:val="21"/>
        </w:rPr>
        <w:t xml:space="preserve">performance and </w:t>
      </w:r>
      <w:r w:rsidR="00015CD9">
        <w:rPr>
          <w:szCs w:val="21"/>
        </w:rPr>
        <w:t xml:space="preserve">improvement. </w:t>
      </w:r>
    </w:p>
    <w:p w14:paraId="658A4F28" w14:textId="61FE0568" w:rsidR="0098638F" w:rsidRDefault="0098638F" w:rsidP="00C02D14">
      <w:pPr>
        <w:pStyle w:val="DHHSbody"/>
        <w:numPr>
          <w:ilvl w:val="0"/>
          <w:numId w:val="19"/>
        </w:numPr>
      </w:pPr>
      <w:r w:rsidRPr="103A17EC">
        <w:rPr>
          <w:b/>
          <w:bCs/>
        </w:rPr>
        <w:t>Planning and Strategy:</w:t>
      </w:r>
      <w:r>
        <w:t xml:space="preserve"> </w:t>
      </w:r>
      <w:r w:rsidR="00F32FA4" w:rsidRPr="00F32FA4">
        <w:t xml:space="preserve">Health Services will identify strategies that will enable them to achieve </w:t>
      </w:r>
      <w:r w:rsidR="00F32FA4" w:rsidRPr="00A262EA">
        <w:t>government priorities as</w:t>
      </w:r>
      <w:r w:rsidR="00F32FA4" w:rsidRPr="00F32FA4">
        <w:t xml:space="preserve"> outlined in the SOP process.  The strategies should enable HS to improve or strengthen </w:t>
      </w:r>
      <w:r w:rsidR="005E75CE" w:rsidRPr="00F32FA4">
        <w:t>work</w:t>
      </w:r>
      <w:r w:rsidR="00F32FA4" w:rsidRPr="00F32FA4">
        <w:t xml:space="preserve"> in the four </w:t>
      </w:r>
      <w:r w:rsidR="005E75CE" w:rsidRPr="00F32FA4">
        <w:t>performance</w:t>
      </w:r>
      <w:r w:rsidR="00F32FA4" w:rsidRPr="00F32FA4">
        <w:t xml:space="preserve"> </w:t>
      </w:r>
      <w:r w:rsidR="005E75CE" w:rsidRPr="00F32FA4">
        <w:t>domains</w:t>
      </w:r>
      <w:r>
        <w:t xml:space="preserve">: high-quality and safe care, strong governance and culture, effective financial management, and timely access to care. </w:t>
      </w:r>
      <w:r w:rsidR="008C4C5E">
        <w:t xml:space="preserve">These are discussed at the </w:t>
      </w:r>
      <w:r>
        <w:t>annual strategy meeting, with departmental endorsement supporting implementation where needed.</w:t>
      </w:r>
    </w:p>
    <w:p w14:paraId="060BB1BD" w14:textId="0FDB4679" w:rsidR="0098638F" w:rsidRDefault="0098638F" w:rsidP="00C02D14">
      <w:pPr>
        <w:pStyle w:val="DHHSbody"/>
        <w:numPr>
          <w:ilvl w:val="0"/>
          <w:numId w:val="19"/>
        </w:numPr>
      </w:pPr>
      <w:r w:rsidRPr="004D1C37">
        <w:rPr>
          <w:b/>
          <w:bCs/>
        </w:rPr>
        <w:t>Continuous Improvement:</w:t>
      </w:r>
      <w:r>
        <w:t xml:space="preserve"> a structured approach to service and system redesign to uplift performance through identified, and effective approaches to close the gap in performance achievement against nominated benchmarks. Key initiatives include the Timely Emergency Care Collaborative, Planned Surgery Recovery and Reform program, and Safer Care Victoria’s safety and quality programs.</w:t>
      </w:r>
    </w:p>
    <w:p w14:paraId="536B4460" w14:textId="4921B9D9" w:rsidR="0098638F" w:rsidRDefault="0098638F" w:rsidP="00C02D14">
      <w:pPr>
        <w:pStyle w:val="DHHSbody"/>
        <w:numPr>
          <w:ilvl w:val="0"/>
          <w:numId w:val="19"/>
        </w:numPr>
      </w:pPr>
      <w:r w:rsidRPr="004D1C37">
        <w:rPr>
          <w:b/>
          <w:bCs/>
        </w:rPr>
        <w:t>Accountability:</w:t>
      </w:r>
      <w:r>
        <w:t xml:space="preserve"> Involves continuous monitoring of performance and risks</w:t>
      </w:r>
      <w:r w:rsidR="00D825AC">
        <w:t xml:space="preserve">. </w:t>
      </w:r>
      <w:r>
        <w:t>Health services are assessed quarterly and assigned to one of four performance tiers (Enhanced Autonomy, Standard Oversight, Performance Support, or Mandated Intensive Support) based on Performance Domains, SoP deliverables and measures and other performance factors.</w:t>
      </w:r>
    </w:p>
    <w:p w14:paraId="0897ECE9" w14:textId="4BA52147" w:rsidR="00CE4725" w:rsidRPr="00CE4725" w:rsidRDefault="00D425FC" w:rsidP="0098638F">
      <w:pPr>
        <w:pStyle w:val="DHHSbody"/>
        <w:rPr>
          <w:szCs w:val="21"/>
        </w:rPr>
      </w:pPr>
      <w:r>
        <w:rPr>
          <w:szCs w:val="21"/>
        </w:rPr>
        <w:t>E</w:t>
      </w:r>
      <w:r w:rsidR="00CE4725">
        <w:rPr>
          <w:szCs w:val="21"/>
        </w:rPr>
        <w:t xml:space="preserve">ngagement </w:t>
      </w:r>
      <w:r w:rsidR="008A0403">
        <w:rPr>
          <w:szCs w:val="21"/>
        </w:rPr>
        <w:t xml:space="preserve">with health services </w:t>
      </w:r>
      <w:r w:rsidR="003F1A09">
        <w:rPr>
          <w:szCs w:val="21"/>
        </w:rPr>
        <w:t xml:space="preserve">for </w:t>
      </w:r>
      <w:r w:rsidR="00CE4725">
        <w:rPr>
          <w:szCs w:val="21"/>
        </w:rPr>
        <w:t xml:space="preserve">each </w:t>
      </w:r>
      <w:r w:rsidR="003C3458">
        <w:rPr>
          <w:szCs w:val="21"/>
        </w:rPr>
        <w:t>stage</w:t>
      </w:r>
      <w:r w:rsidR="00CE4725">
        <w:rPr>
          <w:szCs w:val="21"/>
        </w:rPr>
        <w:t xml:space="preserve"> are </w:t>
      </w:r>
      <w:r w:rsidR="00FF7EF0">
        <w:rPr>
          <w:szCs w:val="21"/>
        </w:rPr>
        <w:t xml:space="preserve">shown in </w:t>
      </w:r>
      <w:r w:rsidR="000A4BF6">
        <w:rPr>
          <w:szCs w:val="21"/>
        </w:rPr>
        <w:t>F</w:t>
      </w:r>
      <w:r w:rsidR="00FF7EF0">
        <w:rPr>
          <w:szCs w:val="21"/>
        </w:rPr>
        <w:t xml:space="preserve">igure </w:t>
      </w:r>
      <w:r w:rsidR="009D176B">
        <w:rPr>
          <w:szCs w:val="21"/>
        </w:rPr>
        <w:t>5</w:t>
      </w:r>
      <w:r w:rsidR="00CE4725">
        <w:rPr>
          <w:szCs w:val="21"/>
        </w:rPr>
        <w:t xml:space="preserve"> below</w:t>
      </w:r>
      <w:r w:rsidR="00C04FC0">
        <w:rPr>
          <w:szCs w:val="21"/>
        </w:rPr>
        <w:t>.</w:t>
      </w:r>
      <w:r w:rsidR="00CE4725">
        <w:rPr>
          <w:szCs w:val="21"/>
        </w:rPr>
        <w:t xml:space="preserve"> </w:t>
      </w:r>
    </w:p>
    <w:p w14:paraId="2379BFB8" w14:textId="5656BC03" w:rsidR="00230546" w:rsidRPr="003C00B3" w:rsidRDefault="00230546" w:rsidP="00CE4725">
      <w:pPr>
        <w:pStyle w:val="Heading4"/>
        <w:spacing w:before="0" w:after="0" w:line="240" w:lineRule="auto"/>
        <w:rPr>
          <w:color w:val="53565A"/>
          <w:sz w:val="20"/>
          <w:szCs w:val="20"/>
        </w:rPr>
      </w:pPr>
      <w:r w:rsidRPr="00CE4725">
        <w:rPr>
          <w:color w:val="53565A"/>
          <w:sz w:val="20"/>
          <w:szCs w:val="20"/>
        </w:rPr>
        <w:t xml:space="preserve">Figure </w:t>
      </w:r>
      <w:r w:rsidR="009D176B">
        <w:rPr>
          <w:color w:val="53565A"/>
          <w:sz w:val="20"/>
          <w:szCs w:val="20"/>
        </w:rPr>
        <w:t>5</w:t>
      </w:r>
      <w:r w:rsidRPr="00CE4725">
        <w:rPr>
          <w:color w:val="53565A"/>
          <w:sz w:val="20"/>
          <w:szCs w:val="20"/>
        </w:rPr>
        <w:t xml:space="preserve">: The performance cycle and </w:t>
      </w:r>
      <w:r w:rsidR="00A00080" w:rsidRPr="003C00B3">
        <w:rPr>
          <w:color w:val="53565A"/>
          <w:sz w:val="20"/>
          <w:szCs w:val="20"/>
        </w:rPr>
        <w:t>ongoing</w:t>
      </w:r>
      <w:r w:rsidRPr="003C00B3">
        <w:rPr>
          <w:color w:val="53565A"/>
          <w:sz w:val="20"/>
          <w:szCs w:val="20"/>
        </w:rPr>
        <w:t xml:space="preserve"> engagement</w:t>
      </w:r>
    </w:p>
    <w:p w14:paraId="41483C3A" w14:textId="41F1A36D" w:rsidR="005B62D2" w:rsidRPr="00324001" w:rsidRDefault="009F7FD8" w:rsidP="00CE4725">
      <w:pPr>
        <w:pStyle w:val="Caption2"/>
        <w:spacing w:before="0" w:after="0"/>
        <w:rPr>
          <w:rFonts w:eastAsia="Times" w:cs="Times New Roman"/>
          <w:bCs w:val="0"/>
          <w:i w:val="0"/>
          <w:color w:val="auto"/>
          <w:sz w:val="20"/>
          <w:szCs w:val="20"/>
          <w:lang w:val="en-AU" w:eastAsia="en-US"/>
        </w:rPr>
      </w:pPr>
      <w:r>
        <w:rPr>
          <w:noProof/>
        </w:rPr>
        <w:drawing>
          <wp:inline distT="0" distB="0" distL="0" distR="0" wp14:anchorId="6E1774F8" wp14:editId="23594EEB">
            <wp:extent cx="5182819" cy="3517229"/>
            <wp:effectExtent l="0" t="0" r="0" b="7620"/>
            <wp:docPr id="2052084056" name="Picture 1" descr="The three stages of the performance cycle and associated engagement with health services are represented as interlinked arrows with text boxes for each stage, showing:&#10;Planning and Strategy&#10;Statement of priorities development&#10;Annual strategy meeting on the health service’s key strategic risks and opportunities&#10;Continuous Improvement&#10;Ongoing improvement work to develop and progress plans to address performance issues and opportunities&#10;Accountability &#10;Formal performance meetings driving accountability for delivery and outcomes&#10;► More frequent meetings for health services on elevated performance ti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84056" name="Picture 1" descr="The three stages of the performance cycle and associated engagement with health services are represented as interlinked arrows with text boxes for each stage, showing:&#10;Planning and Strategy&#10;Statement of priorities development&#10;Annual strategy meeting on the health service’s key strategic risks and opportunities&#10;Continuous Improvement&#10;Ongoing improvement work to develop and progress plans to address performance issues and opportunities&#10;Accountability &#10;Formal performance meetings driving accountability for delivery and outcomes&#10;► More frequent meetings for health services on elevated performance tiers&#10;"/>
                    <pic:cNvPicPr/>
                  </pic:nvPicPr>
                  <pic:blipFill>
                    <a:blip r:embed="rId32"/>
                    <a:stretch>
                      <a:fillRect/>
                    </a:stretch>
                  </pic:blipFill>
                  <pic:spPr>
                    <a:xfrm>
                      <a:off x="0" y="0"/>
                      <a:ext cx="5189234" cy="3521583"/>
                    </a:xfrm>
                    <a:prstGeom prst="rect">
                      <a:avLst/>
                    </a:prstGeom>
                  </pic:spPr>
                </pic:pic>
              </a:graphicData>
            </a:graphic>
          </wp:inline>
        </w:drawing>
      </w:r>
    </w:p>
    <w:p w14:paraId="778EFB63" w14:textId="138C5490" w:rsidR="00107A17" w:rsidRDefault="00107A17" w:rsidP="00F738A5">
      <w:pPr>
        <w:pStyle w:val="Body"/>
      </w:pPr>
    </w:p>
    <w:p w14:paraId="511B71D3" w14:textId="43905CC6" w:rsidR="00465C88" w:rsidRPr="00473EFB" w:rsidRDefault="000518FB" w:rsidP="00CA227B">
      <w:pPr>
        <w:pStyle w:val="Heading2"/>
        <w:ind w:left="709"/>
        <w:rPr>
          <w:color w:val="auto"/>
        </w:rPr>
      </w:pPr>
      <w:bookmarkStart w:id="22" w:name="_Toc211343277"/>
      <w:r w:rsidRPr="00473EFB">
        <w:rPr>
          <w:color w:val="auto"/>
        </w:rPr>
        <w:lastRenderedPageBreak/>
        <w:t xml:space="preserve">Planning and </w:t>
      </w:r>
      <w:r w:rsidR="007D5F55" w:rsidRPr="00473EFB">
        <w:rPr>
          <w:color w:val="auto"/>
        </w:rPr>
        <w:t>S</w:t>
      </w:r>
      <w:r w:rsidR="00465C88" w:rsidRPr="00473EFB">
        <w:rPr>
          <w:color w:val="auto"/>
        </w:rPr>
        <w:t>trategy</w:t>
      </w:r>
      <w:bookmarkEnd w:id="22"/>
      <w:r w:rsidR="00465C88" w:rsidRPr="00473EFB">
        <w:rPr>
          <w:color w:val="auto"/>
        </w:rPr>
        <w:t xml:space="preserve"> </w:t>
      </w:r>
    </w:p>
    <w:p w14:paraId="2369A25C" w14:textId="290B5896" w:rsidR="00D4074C" w:rsidRPr="00473EFB" w:rsidRDefault="0031300D" w:rsidP="00D4074C">
      <w:pPr>
        <w:pStyle w:val="DHHSbody"/>
      </w:pPr>
      <w:r w:rsidRPr="00473EFB">
        <w:t xml:space="preserve">The </w:t>
      </w:r>
      <w:r w:rsidRPr="00150ABE">
        <w:t xml:space="preserve">planning </w:t>
      </w:r>
      <w:r w:rsidR="00C32FC2" w:rsidRPr="00150ABE">
        <w:t>and strategy</w:t>
      </w:r>
      <w:r w:rsidR="00C32FC2" w:rsidRPr="00473EFB">
        <w:t xml:space="preserve"> </w:t>
      </w:r>
      <w:r w:rsidR="003C00B3" w:rsidRPr="00473EFB">
        <w:t>stage</w:t>
      </w:r>
      <w:r w:rsidRPr="00473EFB">
        <w:t xml:space="preserve"> of the performance cycle is where a health service’s operating parameters, priorities and performance strategy are developed through </w:t>
      </w:r>
      <w:r w:rsidR="00324001">
        <w:t xml:space="preserve">the </w:t>
      </w:r>
      <w:r w:rsidR="00B970BD">
        <w:rPr>
          <w:szCs w:val="21"/>
        </w:rPr>
        <w:t>SoP</w:t>
      </w:r>
      <w:r w:rsidRPr="00473EFB">
        <w:t>.</w:t>
      </w:r>
      <w:r w:rsidR="00D4074C" w:rsidRPr="00473EFB">
        <w:t xml:space="preserve"> The strategy is confirmed through the Annual Strategy Meeting discussions and, where required, supported by departmental authorisations to enable implementation.</w:t>
      </w:r>
    </w:p>
    <w:p w14:paraId="53765138" w14:textId="3BE34914" w:rsidR="0031300D" w:rsidRPr="00473EFB" w:rsidRDefault="00EA4073" w:rsidP="00175692">
      <w:pPr>
        <w:pStyle w:val="Heading3"/>
        <w:numPr>
          <w:ilvl w:val="0"/>
          <w:numId w:val="0"/>
        </w:numPr>
        <w:rPr>
          <w:color w:val="auto"/>
        </w:rPr>
      </w:pPr>
      <w:bookmarkStart w:id="23" w:name="_Toc211343278"/>
      <w:r w:rsidRPr="00473EFB">
        <w:rPr>
          <w:color w:val="auto"/>
        </w:rPr>
        <w:t>3.1.1 Statement of Priorities</w:t>
      </w:r>
      <w:bookmarkEnd w:id="23"/>
      <w:r w:rsidRPr="00473EFB">
        <w:rPr>
          <w:color w:val="auto"/>
        </w:rPr>
        <w:t xml:space="preserve"> </w:t>
      </w:r>
    </w:p>
    <w:p w14:paraId="79728EF0" w14:textId="227BD26F" w:rsidR="00175692" w:rsidRPr="00473EFB" w:rsidRDefault="00175692" w:rsidP="00175692">
      <w:pPr>
        <w:rPr>
          <w:sz w:val="21"/>
          <w:szCs w:val="21"/>
        </w:rPr>
      </w:pPr>
      <w:bookmarkStart w:id="24" w:name="_Toc200107246"/>
      <w:bookmarkStart w:id="25" w:name="_Toc200107284"/>
      <w:bookmarkStart w:id="26" w:name="_Toc200109167"/>
      <w:bookmarkStart w:id="27" w:name="_Toc200454612"/>
      <w:bookmarkStart w:id="28" w:name="_Toc200454938"/>
      <w:bookmarkStart w:id="29" w:name="_Toc200454986"/>
      <w:bookmarkStart w:id="30" w:name="_Toc200464003"/>
      <w:bookmarkStart w:id="31" w:name="_Toc200478070"/>
      <w:bookmarkStart w:id="32" w:name="_Toc200544764"/>
      <w:bookmarkStart w:id="33" w:name="_Toc200548254"/>
      <w:bookmarkStart w:id="34" w:name="_Toc200725182"/>
      <w:bookmarkStart w:id="35" w:name="_Toc200975064"/>
      <w:bookmarkStart w:id="36" w:name="_Toc200975994"/>
      <w:bookmarkStart w:id="37" w:name="_Toc204075091"/>
      <w:bookmarkStart w:id="38" w:name="_Toc204076005"/>
      <w:bookmarkStart w:id="39" w:name="_Toc200107249"/>
      <w:bookmarkStart w:id="40" w:name="_Toc200107287"/>
      <w:bookmarkStart w:id="41" w:name="_Toc200109170"/>
      <w:bookmarkStart w:id="42" w:name="_Toc200454615"/>
      <w:bookmarkStart w:id="43" w:name="_Toc200454941"/>
      <w:bookmarkStart w:id="44" w:name="_Toc200454989"/>
      <w:bookmarkStart w:id="45" w:name="_Toc200464006"/>
      <w:bookmarkStart w:id="46" w:name="_Toc200478073"/>
      <w:bookmarkStart w:id="47" w:name="_Toc200544767"/>
      <w:bookmarkStart w:id="48" w:name="_Toc200548257"/>
      <w:bookmarkStart w:id="49" w:name="_Toc200725185"/>
      <w:bookmarkStart w:id="50" w:name="_Toc200975067"/>
      <w:bookmarkStart w:id="51" w:name="_Toc200975997"/>
      <w:bookmarkStart w:id="52" w:name="_Toc204075094"/>
      <w:bookmarkStart w:id="53" w:name="_Toc20407600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473EFB">
        <w:rPr>
          <w:sz w:val="21"/>
          <w:szCs w:val="21"/>
        </w:rPr>
        <w:t>The Statement of Priorities (S</w:t>
      </w:r>
      <w:r w:rsidR="0063685D" w:rsidRPr="00473EFB">
        <w:rPr>
          <w:sz w:val="21"/>
          <w:szCs w:val="21"/>
        </w:rPr>
        <w:t>o</w:t>
      </w:r>
      <w:r w:rsidRPr="00473EFB">
        <w:rPr>
          <w:sz w:val="21"/>
          <w:szCs w:val="21"/>
        </w:rPr>
        <w:t xml:space="preserve">P) is the legislated annual service delivery and accountability agreement between each Victorian public health service and the Minister for Health. </w:t>
      </w:r>
      <w:r w:rsidR="001658DA" w:rsidRPr="00473EFB">
        <w:rPr>
          <w:sz w:val="21"/>
          <w:szCs w:val="21"/>
        </w:rPr>
        <w:t xml:space="preserve">The </w:t>
      </w:r>
      <w:r w:rsidR="00E667EC" w:rsidRPr="00473EFB">
        <w:rPr>
          <w:sz w:val="21"/>
          <w:szCs w:val="21"/>
        </w:rPr>
        <w:t>S</w:t>
      </w:r>
      <w:r w:rsidR="0063685D" w:rsidRPr="00473EFB">
        <w:rPr>
          <w:sz w:val="21"/>
          <w:szCs w:val="21"/>
        </w:rPr>
        <w:t>o</w:t>
      </w:r>
      <w:r w:rsidR="00E667EC" w:rsidRPr="00473EFB">
        <w:rPr>
          <w:sz w:val="21"/>
          <w:szCs w:val="21"/>
        </w:rPr>
        <w:t>P</w:t>
      </w:r>
      <w:r w:rsidR="001658DA" w:rsidRPr="00473EFB">
        <w:rPr>
          <w:sz w:val="21"/>
          <w:szCs w:val="21"/>
        </w:rPr>
        <w:t xml:space="preserve"> is designed to articulate a focused set of strategic performance priorities, rather than serve as a comprehensive performance framework. Health services are accountable for delivering against a defined set of core qualitative and quantitative strategic priorities outlined within the S</w:t>
      </w:r>
      <w:r w:rsidR="0063685D" w:rsidRPr="00473EFB">
        <w:rPr>
          <w:sz w:val="21"/>
          <w:szCs w:val="21"/>
        </w:rPr>
        <w:t>o</w:t>
      </w:r>
      <w:r w:rsidR="001658DA" w:rsidRPr="00473EFB">
        <w:rPr>
          <w:sz w:val="21"/>
          <w:szCs w:val="21"/>
        </w:rPr>
        <w:t>P.</w:t>
      </w:r>
    </w:p>
    <w:p w14:paraId="71423EAA" w14:textId="03449E61" w:rsidR="00FF2462" w:rsidRDefault="00175692" w:rsidP="00175692">
      <w:pPr>
        <w:rPr>
          <w:sz w:val="21"/>
          <w:szCs w:val="21"/>
        </w:rPr>
      </w:pPr>
      <w:r w:rsidRPr="00473EFB">
        <w:rPr>
          <w:sz w:val="21"/>
          <w:szCs w:val="21"/>
        </w:rPr>
        <w:t xml:space="preserve">It defines how each health service will contribute to the </w:t>
      </w:r>
      <w:r w:rsidRPr="00A262EA">
        <w:rPr>
          <w:sz w:val="21"/>
          <w:szCs w:val="21"/>
        </w:rPr>
        <w:t>Victorian Government’s health system priorities and</w:t>
      </w:r>
      <w:r w:rsidRPr="00473EFB">
        <w:rPr>
          <w:sz w:val="21"/>
          <w:szCs w:val="21"/>
        </w:rPr>
        <w:t xml:space="preserve"> the Department of Health’s strategic objectives. The S</w:t>
      </w:r>
      <w:r w:rsidR="0063685D" w:rsidRPr="00473EFB">
        <w:rPr>
          <w:sz w:val="21"/>
          <w:szCs w:val="21"/>
        </w:rPr>
        <w:t>o</w:t>
      </w:r>
      <w:r w:rsidRPr="00473EFB">
        <w:rPr>
          <w:sz w:val="21"/>
          <w:szCs w:val="21"/>
        </w:rPr>
        <w:t>P sets out each service’s performance expectations, targets, and funding arrangements for the financial year.</w:t>
      </w:r>
    </w:p>
    <w:p w14:paraId="6A77FAE3" w14:textId="281272CC" w:rsidR="00CD410E" w:rsidRPr="000D3165" w:rsidRDefault="00FF2462" w:rsidP="00175692">
      <w:pPr>
        <w:rPr>
          <w:sz w:val="21"/>
          <w:szCs w:val="21"/>
        </w:rPr>
      </w:pPr>
      <w:r w:rsidRPr="00FF2462">
        <w:rPr>
          <w:sz w:val="21"/>
          <w:szCs w:val="21"/>
        </w:rPr>
        <w:t xml:space="preserve">As a member of </w:t>
      </w:r>
      <w:r w:rsidR="0028546B">
        <w:rPr>
          <w:sz w:val="21"/>
          <w:szCs w:val="21"/>
        </w:rPr>
        <w:t>a</w:t>
      </w:r>
      <w:r w:rsidRPr="00FF2462">
        <w:rPr>
          <w:sz w:val="21"/>
          <w:szCs w:val="21"/>
        </w:rPr>
        <w:t xml:space="preserve"> Local Health Service Network (LHSN) the health service will</w:t>
      </w:r>
      <w:r w:rsidR="00791F20">
        <w:rPr>
          <w:sz w:val="21"/>
          <w:szCs w:val="21"/>
        </w:rPr>
        <w:t xml:space="preserve"> also</w:t>
      </w:r>
      <w:r w:rsidRPr="00FF2462">
        <w:rPr>
          <w:sz w:val="21"/>
          <w:szCs w:val="21"/>
        </w:rPr>
        <w:t xml:space="preserve"> deliver </w:t>
      </w:r>
      <w:r w:rsidRPr="000D3165">
        <w:rPr>
          <w:sz w:val="21"/>
          <w:szCs w:val="21"/>
        </w:rPr>
        <w:t xml:space="preserve">objectives agreed </w:t>
      </w:r>
      <w:r w:rsidR="0028546B" w:rsidRPr="000D3165">
        <w:rPr>
          <w:sz w:val="21"/>
          <w:szCs w:val="21"/>
        </w:rPr>
        <w:t>in their</w:t>
      </w:r>
      <w:r w:rsidRPr="000D3165">
        <w:rPr>
          <w:sz w:val="21"/>
          <w:szCs w:val="21"/>
        </w:rPr>
        <w:t xml:space="preserve"> Statement of Expectations</w:t>
      </w:r>
      <w:r w:rsidR="0028546B" w:rsidRPr="000D3165">
        <w:rPr>
          <w:sz w:val="21"/>
          <w:szCs w:val="21"/>
        </w:rPr>
        <w:t>.</w:t>
      </w:r>
    </w:p>
    <w:p w14:paraId="71AD04C8" w14:textId="406F21CB" w:rsidR="00791F20" w:rsidRPr="00791F20" w:rsidRDefault="00791F20" w:rsidP="00791F20">
      <w:pPr>
        <w:pStyle w:val="DHHSbody"/>
        <w:rPr>
          <w:i/>
          <w:iCs/>
        </w:rPr>
      </w:pPr>
      <w:r w:rsidRPr="000D3165">
        <w:rPr>
          <w:i/>
          <w:iCs/>
        </w:rPr>
        <w:t>Note: Network accountability arrangements complement and do not replace individual health service accountability requirements such as Statements of Priorities.</w:t>
      </w:r>
    </w:p>
    <w:p w14:paraId="6AF85C69" w14:textId="38080C38" w:rsidR="008E4160" w:rsidRPr="00473EFB" w:rsidRDefault="008E4160" w:rsidP="00175692">
      <w:pPr>
        <w:rPr>
          <w:sz w:val="21"/>
          <w:szCs w:val="21"/>
        </w:rPr>
      </w:pPr>
      <w:r w:rsidRPr="00473EFB">
        <w:rPr>
          <w:sz w:val="21"/>
          <w:szCs w:val="21"/>
        </w:rPr>
        <w:t xml:space="preserve">See </w:t>
      </w:r>
      <w:r w:rsidR="000518C7" w:rsidRPr="00324001">
        <w:rPr>
          <w:b/>
          <w:bCs/>
          <w:sz w:val="21"/>
          <w:szCs w:val="21"/>
        </w:rPr>
        <w:t>A</w:t>
      </w:r>
      <w:r w:rsidRPr="00324001">
        <w:rPr>
          <w:b/>
          <w:bCs/>
          <w:sz w:val="21"/>
          <w:szCs w:val="21"/>
        </w:rPr>
        <w:t>ppendix 2</w:t>
      </w:r>
      <w:r w:rsidRPr="00473EFB">
        <w:rPr>
          <w:sz w:val="21"/>
          <w:szCs w:val="21"/>
        </w:rPr>
        <w:t xml:space="preserve"> for </w:t>
      </w:r>
      <w:r w:rsidR="000518C7" w:rsidRPr="00473EFB">
        <w:rPr>
          <w:sz w:val="21"/>
          <w:szCs w:val="21"/>
        </w:rPr>
        <w:t>further detail</w:t>
      </w:r>
      <w:r w:rsidR="00F035FB" w:rsidRPr="00473EFB">
        <w:rPr>
          <w:sz w:val="21"/>
          <w:szCs w:val="21"/>
        </w:rPr>
        <w:t xml:space="preserve"> on S</w:t>
      </w:r>
      <w:r w:rsidR="00473EFB" w:rsidRPr="00473EFB">
        <w:rPr>
          <w:sz w:val="21"/>
          <w:szCs w:val="21"/>
        </w:rPr>
        <w:t xml:space="preserve">oP. </w:t>
      </w:r>
    </w:p>
    <w:p w14:paraId="21CC8E20" w14:textId="4654808E" w:rsidR="000A4F63" w:rsidRPr="00700676" w:rsidRDefault="21F4D451" w:rsidP="00700676">
      <w:pPr>
        <w:pStyle w:val="Heading3"/>
        <w:numPr>
          <w:ilvl w:val="0"/>
          <w:numId w:val="0"/>
        </w:numPr>
        <w:rPr>
          <w:color w:val="auto"/>
        </w:rPr>
      </w:pPr>
      <w:bookmarkStart w:id="54" w:name="_Toc211343279"/>
      <w:r w:rsidRPr="05B09ABF">
        <w:rPr>
          <w:color w:val="auto"/>
        </w:rPr>
        <w:t xml:space="preserve">3.1.2 </w:t>
      </w:r>
      <w:r w:rsidR="18A5E7C9" w:rsidRPr="05B09ABF">
        <w:rPr>
          <w:color w:val="auto"/>
        </w:rPr>
        <w:t>Ann</w:t>
      </w:r>
      <w:r w:rsidR="1C5C5470" w:rsidRPr="05B09ABF">
        <w:rPr>
          <w:color w:val="auto"/>
        </w:rPr>
        <w:t xml:space="preserve">ual </w:t>
      </w:r>
      <w:r w:rsidR="18A5E7C9" w:rsidRPr="05B09ABF">
        <w:rPr>
          <w:color w:val="auto"/>
        </w:rPr>
        <w:t>S</w:t>
      </w:r>
      <w:r w:rsidR="1C5C5470" w:rsidRPr="05B09ABF">
        <w:rPr>
          <w:color w:val="auto"/>
        </w:rPr>
        <w:t>trat</w:t>
      </w:r>
      <w:r w:rsidR="17A49350" w:rsidRPr="05B09ABF">
        <w:rPr>
          <w:color w:val="auto"/>
        </w:rPr>
        <w:t>egy</w:t>
      </w:r>
      <w:r w:rsidR="1C5C5470" w:rsidRPr="05B09ABF">
        <w:rPr>
          <w:color w:val="auto"/>
        </w:rPr>
        <w:t xml:space="preserve"> </w:t>
      </w:r>
      <w:r w:rsidR="18A5E7C9" w:rsidRPr="05B09ABF">
        <w:rPr>
          <w:color w:val="auto"/>
        </w:rPr>
        <w:t>M</w:t>
      </w:r>
      <w:r w:rsidR="1C5C5470" w:rsidRPr="05B09ABF">
        <w:rPr>
          <w:color w:val="auto"/>
        </w:rPr>
        <w:t>eeting</w:t>
      </w:r>
      <w:bookmarkEnd w:id="54"/>
    </w:p>
    <w:p w14:paraId="02556579" w14:textId="4C3210B1" w:rsidR="00352D8F" w:rsidRPr="00700676" w:rsidRDefault="00352D8F" w:rsidP="00352D8F">
      <w:pPr>
        <w:pStyle w:val="Body"/>
        <w:rPr>
          <w:color w:val="000000" w:themeColor="text1"/>
        </w:rPr>
      </w:pPr>
      <w:r w:rsidRPr="00700676">
        <w:rPr>
          <w:color w:val="000000" w:themeColor="text1"/>
        </w:rPr>
        <w:t xml:space="preserve">The primary objective of </w:t>
      </w:r>
      <w:r w:rsidR="001F7F0C">
        <w:rPr>
          <w:color w:val="000000" w:themeColor="text1"/>
        </w:rPr>
        <w:t>annual strategy meeting</w:t>
      </w:r>
      <w:r w:rsidRPr="00700676">
        <w:rPr>
          <w:color w:val="000000" w:themeColor="text1"/>
        </w:rPr>
        <w:t xml:space="preserve"> is to ensure alignment between each health service’s strategic goals and performance objectives. This alignment facilitates effective monitoring and measurable progress throughout the </w:t>
      </w:r>
      <w:r w:rsidR="002C3B4A" w:rsidRPr="00700676">
        <w:rPr>
          <w:color w:val="000000" w:themeColor="text1"/>
        </w:rPr>
        <w:t>relevant performance monitoring cycle</w:t>
      </w:r>
      <w:r w:rsidRPr="00700676">
        <w:rPr>
          <w:color w:val="000000" w:themeColor="text1"/>
        </w:rPr>
        <w:t>.</w:t>
      </w:r>
    </w:p>
    <w:p w14:paraId="42D735A8" w14:textId="1304F331" w:rsidR="00352D8F" w:rsidRPr="00700676" w:rsidRDefault="00352D8F" w:rsidP="00352D8F">
      <w:pPr>
        <w:pStyle w:val="Body"/>
        <w:rPr>
          <w:color w:val="000000" w:themeColor="text1"/>
        </w:rPr>
      </w:pPr>
      <w:r w:rsidRPr="00700676">
        <w:rPr>
          <w:color w:val="000000" w:themeColor="text1"/>
        </w:rPr>
        <w:t>The format and timing of these discussions may vary across health services, occurring within a single quarter or spanning multiple quarters, depending on identified areas for improvemen</w:t>
      </w:r>
      <w:r w:rsidR="00926516">
        <w:rPr>
          <w:color w:val="000000" w:themeColor="text1"/>
        </w:rPr>
        <w:t xml:space="preserve">t or performance priority. </w:t>
      </w:r>
    </w:p>
    <w:p w14:paraId="579B0377" w14:textId="2C7AB8D5" w:rsidR="000D1B6D" w:rsidRPr="00700676" w:rsidRDefault="00352D8F" w:rsidP="000A4F63">
      <w:pPr>
        <w:pStyle w:val="Body"/>
        <w:rPr>
          <w:color w:val="000000" w:themeColor="text1"/>
        </w:rPr>
      </w:pPr>
      <w:r w:rsidRPr="00700676">
        <w:rPr>
          <w:color w:val="000000" w:themeColor="text1"/>
        </w:rPr>
        <w:t xml:space="preserve">In addition to performance alignment, these meetings serve as a platform to present and explore proposals aimed at advancing innovation and fostering collaboration across the health system. All proposals must demonstrate consistency with government priorities and broader system-wide strategic directions, while also reflecting the specific needs of </w:t>
      </w:r>
      <w:r w:rsidR="00727DB5">
        <w:rPr>
          <w:color w:val="000000" w:themeColor="text1"/>
        </w:rPr>
        <w:t xml:space="preserve">the health service. </w:t>
      </w:r>
    </w:p>
    <w:p w14:paraId="7B380568" w14:textId="77777777" w:rsidR="000D1B6D" w:rsidRPr="00473EFB" w:rsidRDefault="000D1B6D" w:rsidP="000A4F63">
      <w:pPr>
        <w:pStyle w:val="Body"/>
      </w:pPr>
    </w:p>
    <w:p w14:paraId="7585E8DD" w14:textId="6E5A1EA3" w:rsidR="00465C88" w:rsidRPr="00473EFB" w:rsidRDefault="00465C88" w:rsidP="00387867">
      <w:pPr>
        <w:pStyle w:val="Heading2"/>
        <w:ind w:left="709"/>
        <w:rPr>
          <w:color w:val="auto"/>
        </w:rPr>
      </w:pPr>
      <w:bookmarkStart w:id="55" w:name="_Toc169262058"/>
      <w:bookmarkStart w:id="56" w:name="_Toc211343280"/>
      <w:r w:rsidRPr="00473EFB">
        <w:rPr>
          <w:color w:val="auto"/>
        </w:rPr>
        <w:t xml:space="preserve">Continuous </w:t>
      </w:r>
      <w:bookmarkEnd w:id="55"/>
      <w:r w:rsidR="007D5F55" w:rsidRPr="00473EFB">
        <w:rPr>
          <w:color w:val="auto"/>
        </w:rPr>
        <w:t>I</w:t>
      </w:r>
      <w:r w:rsidRPr="00473EFB">
        <w:rPr>
          <w:color w:val="auto"/>
        </w:rPr>
        <w:t>mprovement</w:t>
      </w:r>
      <w:bookmarkEnd w:id="56"/>
    </w:p>
    <w:p w14:paraId="0C7509F5" w14:textId="1004589B" w:rsidR="00465C88" w:rsidRPr="00473EFB" w:rsidRDefault="00465C88" w:rsidP="00465C88">
      <w:pPr>
        <w:pStyle w:val="DHHSbody"/>
      </w:pPr>
      <w:r w:rsidRPr="00473EFB">
        <w:rPr>
          <w:rFonts w:eastAsia="Times New Roman"/>
        </w:rPr>
        <w:t>Th</w:t>
      </w:r>
      <w:r w:rsidR="0011164D" w:rsidRPr="00473EFB">
        <w:rPr>
          <w:rFonts w:eastAsia="Times New Roman"/>
        </w:rPr>
        <w:t xml:space="preserve">e </w:t>
      </w:r>
      <w:r w:rsidR="0011164D" w:rsidRPr="00E846B6">
        <w:rPr>
          <w:rFonts w:eastAsia="Times New Roman"/>
        </w:rPr>
        <w:t>continuous improvement</w:t>
      </w:r>
      <w:r w:rsidR="008876BF" w:rsidRPr="00473EFB">
        <w:rPr>
          <w:rFonts w:eastAsia="Times New Roman"/>
        </w:rPr>
        <w:t xml:space="preserve"> </w:t>
      </w:r>
      <w:r w:rsidR="003C00B3" w:rsidRPr="00473EFB">
        <w:rPr>
          <w:rFonts w:eastAsia="Times New Roman"/>
        </w:rPr>
        <w:t>stage</w:t>
      </w:r>
      <w:r w:rsidR="0011164D" w:rsidRPr="00473EFB">
        <w:rPr>
          <w:rFonts w:eastAsia="Times New Roman"/>
        </w:rPr>
        <w:t xml:space="preserve"> of the performance cycle</w:t>
      </w:r>
      <w:r w:rsidRPr="00473EFB">
        <w:rPr>
          <w:rFonts w:eastAsia="Times New Roman"/>
        </w:rPr>
        <w:t xml:space="preserve"> </w:t>
      </w:r>
      <w:r w:rsidR="006C2454" w:rsidRPr="00473EFB">
        <w:rPr>
          <w:rFonts w:eastAsia="Times New Roman"/>
        </w:rPr>
        <w:t>applies</w:t>
      </w:r>
      <w:r w:rsidRPr="00473EFB">
        <w:rPr>
          <w:rFonts w:eastAsia="Times New Roman"/>
        </w:rPr>
        <w:t xml:space="preserve"> </w:t>
      </w:r>
      <w:r w:rsidRPr="00473EFB">
        <w:rPr>
          <w:lang w:val="en-US"/>
        </w:rPr>
        <w:t xml:space="preserve">structured approaches to service and system redesign </w:t>
      </w:r>
      <w:r w:rsidR="006C2454" w:rsidRPr="00473EFB">
        <w:rPr>
          <w:lang w:val="en-US"/>
        </w:rPr>
        <w:t>to</w:t>
      </w:r>
      <w:r w:rsidRPr="00473EFB">
        <w:rPr>
          <w:lang w:val="en-US"/>
        </w:rPr>
        <w:t xml:space="preserve"> uplift performance through the science of improvement</w:t>
      </w:r>
      <w:r w:rsidRPr="00473EFB">
        <w:t xml:space="preserve">. Ultimately, health services are accountable for driving, resourcing and achieving their own improvement. However, the department will continue to support improvement where possible by promoting </w:t>
      </w:r>
      <w:r w:rsidRPr="00473EFB">
        <w:lastRenderedPageBreak/>
        <w:t xml:space="preserve">knowledge exchange, </w:t>
      </w:r>
      <w:r w:rsidR="00C32FC3" w:rsidRPr="00473EFB">
        <w:t>aligning</w:t>
      </w:r>
      <w:r w:rsidRPr="00473EFB">
        <w:t xml:space="preserve"> efforts across the system, and connecting health service executive and clinical leaders with expert advice. These supports are described below. </w:t>
      </w:r>
    </w:p>
    <w:p w14:paraId="0F3D6577" w14:textId="6F26869F" w:rsidR="00465C88" w:rsidRPr="00E846B6" w:rsidRDefault="00465C88" w:rsidP="00E846B6">
      <w:pPr>
        <w:pStyle w:val="Heading4"/>
        <w:rPr>
          <w:color w:val="000000" w:themeColor="text1"/>
        </w:rPr>
      </w:pPr>
      <w:bookmarkStart w:id="57" w:name="_Toc200107252"/>
      <w:bookmarkStart w:id="58" w:name="_Toc200107290"/>
      <w:bookmarkStart w:id="59" w:name="_Toc200109173"/>
      <w:bookmarkStart w:id="60" w:name="_Toc200454619"/>
      <w:bookmarkStart w:id="61" w:name="_Toc200454945"/>
      <w:bookmarkStart w:id="62" w:name="_Toc200454993"/>
      <w:bookmarkStart w:id="63" w:name="_Toc200464009"/>
      <w:bookmarkStart w:id="64" w:name="_Toc200478076"/>
      <w:bookmarkStart w:id="65" w:name="_Toc200544770"/>
      <w:bookmarkStart w:id="66" w:name="_Toc200548260"/>
      <w:bookmarkStart w:id="67" w:name="_Toc200725188"/>
      <w:bookmarkStart w:id="68" w:name="_Toc200975070"/>
      <w:bookmarkStart w:id="69" w:name="_Toc200976000"/>
      <w:bookmarkStart w:id="70" w:name="_Toc204075097"/>
      <w:bookmarkStart w:id="71" w:name="_Toc204076011"/>
      <w:bookmarkStart w:id="72" w:name="_Toc200107253"/>
      <w:bookmarkStart w:id="73" w:name="_Toc200107291"/>
      <w:bookmarkStart w:id="74" w:name="_Toc200109174"/>
      <w:bookmarkStart w:id="75" w:name="_Toc200454620"/>
      <w:bookmarkStart w:id="76" w:name="_Toc200454946"/>
      <w:bookmarkStart w:id="77" w:name="_Toc200454994"/>
      <w:bookmarkStart w:id="78" w:name="_Toc200464010"/>
      <w:bookmarkStart w:id="79" w:name="_Toc200478077"/>
      <w:bookmarkStart w:id="80" w:name="_Toc200544771"/>
      <w:bookmarkStart w:id="81" w:name="_Toc200548261"/>
      <w:bookmarkStart w:id="82" w:name="_Toc200725189"/>
      <w:bookmarkStart w:id="83" w:name="_Toc200975071"/>
      <w:bookmarkStart w:id="84" w:name="_Toc200976001"/>
      <w:bookmarkStart w:id="85" w:name="_Toc204075098"/>
      <w:bookmarkStart w:id="86" w:name="_Toc2040760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E846B6">
        <w:rPr>
          <w:color w:val="000000" w:themeColor="text1"/>
        </w:rPr>
        <w:t>Facilitating knowledge exchange and collaboration</w:t>
      </w:r>
    </w:p>
    <w:p w14:paraId="2262CFDE" w14:textId="0DACF4A1" w:rsidR="00465C88" w:rsidRDefault="3819B4DC" w:rsidP="00465C88">
      <w:pPr>
        <w:pStyle w:val="DHHSbody"/>
      </w:pPr>
      <w:r>
        <w:t xml:space="preserve">Recognising that most improvement will take place at a health service or network level, the department supports system-wide uplift by fostering knowledge exchange and collaboration. This includes facilitating connections between health services through structured mechanisms such as forums, project improvement groups, and strategic initiatives. These platforms enable peer learning, shared problem-solving, and dissemination of best practices. </w:t>
      </w:r>
    </w:p>
    <w:p w14:paraId="35C1E556" w14:textId="5BC6C506" w:rsidR="00465C88" w:rsidRDefault="00A51AE8" w:rsidP="00465C88">
      <w:pPr>
        <w:pStyle w:val="DHHSbody"/>
      </w:pPr>
      <w:r w:rsidRPr="00A51AE8">
        <w:t>Initiatives to support performance improvement</w:t>
      </w:r>
      <w:r w:rsidR="00465C88">
        <w:t xml:space="preserve"> include the Timely Emergency Care Collaborative</w:t>
      </w:r>
      <w:r w:rsidR="00465C88" w:rsidRPr="0094768D">
        <w:t>,</w:t>
      </w:r>
      <w:r w:rsidR="00465C88">
        <w:t xml:space="preserve"> the Planned Surgery Recovery and Reform program,</w:t>
      </w:r>
      <w:r w:rsidR="00465C88">
        <w:rPr>
          <w:rStyle w:val="FootnoteReference"/>
        </w:rPr>
        <w:footnoteReference w:id="3"/>
      </w:r>
      <w:r w:rsidR="00465C88">
        <w:t xml:space="preserve"> and ongoing safety, quality and workforce wellbeing initiatives led by SCV through its strategic improvement programs. Central work to strengthen peer learning and improvement of financial sustainability and productivity performance will commence, along with a strengthened focus on improvement of cultural safety and equity of access, consistent with the </w:t>
      </w:r>
      <w:r w:rsidR="00465C88" w:rsidRPr="00E84B8D">
        <w:t>government priorities.</w:t>
      </w:r>
      <w:r w:rsidR="00465C88">
        <w:t xml:space="preserve"> </w:t>
      </w:r>
    </w:p>
    <w:p w14:paraId="0E587F6E" w14:textId="238668F7" w:rsidR="00D661AD" w:rsidRDefault="00D24296" w:rsidP="00465C88">
      <w:pPr>
        <w:pStyle w:val="DHHSbody"/>
      </w:pPr>
      <w:r w:rsidRPr="00D24296">
        <w:t xml:space="preserve">Key areas </w:t>
      </w:r>
      <w:r>
        <w:t xml:space="preserve">in the department </w:t>
      </w:r>
      <w:r w:rsidRPr="00D24296">
        <w:t>will maintain leadership roles in oversight of their respective performance domains (e.g. quality and safety with SCV) and output areas (e.g. mental health with the Mental Health and Wellbeing Division) to drive system-wide improvement through strengthened engagement, robust collaboration, and shared innovation.</w:t>
      </w:r>
    </w:p>
    <w:p w14:paraId="5E344E69" w14:textId="526B0A38" w:rsidR="008D471C" w:rsidRPr="005B696A" w:rsidRDefault="008D471C" w:rsidP="00465C88">
      <w:pPr>
        <w:pStyle w:val="DHHSbody"/>
        <w:rPr>
          <w:i/>
        </w:rPr>
      </w:pPr>
      <w:r>
        <w:t xml:space="preserve">See </w:t>
      </w:r>
      <w:r w:rsidRPr="0088415B">
        <w:rPr>
          <w:b/>
          <w:bCs/>
        </w:rPr>
        <w:t>Appendix 3:</w:t>
      </w:r>
      <w:r w:rsidRPr="0094768D">
        <w:t xml:space="preserve"> Box 1</w:t>
      </w:r>
      <w:r>
        <w:t xml:space="preserve"> </w:t>
      </w:r>
      <w:r w:rsidR="00185977">
        <w:t>an</w:t>
      </w:r>
      <w:r w:rsidR="00A1234C">
        <w:t xml:space="preserve"> example</w:t>
      </w:r>
      <w:r w:rsidR="002C4DF6">
        <w:t xml:space="preserve"> improvement </w:t>
      </w:r>
      <w:r w:rsidR="009002CB">
        <w:t>initiative (Timely Emergency Care Colla</w:t>
      </w:r>
      <w:r w:rsidR="00F325A4">
        <w:t>borative</w:t>
      </w:r>
      <w:r w:rsidR="00845786">
        <w:t>).</w:t>
      </w:r>
    </w:p>
    <w:p w14:paraId="16184DA4" w14:textId="440C93D1" w:rsidR="00465C88" w:rsidRPr="00E846B6" w:rsidRDefault="00465C88" w:rsidP="00E846B6">
      <w:pPr>
        <w:pStyle w:val="Heading4"/>
        <w:rPr>
          <w:color w:val="000000" w:themeColor="text1"/>
        </w:rPr>
      </w:pPr>
      <w:bookmarkStart w:id="87" w:name="_Toc169262060"/>
      <w:r w:rsidRPr="00E846B6">
        <w:rPr>
          <w:color w:val="000000" w:themeColor="text1"/>
        </w:rPr>
        <w:t>Expert advice, mentoring and review</w:t>
      </w:r>
      <w:bookmarkEnd w:id="87"/>
    </w:p>
    <w:p w14:paraId="3F1079EC" w14:textId="6A303F85" w:rsidR="00EF67D0" w:rsidRPr="00E55E35" w:rsidRDefault="00465C88" w:rsidP="004B2142">
      <w:pPr>
        <w:pStyle w:val="DHHSbody"/>
        <w:rPr>
          <w:lang w:val="en-US"/>
        </w:rPr>
      </w:pPr>
      <w:r w:rsidRPr="00587C60">
        <w:rPr>
          <w:lang w:val="en-US"/>
        </w:rPr>
        <w:t>From 2025, the department will continue exploring opportunities to establish or expand collaborative peer forums that connect services, foster shared learning, and support system-wide improvement.</w:t>
      </w:r>
    </w:p>
    <w:p w14:paraId="6B2EE64B" w14:textId="7A03301B" w:rsidR="00EF67D0" w:rsidRPr="00FC7E97" w:rsidRDefault="00EF67D0" w:rsidP="00EF67D0">
      <w:pPr>
        <w:pStyle w:val="Heading4"/>
        <w:rPr>
          <w:rFonts w:eastAsia="Times" w:cs="Times New Roman"/>
          <w:b w:val="0"/>
          <w:color w:val="auto"/>
          <w:sz w:val="21"/>
          <w:szCs w:val="20"/>
          <w:lang w:val="en-AU" w:eastAsia="en-US"/>
        </w:rPr>
      </w:pPr>
      <w:r w:rsidRPr="00FC7E97">
        <w:rPr>
          <w:rFonts w:eastAsia="Times" w:cs="Times New Roman"/>
          <w:b w:val="0"/>
          <w:color w:val="auto"/>
          <w:sz w:val="21"/>
          <w:szCs w:val="20"/>
          <w:lang w:val="en-AU" w:eastAsia="en-US"/>
        </w:rPr>
        <w:t xml:space="preserve">Often, </w:t>
      </w:r>
      <w:r w:rsidR="00062D2E">
        <w:rPr>
          <w:rFonts w:eastAsia="Times" w:cs="Times New Roman"/>
          <w:b w:val="0"/>
          <w:color w:val="auto"/>
          <w:sz w:val="21"/>
          <w:szCs w:val="20"/>
          <w:lang w:val="en-AU" w:eastAsia="en-US"/>
        </w:rPr>
        <w:t>health services</w:t>
      </w:r>
      <w:r w:rsidR="00062D2E" w:rsidRPr="00FC7E97">
        <w:rPr>
          <w:rFonts w:eastAsia="Times" w:cs="Times New Roman"/>
          <w:b w:val="0"/>
          <w:color w:val="auto"/>
          <w:sz w:val="21"/>
          <w:szCs w:val="20"/>
          <w:lang w:val="en-AU" w:eastAsia="en-US"/>
        </w:rPr>
        <w:t xml:space="preserve"> </w:t>
      </w:r>
      <w:r w:rsidRPr="00FC7E97">
        <w:rPr>
          <w:rFonts w:eastAsia="Times" w:cs="Times New Roman"/>
          <w:b w:val="0"/>
          <w:color w:val="auto"/>
          <w:sz w:val="21"/>
          <w:szCs w:val="20"/>
          <w:lang w:val="en-AU" w:eastAsia="en-US"/>
        </w:rPr>
        <w:t xml:space="preserve">benefit from an external perspective to help diagnose the root causes of performance challenges and unlock ideas to support strategic and operational change. The strongest health service performance improvement expertise in Victoria principally sits in the sector itself – among high performing executives and clinical leaders actively working or having recently worked in health services. </w:t>
      </w:r>
      <w:r w:rsidRPr="00FC7E97">
        <w:rPr>
          <w:rFonts w:eastAsia="Times" w:cs="Times New Roman"/>
          <w:b w:val="0"/>
          <w:bCs w:val="0"/>
          <w:color w:val="auto"/>
          <w:sz w:val="21"/>
          <w:szCs w:val="20"/>
          <w:lang w:val="en-AU" w:eastAsia="en-US"/>
        </w:rPr>
        <w:t xml:space="preserve"> </w:t>
      </w:r>
    </w:p>
    <w:p w14:paraId="0145B5B9" w14:textId="77777777" w:rsidR="00EF67D0" w:rsidRPr="00FC7E97" w:rsidRDefault="00EF67D0" w:rsidP="00EF67D0">
      <w:pPr>
        <w:pStyle w:val="Heading4"/>
        <w:rPr>
          <w:rFonts w:eastAsia="Times" w:cs="Times New Roman"/>
          <w:b w:val="0"/>
          <w:bCs w:val="0"/>
          <w:color w:val="auto"/>
          <w:sz w:val="21"/>
          <w:szCs w:val="20"/>
          <w:lang w:val="en-AU" w:eastAsia="en-US"/>
        </w:rPr>
      </w:pPr>
      <w:r w:rsidRPr="00FC7E97">
        <w:rPr>
          <w:rFonts w:eastAsia="Times" w:cs="Times New Roman"/>
          <w:b w:val="0"/>
          <w:bCs w:val="0"/>
          <w:color w:val="auto"/>
          <w:sz w:val="21"/>
          <w:szCs w:val="20"/>
          <w:lang w:val="en-AU" w:eastAsia="en-US"/>
        </w:rPr>
        <w:t xml:space="preserve">To support senior health service leadership in addressing performance challenges or pursuing improvement, the department will continue to explore opportunities to source expert advice, including from peer health services, or through networked approaches to problem solving. </w:t>
      </w:r>
    </w:p>
    <w:p w14:paraId="79240DC9" w14:textId="7E1BD705" w:rsidR="00DB00A5" w:rsidRPr="00473EFB" w:rsidRDefault="00501E8C" w:rsidP="0033157B">
      <w:pPr>
        <w:pStyle w:val="Heading3"/>
        <w:numPr>
          <w:ilvl w:val="0"/>
          <w:numId w:val="0"/>
        </w:numPr>
        <w:ind w:left="924" w:hanging="924"/>
        <w:rPr>
          <w:color w:val="auto"/>
        </w:rPr>
      </w:pPr>
      <w:bookmarkStart w:id="88" w:name="_Toc211343281"/>
      <w:r w:rsidRPr="00473EFB">
        <w:rPr>
          <w:color w:val="auto"/>
        </w:rPr>
        <w:t>3.2.</w:t>
      </w:r>
      <w:r w:rsidR="0098111C">
        <w:rPr>
          <w:color w:val="auto"/>
        </w:rPr>
        <w:t>1</w:t>
      </w:r>
      <w:r w:rsidRPr="00473EFB">
        <w:rPr>
          <w:color w:val="auto"/>
        </w:rPr>
        <w:t xml:space="preserve"> </w:t>
      </w:r>
      <w:r w:rsidR="00FE0408" w:rsidRPr="00473EFB">
        <w:rPr>
          <w:color w:val="auto"/>
        </w:rPr>
        <w:t>O</w:t>
      </w:r>
      <w:r w:rsidR="00DB00A5" w:rsidRPr="00473EFB">
        <w:rPr>
          <w:color w:val="auto"/>
        </w:rPr>
        <w:t>ngoing</w:t>
      </w:r>
      <w:r w:rsidR="00FE0408" w:rsidRPr="00473EFB">
        <w:rPr>
          <w:color w:val="auto"/>
        </w:rPr>
        <w:t xml:space="preserve"> improvement work</w:t>
      </w:r>
      <w:bookmarkEnd w:id="88"/>
    </w:p>
    <w:p w14:paraId="62304385" w14:textId="18C5EB85" w:rsidR="000A75FC" w:rsidRDefault="00DB00A5" w:rsidP="00DB00A5">
      <w:pPr>
        <w:pStyle w:val="DHHSbody"/>
      </w:pPr>
      <w:r>
        <w:t>The department encourages open dialogue with health services to identify and address performance risks,</w:t>
      </w:r>
      <w:r w:rsidR="001B42C9">
        <w:t xml:space="preserve"> </w:t>
      </w:r>
      <w:r w:rsidR="001B42C9" w:rsidRPr="001B42C9">
        <w:t xml:space="preserve">opportunities for system-wide improvements, and manage issues impacting the sustainability and </w:t>
      </w:r>
      <w:r w:rsidR="00EC3DC3">
        <w:t xml:space="preserve">quality </w:t>
      </w:r>
      <w:r w:rsidR="005A7B99">
        <w:t>of healthcare delivery</w:t>
      </w:r>
      <w:r w:rsidR="001B42C9" w:rsidRPr="001B42C9">
        <w:t xml:space="preserve">. </w:t>
      </w:r>
      <w:r>
        <w:t xml:space="preserve"> </w:t>
      </w:r>
    </w:p>
    <w:p w14:paraId="0C8FCD65" w14:textId="77777777" w:rsidR="000A75FC" w:rsidRDefault="000A75FC" w:rsidP="00DB00A5">
      <w:pPr>
        <w:pStyle w:val="DHHSbody"/>
      </w:pPr>
    </w:p>
    <w:p w14:paraId="316C422B" w14:textId="7A97A295" w:rsidR="000A75FC" w:rsidRDefault="0049404D" w:rsidP="00DB00A5">
      <w:pPr>
        <w:pStyle w:val="DHHSbody"/>
      </w:pPr>
      <w:r w:rsidRPr="0049404D">
        <w:lastRenderedPageBreak/>
        <w:t xml:space="preserve">Key areas of the department (refer to Section 6.2.2) will lead proactive engagement with health services, working collaboratively with </w:t>
      </w:r>
      <w:r w:rsidR="00FE662A">
        <w:t>health services</w:t>
      </w:r>
      <w:r w:rsidRPr="0049404D">
        <w:t xml:space="preserve"> to navigate complex challenges. This includes leading projects that support health services in delivering inclusive, culturally safe, high-quality, and high-value care for their communities.</w:t>
      </w:r>
    </w:p>
    <w:p w14:paraId="7ABC083D" w14:textId="543F570A" w:rsidR="008E29AF" w:rsidRPr="00805064" w:rsidRDefault="00F34AE3" w:rsidP="00DB00A5">
      <w:pPr>
        <w:pStyle w:val="DHHSbody"/>
      </w:pPr>
      <w:r w:rsidRPr="00F34AE3">
        <w:t>Engagement will involve regular communication to monitor progress, identify risks, and uncover opportunities for system improvement initiatives. These interactions will occur outside formal performance meetings, creating a responsive framework for addressing issues as they arise. System improvement initiatives will focus on enhancing healthcare delivery through evidence-based practices, innovative solutions, and cross-departmental collaboration to ensure sustainable outcomes.</w:t>
      </w:r>
    </w:p>
    <w:p w14:paraId="451178D0" w14:textId="10B2120F" w:rsidR="00A5344A" w:rsidRPr="00A16DC8" w:rsidRDefault="00DB00A5" w:rsidP="00A5344A">
      <w:pPr>
        <w:rPr>
          <w:sz w:val="21"/>
          <w:szCs w:val="21"/>
        </w:rPr>
      </w:pPr>
      <w:r w:rsidRPr="00D14957">
        <w:rPr>
          <w:sz w:val="21"/>
          <w:szCs w:val="21"/>
        </w:rPr>
        <w:t xml:space="preserve">This engagement will occur with visibility to the health service’s CEO, with direct involvement determined by their preference, allowing flexibility while maintaining leadership oversight. This approach </w:t>
      </w:r>
      <w:r w:rsidR="00147EAD">
        <w:rPr>
          <w:sz w:val="21"/>
          <w:szCs w:val="21"/>
        </w:rPr>
        <w:t>allow</w:t>
      </w:r>
      <w:r w:rsidR="00BA5968">
        <w:rPr>
          <w:sz w:val="21"/>
          <w:szCs w:val="21"/>
        </w:rPr>
        <w:t>s</w:t>
      </w:r>
      <w:r w:rsidR="00147EAD" w:rsidRPr="00D14957">
        <w:rPr>
          <w:sz w:val="21"/>
          <w:szCs w:val="21"/>
        </w:rPr>
        <w:t xml:space="preserve"> </w:t>
      </w:r>
      <w:r w:rsidRPr="00D14957">
        <w:rPr>
          <w:sz w:val="21"/>
          <w:szCs w:val="21"/>
        </w:rPr>
        <w:t>formal performance meetings</w:t>
      </w:r>
      <w:r w:rsidR="00A16DC8">
        <w:rPr>
          <w:sz w:val="21"/>
          <w:szCs w:val="21"/>
        </w:rPr>
        <w:t xml:space="preserve"> to</w:t>
      </w:r>
      <w:r w:rsidRPr="00D14957">
        <w:rPr>
          <w:sz w:val="21"/>
          <w:szCs w:val="21"/>
        </w:rPr>
        <w:t xml:space="preserve"> remain </w:t>
      </w:r>
      <w:r w:rsidR="00147EAD">
        <w:rPr>
          <w:sz w:val="21"/>
          <w:szCs w:val="21"/>
        </w:rPr>
        <w:t>focused on</w:t>
      </w:r>
      <w:r w:rsidRPr="00D14957">
        <w:rPr>
          <w:sz w:val="21"/>
          <w:szCs w:val="21"/>
        </w:rPr>
        <w:t xml:space="preserve"> core </w:t>
      </w:r>
      <w:r w:rsidRPr="00E84B8D">
        <w:rPr>
          <w:sz w:val="21"/>
          <w:szCs w:val="21"/>
        </w:rPr>
        <w:t>performance priorities.</w:t>
      </w:r>
      <w:r w:rsidR="00712392" w:rsidRPr="00712392">
        <w:rPr>
          <w:sz w:val="21"/>
          <w:szCs w:val="21"/>
        </w:rPr>
        <w:t xml:space="preserve"> </w:t>
      </w:r>
      <w:r w:rsidR="00712392" w:rsidRPr="00A16DC8">
        <w:rPr>
          <w:sz w:val="21"/>
          <w:szCs w:val="21"/>
        </w:rPr>
        <w:t>Items that are not resolved during these engagements may be escalated to the performance meeting</w:t>
      </w:r>
      <w:r w:rsidR="00A5344A" w:rsidRPr="00A16DC8">
        <w:rPr>
          <w:sz w:val="21"/>
          <w:szCs w:val="21"/>
        </w:rPr>
        <w:t xml:space="preserve"> for further discussion and resolution.</w:t>
      </w:r>
    </w:p>
    <w:p w14:paraId="1A70530E" w14:textId="77777777" w:rsidR="00465C88" w:rsidRPr="003600C2" w:rsidRDefault="00465C88" w:rsidP="00CA227B">
      <w:pPr>
        <w:pStyle w:val="Heading2"/>
        <w:ind w:left="709"/>
        <w:rPr>
          <w:color w:val="3A3A3A" w:themeColor="background2" w:themeShade="40"/>
        </w:rPr>
      </w:pPr>
      <w:bookmarkStart w:id="89" w:name="_Toc169262061"/>
      <w:bookmarkStart w:id="90" w:name="_Toc211343282"/>
      <w:r w:rsidRPr="003600C2">
        <w:rPr>
          <w:color w:val="3A3A3A" w:themeColor="background2" w:themeShade="40"/>
        </w:rPr>
        <w:t>Accountability</w:t>
      </w:r>
      <w:bookmarkEnd w:id="89"/>
      <w:bookmarkEnd w:id="90"/>
    </w:p>
    <w:p w14:paraId="5FC3A6EE" w14:textId="6B5991C5" w:rsidR="007561A0" w:rsidRPr="009D0841" w:rsidRDefault="00465C88" w:rsidP="007561A0">
      <w:pPr>
        <w:pStyle w:val="DHHSbody"/>
      </w:pPr>
      <w:r w:rsidRPr="009D0841">
        <w:t xml:space="preserve">The accountability </w:t>
      </w:r>
      <w:r w:rsidR="003C00B3" w:rsidRPr="009D0841">
        <w:t>stage</w:t>
      </w:r>
      <w:r w:rsidRPr="009D0841">
        <w:t xml:space="preserve"> of the performance cycle involves applying continuous monitoring to track performance and risk, identify gaps between actual and desired performance, and apply effective approaches to close the gap. </w:t>
      </w:r>
      <w:bookmarkStart w:id="91" w:name="_Toc169262062"/>
    </w:p>
    <w:p w14:paraId="7C500262" w14:textId="65EE0F5C" w:rsidR="007561A0" w:rsidRPr="00A5130B" w:rsidRDefault="007561A0" w:rsidP="00A5130B">
      <w:pPr>
        <w:pStyle w:val="Heading4"/>
        <w:rPr>
          <w:color w:val="000000" w:themeColor="text1"/>
        </w:rPr>
      </w:pPr>
      <w:r w:rsidRPr="00A5130B">
        <w:rPr>
          <w:color w:val="000000" w:themeColor="text1"/>
        </w:rPr>
        <w:t xml:space="preserve">Setting Clear Performance Expectations </w:t>
      </w:r>
    </w:p>
    <w:p w14:paraId="067CF72F" w14:textId="77777777" w:rsidR="007561A0" w:rsidRPr="00AB7EE2" w:rsidRDefault="007561A0" w:rsidP="007561A0">
      <w:pPr>
        <w:pStyle w:val="Heading4"/>
        <w:rPr>
          <w:rFonts w:eastAsia="Times" w:cs="Times New Roman"/>
          <w:color w:val="auto"/>
          <w:sz w:val="21"/>
          <w:lang w:val="en-AU" w:eastAsia="en-US"/>
        </w:rPr>
      </w:pPr>
      <w:r w:rsidRPr="007C7D26">
        <w:rPr>
          <w:rFonts w:eastAsia="Times" w:cs="Times New Roman"/>
          <w:b w:val="0"/>
          <w:bCs w:val="0"/>
          <w:color w:val="auto"/>
          <w:sz w:val="21"/>
          <w:szCs w:val="20"/>
          <w:lang w:val="en-AU" w:eastAsia="en-US"/>
        </w:rPr>
        <w:t>Health services are expected to report progress against the performance expectations including but not limited to the goals and deliverables in Part A of the Statement of Priorities (</w:t>
      </w:r>
      <w:r>
        <w:rPr>
          <w:rFonts w:eastAsia="Times" w:cs="Times New Roman"/>
          <w:b w:val="0"/>
          <w:bCs w:val="0"/>
          <w:color w:val="auto"/>
          <w:sz w:val="21"/>
          <w:szCs w:val="20"/>
          <w:lang w:val="en-AU" w:eastAsia="en-US"/>
        </w:rPr>
        <w:t>SoP</w:t>
      </w:r>
      <w:r w:rsidRPr="007C7D26">
        <w:rPr>
          <w:rFonts w:eastAsia="Times" w:cs="Times New Roman"/>
          <w:b w:val="0"/>
          <w:bCs w:val="0"/>
          <w:color w:val="auto"/>
          <w:sz w:val="21"/>
          <w:szCs w:val="20"/>
          <w:lang w:val="en-AU" w:eastAsia="en-US"/>
        </w:rPr>
        <w:t xml:space="preserve">), and, where applicable, demonstrate improvement against flagged Part B indicators where there is a significant and sustained deviation from target or a meaningful trend of deterioration. These trends are identified using methods outlined in the Business Rules, which account for seasonal variation, peer comparison, and related performance metrics. </w:t>
      </w:r>
    </w:p>
    <w:p w14:paraId="03238252" w14:textId="77777777" w:rsidR="007561A0" w:rsidRDefault="007561A0" w:rsidP="007561A0">
      <w:pPr>
        <w:pStyle w:val="Body"/>
      </w:pPr>
      <w:r w:rsidRPr="00AB7EE2">
        <w:t>Performance improvement targets should reflect challenging yet achievable trajectories, acknowledging contextual factors such as resource availability or historical challenges. For instance, closing access gaps between Aboriginal and non-Aboriginal patients may require multi-year plans, with interim milestones to track progress.</w:t>
      </w:r>
    </w:p>
    <w:p w14:paraId="251DE23D" w14:textId="4724EB8B" w:rsidR="007561A0" w:rsidRPr="007561A0" w:rsidRDefault="007561A0" w:rsidP="007561A0">
      <w:pPr>
        <w:pStyle w:val="Body"/>
      </w:pPr>
      <w:r w:rsidRPr="00AB7EE2">
        <w:t xml:space="preserve">Regardless of improvement efforts, health services </w:t>
      </w:r>
      <w:r>
        <w:t xml:space="preserve">must deliver </w:t>
      </w:r>
      <w:r w:rsidRPr="00AB7EE2">
        <w:t xml:space="preserve">a baseline </w:t>
      </w:r>
      <w:r>
        <w:t xml:space="preserve">against the core </w:t>
      </w:r>
      <w:r w:rsidR="00E84B8D" w:rsidRPr="00E84B8D">
        <w:t>government</w:t>
      </w:r>
      <w:r w:rsidRPr="00E84B8D">
        <w:t xml:space="preserve"> priorities</w:t>
      </w:r>
      <w:r>
        <w:t xml:space="preserve"> (balanced budgets, safe services (including culturally safe care), timely Access to Emergency Care and Planned Surgery)</w:t>
      </w:r>
      <w:r w:rsidR="00136BA9">
        <w:t>.</w:t>
      </w:r>
      <w:r w:rsidRPr="00AB7EE2">
        <w:t xml:space="preserve"> Failure to meet these standards </w:t>
      </w:r>
      <w:r>
        <w:t>may trigge</w:t>
      </w:r>
      <w:r w:rsidR="002F697B">
        <w:t>r</w:t>
      </w:r>
      <w:r>
        <w:t xml:space="preserve"> an </w:t>
      </w:r>
      <w:r w:rsidRPr="00AB7EE2">
        <w:t xml:space="preserve">escalation to </w:t>
      </w:r>
      <w:r w:rsidR="00136BA9">
        <w:t xml:space="preserve">a </w:t>
      </w:r>
      <w:r w:rsidRPr="00AB7EE2">
        <w:t>higher performance tier.</w:t>
      </w:r>
    </w:p>
    <w:p w14:paraId="10B4C050" w14:textId="0FA9EDF4" w:rsidR="007561A0" w:rsidRPr="00975989" w:rsidRDefault="00465C88" w:rsidP="00975989">
      <w:pPr>
        <w:pStyle w:val="Heading4"/>
        <w:rPr>
          <w:color w:val="000000" w:themeColor="text1"/>
        </w:rPr>
      </w:pPr>
      <w:r w:rsidRPr="00975989">
        <w:rPr>
          <w:color w:val="000000" w:themeColor="text1"/>
        </w:rPr>
        <w:lastRenderedPageBreak/>
        <w:t>Continuous monitoring of performance and risk</w:t>
      </w:r>
      <w:bookmarkEnd w:id="91"/>
      <w:r w:rsidRPr="00975989">
        <w:rPr>
          <w:color w:val="000000" w:themeColor="text1"/>
        </w:rPr>
        <w:t xml:space="preserve"> </w:t>
      </w:r>
    </w:p>
    <w:p w14:paraId="2B41B660" w14:textId="6D20A518" w:rsidR="00C47A9C" w:rsidRPr="00C47A9C" w:rsidRDefault="00C47A9C" w:rsidP="00C47A9C">
      <w:pPr>
        <w:pStyle w:val="Heading4"/>
        <w:rPr>
          <w:rFonts w:eastAsia="Times" w:cs="Times New Roman"/>
          <w:b w:val="0"/>
          <w:bCs w:val="0"/>
          <w:color w:val="auto"/>
          <w:sz w:val="21"/>
          <w:szCs w:val="20"/>
          <w:lang w:val="en-AU" w:eastAsia="en-US"/>
        </w:rPr>
      </w:pPr>
      <w:r w:rsidRPr="00C47A9C">
        <w:rPr>
          <w:rFonts w:eastAsia="Times" w:cs="Times New Roman"/>
          <w:b w:val="0"/>
          <w:bCs w:val="0"/>
          <w:color w:val="auto"/>
          <w:sz w:val="21"/>
          <w:szCs w:val="20"/>
          <w:lang w:val="en-AU" w:eastAsia="en-US"/>
        </w:rPr>
        <w:t>Performance</w:t>
      </w:r>
      <w:r w:rsidR="009956E0">
        <w:rPr>
          <w:rFonts w:eastAsia="Times" w:cs="Times New Roman"/>
          <w:b w:val="0"/>
          <w:bCs w:val="0"/>
          <w:color w:val="auto"/>
          <w:sz w:val="21"/>
          <w:szCs w:val="20"/>
          <w:lang w:val="en-AU" w:eastAsia="en-US"/>
        </w:rPr>
        <w:t xml:space="preserve"> Oversight</w:t>
      </w:r>
      <w:r w:rsidRPr="00C47A9C">
        <w:rPr>
          <w:rFonts w:eastAsia="Times" w:cs="Times New Roman"/>
          <w:b w:val="0"/>
          <w:bCs w:val="0"/>
          <w:color w:val="auto"/>
          <w:sz w:val="21"/>
          <w:szCs w:val="20"/>
          <w:lang w:val="en-AU" w:eastAsia="en-US"/>
        </w:rPr>
        <w:t xml:space="preserve"> teams are responsible for holistic oversight of health services, supported </w:t>
      </w:r>
      <w:r w:rsidRPr="005145FF">
        <w:rPr>
          <w:rFonts w:eastAsia="Times" w:cs="Times New Roman"/>
          <w:b w:val="0"/>
          <w:bCs w:val="0"/>
          <w:color w:val="auto"/>
          <w:sz w:val="21"/>
          <w:szCs w:val="20"/>
          <w:lang w:val="en-AU" w:eastAsia="en-US"/>
        </w:rPr>
        <w:t xml:space="preserve">by </w:t>
      </w:r>
      <w:r w:rsidR="00A50786" w:rsidRPr="005145FF">
        <w:rPr>
          <w:rFonts w:eastAsia="Times" w:cs="Times New Roman"/>
          <w:b w:val="0"/>
          <w:bCs w:val="0"/>
          <w:color w:val="auto"/>
          <w:sz w:val="21"/>
          <w:szCs w:val="20"/>
          <w:lang w:val="en-AU" w:eastAsia="en-US"/>
        </w:rPr>
        <w:t xml:space="preserve"> relevant areas </w:t>
      </w:r>
      <w:r w:rsidR="0088415B" w:rsidRPr="005145FF">
        <w:rPr>
          <w:rFonts w:eastAsia="Times" w:cs="Times New Roman"/>
          <w:b w:val="0"/>
          <w:bCs w:val="0"/>
          <w:color w:val="auto"/>
          <w:sz w:val="21"/>
          <w:szCs w:val="20"/>
          <w:lang w:val="en-AU" w:eastAsia="en-US"/>
        </w:rPr>
        <w:t>(see section 6.2.2</w:t>
      </w:r>
      <w:r w:rsidR="0088415B" w:rsidRPr="005145FF">
        <w:rPr>
          <w:rFonts w:eastAsia="Times" w:cs="Times New Roman"/>
          <w:b w:val="0"/>
          <w:bCs w:val="0"/>
          <w:color w:val="auto"/>
          <w:sz w:val="21"/>
          <w:szCs w:val="20"/>
          <w:lang w:eastAsia="en-US"/>
        </w:rPr>
        <w:t>)</w:t>
      </w:r>
      <w:r w:rsidRPr="005145FF">
        <w:rPr>
          <w:rFonts w:eastAsia="Times" w:cs="Times New Roman"/>
          <w:b w:val="0"/>
          <w:bCs w:val="0"/>
          <w:color w:val="auto"/>
          <w:sz w:val="21"/>
          <w:szCs w:val="20"/>
          <w:lang w:val="en-AU" w:eastAsia="en-US"/>
        </w:rPr>
        <w:t xml:space="preserve"> within the department who provide targeted analysis and insights. Performance</w:t>
      </w:r>
      <w:r w:rsidR="009956E0">
        <w:rPr>
          <w:rFonts w:eastAsia="Times" w:cs="Times New Roman"/>
          <w:b w:val="0"/>
          <w:bCs w:val="0"/>
          <w:color w:val="auto"/>
          <w:sz w:val="21"/>
          <w:szCs w:val="20"/>
          <w:lang w:val="en-AU" w:eastAsia="en-US"/>
        </w:rPr>
        <w:t xml:space="preserve"> Oversight</w:t>
      </w:r>
      <w:r w:rsidRPr="005145FF">
        <w:rPr>
          <w:rFonts w:eastAsia="Times" w:cs="Times New Roman"/>
          <w:b w:val="0"/>
          <w:bCs w:val="0"/>
          <w:color w:val="auto"/>
          <w:sz w:val="21"/>
          <w:szCs w:val="20"/>
          <w:lang w:val="en-AU" w:eastAsia="en-US"/>
        </w:rPr>
        <w:t xml:space="preserve"> </w:t>
      </w:r>
      <w:r w:rsidR="00401554" w:rsidRPr="005145FF">
        <w:rPr>
          <w:rFonts w:eastAsia="Times" w:cs="Times New Roman"/>
          <w:b w:val="0"/>
          <w:bCs w:val="0"/>
          <w:color w:val="auto"/>
          <w:sz w:val="21"/>
          <w:szCs w:val="20"/>
          <w:lang w:val="en-AU" w:eastAsia="en-US"/>
        </w:rPr>
        <w:t>t</w:t>
      </w:r>
      <w:r w:rsidRPr="005145FF">
        <w:rPr>
          <w:rFonts w:eastAsia="Times" w:cs="Times New Roman"/>
          <w:b w:val="0"/>
          <w:bCs w:val="0"/>
          <w:color w:val="auto"/>
          <w:sz w:val="21"/>
          <w:szCs w:val="20"/>
          <w:lang w:val="en-AU" w:eastAsia="en-US"/>
        </w:rPr>
        <w:t>eams integrate insights from multiple sources to ensure a complete</w:t>
      </w:r>
      <w:r w:rsidRPr="00C47A9C">
        <w:rPr>
          <w:rFonts w:eastAsia="Times" w:cs="Times New Roman"/>
          <w:b w:val="0"/>
          <w:bCs w:val="0"/>
          <w:color w:val="auto"/>
          <w:sz w:val="21"/>
          <w:szCs w:val="20"/>
          <w:lang w:val="en-AU" w:eastAsia="en-US"/>
        </w:rPr>
        <w:t xml:space="preserve"> view of health service performance.</w:t>
      </w:r>
      <w:r w:rsidR="002102F9">
        <w:rPr>
          <w:rFonts w:eastAsia="Times" w:cs="Times New Roman"/>
          <w:b w:val="0"/>
          <w:bCs w:val="0"/>
          <w:color w:val="auto"/>
          <w:sz w:val="21"/>
          <w:szCs w:val="20"/>
          <w:lang w:val="en-AU" w:eastAsia="en-US"/>
        </w:rPr>
        <w:t xml:space="preserve"> </w:t>
      </w:r>
    </w:p>
    <w:p w14:paraId="05AC2DE1" w14:textId="0C9685C7" w:rsidR="002102F9" w:rsidRDefault="00C47A9C" w:rsidP="00C47A9C">
      <w:pPr>
        <w:pStyle w:val="Heading4"/>
        <w:rPr>
          <w:rFonts w:eastAsia="Times" w:cs="Times New Roman"/>
          <w:b w:val="0"/>
          <w:bCs w:val="0"/>
          <w:color w:val="auto"/>
          <w:sz w:val="21"/>
          <w:szCs w:val="20"/>
          <w:lang w:val="en-AU" w:eastAsia="en-US"/>
        </w:rPr>
      </w:pPr>
      <w:r w:rsidRPr="00C47A9C">
        <w:rPr>
          <w:rFonts w:eastAsia="Times" w:cs="Times New Roman"/>
          <w:b w:val="0"/>
          <w:bCs w:val="0"/>
          <w:color w:val="auto"/>
          <w:sz w:val="21"/>
          <w:szCs w:val="20"/>
          <w:lang w:val="en-AU" w:eastAsia="en-US"/>
        </w:rPr>
        <w:t>Performance</w:t>
      </w:r>
      <w:r w:rsidR="009956E0">
        <w:rPr>
          <w:rFonts w:eastAsia="Times" w:cs="Times New Roman"/>
          <w:b w:val="0"/>
          <w:bCs w:val="0"/>
          <w:color w:val="auto"/>
          <w:sz w:val="21"/>
          <w:szCs w:val="20"/>
          <w:lang w:val="en-AU" w:eastAsia="en-US"/>
        </w:rPr>
        <w:t xml:space="preserve"> Oversight</w:t>
      </w:r>
      <w:r w:rsidRPr="00C47A9C">
        <w:rPr>
          <w:rFonts w:eastAsia="Times" w:cs="Times New Roman"/>
          <w:b w:val="0"/>
          <w:bCs w:val="0"/>
          <w:color w:val="auto"/>
          <w:sz w:val="21"/>
          <w:szCs w:val="20"/>
          <w:lang w:val="en-AU" w:eastAsia="en-US"/>
        </w:rPr>
        <w:t xml:space="preserve"> teams will utilise quantitative data (e.g. trends, financial metrics) and qualitative data (e.g., third-party reports, cross-agency intelligence) to identify performance risks, inherent vulnerabilities, and emerging concerns. This multi-source approach ensures a robust understanding of risks, </w:t>
      </w:r>
      <w:r w:rsidR="007551D4">
        <w:rPr>
          <w:rFonts w:eastAsia="Times" w:cs="Times New Roman"/>
          <w:b w:val="0"/>
          <w:bCs w:val="0"/>
          <w:color w:val="auto"/>
          <w:sz w:val="21"/>
          <w:szCs w:val="20"/>
          <w:lang w:val="en-AU" w:eastAsia="en-US"/>
        </w:rPr>
        <w:t>and</w:t>
      </w:r>
      <w:r w:rsidRPr="00C47A9C">
        <w:rPr>
          <w:rFonts w:eastAsia="Times" w:cs="Times New Roman"/>
          <w:b w:val="0"/>
          <w:bCs w:val="0"/>
          <w:color w:val="auto"/>
          <w:sz w:val="21"/>
          <w:szCs w:val="20"/>
          <w:lang w:val="en-AU" w:eastAsia="en-US"/>
        </w:rPr>
        <w:t xml:space="preserve"> operational challenges by the health service. </w:t>
      </w:r>
    </w:p>
    <w:p w14:paraId="21DB3170" w14:textId="16A585A4" w:rsidR="007561A0" w:rsidRPr="00AB64FF" w:rsidRDefault="00352DA3" w:rsidP="00AB64FF">
      <w:pPr>
        <w:pStyle w:val="Heading3"/>
        <w:numPr>
          <w:ilvl w:val="0"/>
          <w:numId w:val="0"/>
        </w:numPr>
        <w:ind w:left="924" w:hanging="924"/>
        <w:rPr>
          <w:color w:val="auto"/>
        </w:rPr>
      </w:pPr>
      <w:bookmarkStart w:id="92" w:name="_Toc211343283"/>
      <w:bookmarkStart w:id="93" w:name="_Ref167102654"/>
      <w:bookmarkStart w:id="94" w:name="_Toc167215606"/>
      <w:bookmarkStart w:id="95" w:name="_Toc167215703"/>
      <w:r>
        <w:rPr>
          <w:color w:val="auto"/>
        </w:rPr>
        <w:t xml:space="preserve">3.3.1 </w:t>
      </w:r>
      <w:r w:rsidR="00BD7923" w:rsidRPr="00BD7923">
        <w:rPr>
          <w:color w:val="auto"/>
        </w:rPr>
        <w:t>Health Service Engagement and Formal Performance Meetings</w:t>
      </w:r>
      <w:bookmarkEnd w:id="92"/>
    </w:p>
    <w:p w14:paraId="214F0B6B" w14:textId="08AA0D26" w:rsidR="00BD7923" w:rsidRDefault="007561A0" w:rsidP="007561A0">
      <w:pPr>
        <w:rPr>
          <w:sz w:val="21"/>
          <w:szCs w:val="21"/>
        </w:rPr>
      </w:pPr>
      <w:r w:rsidRPr="00D825AC">
        <w:rPr>
          <w:sz w:val="21"/>
          <w:szCs w:val="21"/>
        </w:rPr>
        <w:t xml:space="preserve">To ensure </w:t>
      </w:r>
      <w:r w:rsidR="009956E0" w:rsidRPr="00D825AC">
        <w:rPr>
          <w:sz w:val="21"/>
          <w:szCs w:val="21"/>
        </w:rPr>
        <w:t>the accountability</w:t>
      </w:r>
      <w:r w:rsidRPr="00D825AC">
        <w:rPr>
          <w:sz w:val="21"/>
          <w:szCs w:val="21"/>
        </w:rPr>
        <w:t xml:space="preserve"> approach is effectively implemented and continuously improved the department will </w:t>
      </w:r>
      <w:r w:rsidR="00E04DB0" w:rsidRPr="00E04DB0">
        <w:rPr>
          <w:sz w:val="21"/>
          <w:szCs w:val="21"/>
        </w:rPr>
        <w:t xml:space="preserve">engage with health services through a combination of regular </w:t>
      </w:r>
      <w:r w:rsidR="00D7283B">
        <w:rPr>
          <w:sz w:val="21"/>
          <w:szCs w:val="21"/>
        </w:rPr>
        <w:t>engagements</w:t>
      </w:r>
      <w:r w:rsidR="00E04DB0" w:rsidRPr="00E04DB0">
        <w:rPr>
          <w:sz w:val="21"/>
          <w:szCs w:val="21"/>
        </w:rPr>
        <w:t xml:space="preserve"> and formal performance meetings. </w:t>
      </w:r>
    </w:p>
    <w:p w14:paraId="338855D4" w14:textId="77777777" w:rsidR="00CD74DB" w:rsidRPr="009956E0" w:rsidRDefault="00CD74DB" w:rsidP="00CD74DB">
      <w:pPr>
        <w:rPr>
          <w:b/>
          <w:bCs/>
          <w:sz w:val="21"/>
          <w:szCs w:val="21"/>
        </w:rPr>
      </w:pPr>
      <w:r w:rsidRPr="009956E0">
        <w:rPr>
          <w:b/>
          <w:bCs/>
          <w:sz w:val="21"/>
          <w:szCs w:val="21"/>
        </w:rPr>
        <w:t xml:space="preserve">Health Service Engagements </w:t>
      </w:r>
    </w:p>
    <w:p w14:paraId="105166D5" w14:textId="49E39577" w:rsidR="00CD74DB" w:rsidRPr="00CD74DB" w:rsidRDefault="00CD74DB" w:rsidP="00CD74DB">
      <w:pPr>
        <w:rPr>
          <w:sz w:val="21"/>
          <w:szCs w:val="21"/>
        </w:rPr>
      </w:pPr>
      <w:r w:rsidRPr="00CD74DB">
        <w:rPr>
          <w:sz w:val="21"/>
          <w:szCs w:val="21"/>
        </w:rPr>
        <w:t xml:space="preserve">These are ongoing, flexible </w:t>
      </w:r>
      <w:r w:rsidR="00D7283B">
        <w:rPr>
          <w:sz w:val="21"/>
          <w:szCs w:val="21"/>
        </w:rPr>
        <w:t>engagements</w:t>
      </w:r>
      <w:r w:rsidRPr="00CD74DB">
        <w:rPr>
          <w:sz w:val="21"/>
          <w:szCs w:val="21"/>
        </w:rPr>
        <w:t xml:space="preserve"> led by relevant areas in the department that occur as needed between formal performance meetings. These may include ad-hoc discussions, check-ins, or discussions to address emerging issues, monitor progress, or provide support. Regular health service engagements aim </w:t>
      </w:r>
      <w:r w:rsidR="00A16DC8" w:rsidRPr="00CD74DB">
        <w:rPr>
          <w:sz w:val="21"/>
          <w:szCs w:val="21"/>
        </w:rPr>
        <w:t>to foster</w:t>
      </w:r>
      <w:r w:rsidRPr="00CD74DB">
        <w:rPr>
          <w:sz w:val="21"/>
          <w:szCs w:val="21"/>
        </w:rPr>
        <w:t xml:space="preserve"> collaboration and allow for timely responses to operational or performance concerns without the structured format of performance meetings.</w:t>
      </w:r>
    </w:p>
    <w:p w14:paraId="1DE2B16D" w14:textId="77777777" w:rsidR="00CD74DB" w:rsidRPr="009956E0" w:rsidRDefault="00CD74DB" w:rsidP="00CD74DB">
      <w:pPr>
        <w:rPr>
          <w:b/>
          <w:bCs/>
          <w:sz w:val="21"/>
          <w:szCs w:val="21"/>
        </w:rPr>
      </w:pPr>
      <w:r w:rsidRPr="009956E0">
        <w:rPr>
          <w:b/>
          <w:bCs/>
          <w:sz w:val="21"/>
          <w:szCs w:val="21"/>
        </w:rPr>
        <w:t xml:space="preserve">Formal Performance Meetings </w:t>
      </w:r>
    </w:p>
    <w:p w14:paraId="34502567" w14:textId="4C0FECA9" w:rsidR="00BD7923" w:rsidRDefault="00CD74DB" w:rsidP="00CD74DB">
      <w:pPr>
        <w:rPr>
          <w:sz w:val="21"/>
          <w:szCs w:val="21"/>
        </w:rPr>
      </w:pPr>
      <w:r w:rsidRPr="00CD74DB">
        <w:rPr>
          <w:sz w:val="21"/>
          <w:szCs w:val="21"/>
        </w:rPr>
        <w:t xml:space="preserve">These are structured, scheduled meetings focused on addressing unresolved issues escalated from health service engagements. They provide a forum to review performance, discuss risks, and agree on action plans to drive improvement. These meetings are distinct from health service engagements in their formal structure and focus on strategic resolutions. </w:t>
      </w:r>
    </w:p>
    <w:p w14:paraId="46F6EB8D" w14:textId="2711C10B" w:rsidR="007561A0" w:rsidRPr="00D825AC" w:rsidRDefault="007561A0" w:rsidP="007561A0">
      <w:pPr>
        <w:rPr>
          <w:sz w:val="21"/>
          <w:szCs w:val="21"/>
        </w:rPr>
      </w:pPr>
      <w:r w:rsidRPr="00D825AC">
        <w:rPr>
          <w:sz w:val="21"/>
          <w:szCs w:val="21"/>
        </w:rPr>
        <w:t xml:space="preserve">Refer to </w:t>
      </w:r>
      <w:r w:rsidRPr="00D825AC">
        <w:rPr>
          <w:b/>
          <w:bCs/>
          <w:sz w:val="21"/>
          <w:szCs w:val="21"/>
        </w:rPr>
        <w:t xml:space="preserve">Section </w:t>
      </w:r>
      <w:r w:rsidR="0088415B">
        <w:rPr>
          <w:b/>
          <w:bCs/>
          <w:sz w:val="21"/>
          <w:szCs w:val="21"/>
        </w:rPr>
        <w:t>5</w:t>
      </w:r>
      <w:r w:rsidRPr="00D825AC">
        <w:rPr>
          <w:sz w:val="21"/>
          <w:szCs w:val="21"/>
        </w:rPr>
        <w:t xml:space="preserve"> for </w:t>
      </w:r>
      <w:r w:rsidR="00473FA9">
        <w:rPr>
          <w:sz w:val="21"/>
          <w:szCs w:val="21"/>
        </w:rPr>
        <w:t xml:space="preserve">the </w:t>
      </w:r>
      <w:r w:rsidR="004C5079">
        <w:rPr>
          <w:sz w:val="21"/>
          <w:szCs w:val="21"/>
        </w:rPr>
        <w:t>p</w:t>
      </w:r>
      <w:r w:rsidRPr="00D825AC">
        <w:rPr>
          <w:sz w:val="21"/>
          <w:szCs w:val="21"/>
        </w:rPr>
        <w:t xml:space="preserve">erformance </w:t>
      </w:r>
      <w:r w:rsidR="004C5079">
        <w:rPr>
          <w:sz w:val="21"/>
          <w:szCs w:val="21"/>
        </w:rPr>
        <w:t>m</w:t>
      </w:r>
      <w:r w:rsidRPr="00D825AC">
        <w:rPr>
          <w:sz w:val="21"/>
          <w:szCs w:val="21"/>
        </w:rPr>
        <w:t xml:space="preserve">eeting approach. </w:t>
      </w:r>
    </w:p>
    <w:p w14:paraId="1C472F9B" w14:textId="50E5AA93" w:rsidR="007561A0" w:rsidRDefault="007561A0" w:rsidP="009B44F5">
      <w:pPr>
        <w:pStyle w:val="DHHSbullet1"/>
        <w:numPr>
          <w:ilvl w:val="0"/>
          <w:numId w:val="0"/>
        </w:numPr>
        <w:sectPr w:rsidR="007561A0">
          <w:headerReference w:type="default" r:id="rId33"/>
          <w:footerReference w:type="even" r:id="rId34"/>
          <w:footerReference w:type="first" r:id="rId35"/>
          <w:pgSz w:w="12240" w:h="15840"/>
          <w:pgMar w:top="1440" w:right="1440" w:bottom="1440" w:left="1440" w:header="720" w:footer="720" w:gutter="0"/>
          <w:cols w:space="720"/>
          <w:docGrid w:linePitch="360"/>
        </w:sectPr>
      </w:pPr>
    </w:p>
    <w:p w14:paraId="257FC2C6" w14:textId="0A1C7224" w:rsidR="00CA24BB" w:rsidRPr="00473EFB" w:rsidRDefault="00CA24BB" w:rsidP="00CA24BB">
      <w:pPr>
        <w:pStyle w:val="Heading1"/>
        <w:rPr>
          <w:color w:val="auto"/>
        </w:rPr>
      </w:pPr>
      <w:bookmarkStart w:id="96" w:name="_Toc211343284"/>
      <w:r w:rsidRPr="00473EFB">
        <w:rPr>
          <w:color w:val="auto"/>
        </w:rPr>
        <w:lastRenderedPageBreak/>
        <w:t>Formal performance</w:t>
      </w:r>
      <w:r w:rsidR="00220089">
        <w:rPr>
          <w:color w:val="auto"/>
        </w:rPr>
        <w:t xml:space="preserve"> </w:t>
      </w:r>
      <w:r w:rsidRPr="00473EFB">
        <w:rPr>
          <w:color w:val="auto"/>
        </w:rPr>
        <w:t xml:space="preserve">assessments </w:t>
      </w:r>
      <w:r w:rsidR="007F61D6" w:rsidRPr="00473EFB">
        <w:rPr>
          <w:color w:val="auto"/>
        </w:rPr>
        <w:t>and performance tier</w:t>
      </w:r>
      <w:r w:rsidR="00220089">
        <w:rPr>
          <w:color w:val="auto"/>
        </w:rPr>
        <w:t xml:space="preserve"> </w:t>
      </w:r>
      <w:r w:rsidR="007F61D6" w:rsidRPr="00473EFB">
        <w:rPr>
          <w:color w:val="auto"/>
        </w:rPr>
        <w:t>changes</w:t>
      </w:r>
      <w:bookmarkEnd w:id="96"/>
      <w:r w:rsidR="007F61D6" w:rsidRPr="00473EFB">
        <w:rPr>
          <w:color w:val="auto"/>
        </w:rPr>
        <w:t xml:space="preserve"> </w:t>
      </w:r>
    </w:p>
    <w:p w14:paraId="3BF2CB99" w14:textId="27EC26A6" w:rsidR="00BF234D" w:rsidRDefault="00BF234D" w:rsidP="00FC1655">
      <w:pPr>
        <w:pStyle w:val="Body"/>
      </w:pPr>
      <w:r>
        <w:t>The Framework establishes a transparent and structured approach to performance assessment, escalation, and accountability to ensure health services deliver safe, high-quality, and sustainable care</w:t>
      </w:r>
      <w:r w:rsidR="00FD51E1">
        <w:t>. Health Services</w:t>
      </w:r>
      <w:r w:rsidR="00EB272A">
        <w:t xml:space="preserve"> will be assigned a </w:t>
      </w:r>
      <w:r>
        <w:t xml:space="preserve">performance tier at the end of each quarter. </w:t>
      </w:r>
    </w:p>
    <w:p w14:paraId="7DE7BB62" w14:textId="77777777" w:rsidR="003D4F3E" w:rsidRDefault="003D4F3E" w:rsidP="001E14C0">
      <w:pPr>
        <w:pStyle w:val="Body"/>
      </w:pPr>
      <w:r w:rsidRPr="003D4F3E">
        <w:t>Performance tiers are tied to the Performance Cycle’s accountability stage, reflecting performance against Performance Domains, Statement of Priorities (SoP) deliverables, and other factors.</w:t>
      </w:r>
    </w:p>
    <w:p w14:paraId="033E0D25" w14:textId="0DF72172" w:rsidR="003D4F3E" w:rsidRPr="00D26C5F" w:rsidRDefault="00C27D5B" w:rsidP="00040B5F">
      <w:pPr>
        <w:pStyle w:val="Heading2"/>
        <w:ind w:left="709"/>
        <w:rPr>
          <w:color w:val="3A3A3A" w:themeColor="background2" w:themeShade="40"/>
        </w:rPr>
      </w:pPr>
      <w:bookmarkStart w:id="97" w:name="_Toc211343285"/>
      <w:r w:rsidRPr="00D26C5F">
        <w:rPr>
          <w:color w:val="3A3A3A" w:themeColor="background2" w:themeShade="40"/>
        </w:rPr>
        <w:t>Performance Tier Criteria</w:t>
      </w:r>
      <w:bookmarkEnd w:id="97"/>
      <w:r w:rsidRPr="00D26C5F">
        <w:rPr>
          <w:color w:val="3A3A3A" w:themeColor="background2" w:themeShade="40"/>
        </w:rPr>
        <w:t xml:space="preserve"> </w:t>
      </w:r>
    </w:p>
    <w:p w14:paraId="4EE96ED4" w14:textId="163CD595" w:rsidR="001E14C0" w:rsidRDefault="001E14C0" w:rsidP="001E14C0">
      <w:pPr>
        <w:pStyle w:val="Body"/>
      </w:pPr>
      <w:r>
        <w:t xml:space="preserve">Criteria for each of the performance tiers is defined in </w:t>
      </w:r>
      <w:r w:rsidR="006E35F9" w:rsidRPr="006E35F9">
        <w:rPr>
          <w:b/>
          <w:bCs/>
          <w:i/>
          <w:iCs/>
        </w:rPr>
        <w:t>Appendix 4: Performance Tier Criteria</w:t>
      </w:r>
      <w:r w:rsidR="006E35F9" w:rsidRPr="006E35F9">
        <w:rPr>
          <w:b/>
          <w:bCs/>
        </w:rPr>
        <w:t xml:space="preserve"> </w:t>
      </w:r>
      <w:r>
        <w:t xml:space="preserve">below and is </w:t>
      </w:r>
      <w:r w:rsidR="009A3451">
        <w:t>centred</w:t>
      </w:r>
      <w:r>
        <w:t xml:space="preserve"> around three key considerations:</w:t>
      </w:r>
    </w:p>
    <w:p w14:paraId="6C4D9527" w14:textId="0A508C81" w:rsidR="001E14C0" w:rsidRDefault="001E14C0" w:rsidP="00C02D14">
      <w:pPr>
        <w:pStyle w:val="Body"/>
        <w:numPr>
          <w:ilvl w:val="0"/>
          <w:numId w:val="20"/>
        </w:numPr>
      </w:pPr>
      <w:r>
        <w:t>Performance against S</w:t>
      </w:r>
      <w:r w:rsidR="0063685D">
        <w:t>o</w:t>
      </w:r>
      <w:r>
        <w:t>P priorities and targets</w:t>
      </w:r>
      <w:r w:rsidR="00D117C6">
        <w:t xml:space="preserve">, </w:t>
      </w:r>
      <w:r w:rsidR="007A4810">
        <w:t>and other measures</w:t>
      </w:r>
      <w:r w:rsidR="00420AEB">
        <w:t>:</w:t>
      </w:r>
    </w:p>
    <w:p w14:paraId="775FE6B6" w14:textId="3A8ABD7E" w:rsidR="001E14C0" w:rsidRDefault="008F5158" w:rsidP="00C02D14">
      <w:pPr>
        <w:pStyle w:val="Body"/>
        <w:numPr>
          <w:ilvl w:val="1"/>
          <w:numId w:val="20"/>
        </w:numPr>
      </w:pPr>
      <w:r>
        <w:t>M</w:t>
      </w:r>
      <w:r w:rsidR="001E14C0">
        <w:t>eeting core government expectations of balanced budgets, safe (including culturally safe) services, and timely emergency care and planned surgery access</w:t>
      </w:r>
      <w:r>
        <w:t>.</w:t>
      </w:r>
    </w:p>
    <w:p w14:paraId="3522C389" w14:textId="11F33793" w:rsidR="001E14C0" w:rsidRDefault="008F5158" w:rsidP="00C02D14">
      <w:pPr>
        <w:pStyle w:val="Body"/>
        <w:numPr>
          <w:ilvl w:val="1"/>
          <w:numId w:val="20"/>
        </w:numPr>
      </w:pPr>
      <w:r>
        <w:t>A</w:t>
      </w:r>
      <w:r w:rsidR="001E14C0">
        <w:t>chieving or exceeding specific and contextually relevant improvement targets</w:t>
      </w:r>
      <w:r>
        <w:t>.</w:t>
      </w:r>
    </w:p>
    <w:p w14:paraId="66E2F4FB" w14:textId="1CC4E59C" w:rsidR="00927287" w:rsidRPr="000D3165" w:rsidRDefault="006E35F9" w:rsidP="00C02D14">
      <w:pPr>
        <w:pStyle w:val="Body"/>
        <w:numPr>
          <w:ilvl w:val="1"/>
          <w:numId w:val="20"/>
        </w:numPr>
      </w:pPr>
      <w:r>
        <w:t>Emerging</w:t>
      </w:r>
      <w:r w:rsidR="00C871A3" w:rsidRPr="00C871A3">
        <w:t xml:space="preserve"> performance concerns are identified using quantitative and qualitative data from a range </w:t>
      </w:r>
      <w:r w:rsidR="00C871A3" w:rsidRPr="000D3165">
        <w:t>of sources</w:t>
      </w:r>
      <w:r w:rsidR="00961851" w:rsidRPr="000D3165">
        <w:t xml:space="preserve"> and other intel. </w:t>
      </w:r>
      <w:r w:rsidRPr="000D3165">
        <w:t xml:space="preserve">See </w:t>
      </w:r>
      <w:r w:rsidRPr="000D3165">
        <w:rPr>
          <w:b/>
          <w:bCs/>
        </w:rPr>
        <w:t xml:space="preserve">Appendix 3: </w:t>
      </w:r>
      <w:r w:rsidRPr="000D3165">
        <w:t>Box 2 and Box 3</w:t>
      </w:r>
      <w:r w:rsidR="00D93604" w:rsidRPr="000D3165">
        <w:t>.</w:t>
      </w:r>
    </w:p>
    <w:p w14:paraId="4A82039E" w14:textId="5BB266F9" w:rsidR="001E14C0" w:rsidRPr="000D3165" w:rsidRDefault="00735C16" w:rsidP="00C02D14">
      <w:pPr>
        <w:pStyle w:val="Body"/>
        <w:numPr>
          <w:ilvl w:val="0"/>
          <w:numId w:val="20"/>
        </w:numPr>
      </w:pPr>
      <w:r w:rsidRPr="000D3165">
        <w:t xml:space="preserve">Continuous and Sustained Improvement: </w:t>
      </w:r>
    </w:p>
    <w:p w14:paraId="78D1ADAB" w14:textId="044774CC" w:rsidR="001E14C0" w:rsidRPr="000D3165" w:rsidRDefault="00473D43" w:rsidP="00C02D14">
      <w:pPr>
        <w:pStyle w:val="Body"/>
        <w:numPr>
          <w:ilvl w:val="1"/>
          <w:numId w:val="20"/>
        </w:numPr>
      </w:pPr>
      <w:r w:rsidRPr="000D3165">
        <w:t xml:space="preserve">Develop action plans in </w:t>
      </w:r>
      <w:r w:rsidR="00D73B22" w:rsidRPr="000D3165">
        <w:t>collaboration</w:t>
      </w:r>
      <w:r w:rsidRPr="000D3165">
        <w:t xml:space="preserve"> with the department to address performance gaps </w:t>
      </w:r>
    </w:p>
    <w:p w14:paraId="1F008131" w14:textId="680F783D" w:rsidR="001E14C0" w:rsidRPr="000D3165" w:rsidRDefault="005575A6" w:rsidP="00C02D14">
      <w:pPr>
        <w:pStyle w:val="Body"/>
        <w:numPr>
          <w:ilvl w:val="1"/>
          <w:numId w:val="20"/>
        </w:numPr>
      </w:pPr>
      <w:r w:rsidRPr="000D3165">
        <w:t>A</w:t>
      </w:r>
      <w:r w:rsidR="001E14C0" w:rsidRPr="000D3165">
        <w:t>ctive engagement</w:t>
      </w:r>
      <w:r w:rsidR="00D73B22" w:rsidRPr="000D3165">
        <w:t xml:space="preserve"> with key</w:t>
      </w:r>
      <w:r w:rsidR="001A79CC" w:rsidRPr="000D3165">
        <w:t xml:space="preserve"> program</w:t>
      </w:r>
      <w:r w:rsidR="00D73B22" w:rsidRPr="000D3165">
        <w:t xml:space="preserve"> areas in the department</w:t>
      </w:r>
      <w:r w:rsidR="001E14C0" w:rsidRPr="000D3165">
        <w:t xml:space="preserve"> </w:t>
      </w:r>
      <w:r w:rsidR="00D73B22" w:rsidRPr="000D3165">
        <w:t>to drive</w:t>
      </w:r>
      <w:r w:rsidR="001E14C0" w:rsidRPr="000D3165">
        <w:t xml:space="preserve"> improvement </w:t>
      </w:r>
      <w:r w:rsidR="00D73B22" w:rsidRPr="000D3165">
        <w:t xml:space="preserve">initiatives to achieve key outcomes </w:t>
      </w:r>
    </w:p>
    <w:p w14:paraId="7169093E" w14:textId="610A86AD" w:rsidR="001E14C0" w:rsidRPr="000D3165" w:rsidRDefault="005575A6" w:rsidP="00C02D14">
      <w:pPr>
        <w:pStyle w:val="Body"/>
        <w:numPr>
          <w:ilvl w:val="1"/>
          <w:numId w:val="20"/>
        </w:numPr>
      </w:pPr>
      <w:r w:rsidRPr="000D3165">
        <w:t>I</w:t>
      </w:r>
      <w:r w:rsidR="00A80334" w:rsidRPr="000D3165">
        <w:t xml:space="preserve">mplement </w:t>
      </w:r>
      <w:r w:rsidR="001E14C0" w:rsidRPr="000D3165">
        <w:t>ongoing innovation and sustained improvement</w:t>
      </w:r>
      <w:r w:rsidR="00A80334" w:rsidRPr="000D3165">
        <w:t xml:space="preserve"> to address identified challenges. </w:t>
      </w:r>
    </w:p>
    <w:p w14:paraId="120D73AF" w14:textId="70E272A0" w:rsidR="001E14C0" w:rsidRDefault="001E14C0" w:rsidP="00C02D14">
      <w:pPr>
        <w:pStyle w:val="Body"/>
        <w:numPr>
          <w:ilvl w:val="0"/>
          <w:numId w:val="20"/>
        </w:numPr>
      </w:pPr>
      <w:r w:rsidRPr="000D3165">
        <w:t>System collaboration, involving positive contributions to collaborative efforts with system partners to support and drive place-based, regional and statewide</w:t>
      </w:r>
      <w:r>
        <w:t xml:space="preserve"> priorities.</w:t>
      </w:r>
    </w:p>
    <w:p w14:paraId="72E0DCC6" w14:textId="7A7CAF99" w:rsidR="00362208" w:rsidRDefault="00FC1655" w:rsidP="00FC1655">
      <w:pPr>
        <w:pStyle w:val="Body"/>
      </w:pPr>
      <w:r>
        <w:t xml:space="preserve">These criteria focus on delivering core </w:t>
      </w:r>
      <w:r w:rsidRPr="00B41884">
        <w:t>government priorities</w:t>
      </w:r>
      <w:r>
        <w:t xml:space="preserve"> (e.g. access to care, financial management, safety, and culturally safe services), demonstrating progress along agreed improvement trajectories, and fostering continuous innovation and system-wide collaboration. </w:t>
      </w:r>
    </w:p>
    <w:p w14:paraId="247E2B48" w14:textId="6985EF22" w:rsidR="00362208" w:rsidRPr="00D26C5F" w:rsidRDefault="00A26185" w:rsidP="00040B5F">
      <w:pPr>
        <w:pStyle w:val="Heading2"/>
        <w:ind w:left="709"/>
        <w:rPr>
          <w:color w:val="3A3A3A" w:themeColor="background2" w:themeShade="40"/>
        </w:rPr>
      </w:pPr>
      <w:bookmarkStart w:id="98" w:name="_Toc211343286"/>
      <w:r w:rsidRPr="00D26C5F">
        <w:rPr>
          <w:color w:val="3A3A3A" w:themeColor="background2" w:themeShade="40"/>
        </w:rPr>
        <w:t xml:space="preserve">Performance Tier </w:t>
      </w:r>
      <w:r w:rsidR="00D26C5F" w:rsidRPr="00D26C5F">
        <w:rPr>
          <w:color w:val="3A3A3A" w:themeColor="background2" w:themeShade="40"/>
        </w:rPr>
        <w:t>Escalation and De-escalation</w:t>
      </w:r>
      <w:bookmarkEnd w:id="98"/>
      <w:r w:rsidR="00D26C5F" w:rsidRPr="00D26C5F">
        <w:rPr>
          <w:color w:val="3A3A3A" w:themeColor="background2" w:themeShade="40"/>
        </w:rPr>
        <w:t xml:space="preserve"> </w:t>
      </w:r>
    </w:p>
    <w:p w14:paraId="79FC2E8F" w14:textId="77777777" w:rsidR="00011F9A" w:rsidRDefault="00EA51CA" w:rsidP="00FC1655">
      <w:pPr>
        <w:pStyle w:val="Body"/>
      </w:pPr>
      <w:r w:rsidRPr="00EA51CA">
        <w:t>The Framework defines a clear process for performance tier changes in 2025-26, including escalation and de-escalation:</w:t>
      </w:r>
    </w:p>
    <w:p w14:paraId="798A0C9A" w14:textId="7970875B" w:rsidR="00011F9A" w:rsidRPr="00147996" w:rsidRDefault="008328AA" w:rsidP="008328AA">
      <w:pPr>
        <w:pStyle w:val="Body"/>
        <w:rPr>
          <w:b/>
          <w:bCs/>
        </w:rPr>
      </w:pPr>
      <w:r w:rsidRPr="00147996">
        <w:rPr>
          <w:b/>
          <w:bCs/>
        </w:rPr>
        <w:t xml:space="preserve">Escalation </w:t>
      </w:r>
    </w:p>
    <w:p w14:paraId="79AE8EDF" w14:textId="77777777" w:rsidR="00147996" w:rsidRDefault="00147996" w:rsidP="00C02D14">
      <w:pPr>
        <w:pStyle w:val="Body"/>
        <w:numPr>
          <w:ilvl w:val="0"/>
          <w:numId w:val="20"/>
        </w:numPr>
      </w:pPr>
      <w:r w:rsidRPr="00974CD2">
        <w:t>Triggered by failure to meet performance targets or deteriorating trends, identified through quantitative and qualitative measures (e.g., performance data, risk assessments).</w:t>
      </w:r>
    </w:p>
    <w:p w14:paraId="38ABFA79" w14:textId="232E883E" w:rsidR="00147996" w:rsidRPr="00974CD2" w:rsidRDefault="00147996" w:rsidP="00C02D14">
      <w:pPr>
        <w:pStyle w:val="Body"/>
        <w:numPr>
          <w:ilvl w:val="0"/>
          <w:numId w:val="20"/>
        </w:numPr>
      </w:pPr>
      <w:r w:rsidRPr="00974CD2">
        <w:lastRenderedPageBreak/>
        <w:t>Involves formal notification, collaborative review for an improvement plan, and defined reassessment timelines</w:t>
      </w:r>
      <w:r w:rsidR="00022BC0">
        <w:t xml:space="preserve"> and exit criteria</w:t>
      </w:r>
      <w:r w:rsidR="00B11E78">
        <w:t>.</w:t>
      </w:r>
    </w:p>
    <w:p w14:paraId="7C674A8C" w14:textId="77777777" w:rsidR="00147996" w:rsidRDefault="00FC1655" w:rsidP="00FC1655">
      <w:pPr>
        <w:pStyle w:val="Body"/>
        <w:rPr>
          <w:b/>
          <w:bCs/>
        </w:rPr>
      </w:pPr>
      <w:r w:rsidRPr="00CA5D56">
        <w:rPr>
          <w:b/>
          <w:bCs/>
        </w:rPr>
        <w:t>De-escalation</w:t>
      </w:r>
    </w:p>
    <w:p w14:paraId="415BAF3B" w14:textId="76ADE6F1" w:rsidR="00CA5D56" w:rsidRPr="000D3165" w:rsidRDefault="00940C21" w:rsidP="00C02D14">
      <w:pPr>
        <w:pStyle w:val="Body"/>
        <w:numPr>
          <w:ilvl w:val="0"/>
          <w:numId w:val="20"/>
        </w:numPr>
      </w:pPr>
      <w:r w:rsidRPr="000D3165">
        <w:t xml:space="preserve">Occurs when a health service consistently meets or exceeds targets, demonstrates sustained improvement, and fulfills </w:t>
      </w:r>
      <w:r w:rsidR="008019E5" w:rsidRPr="000D3165">
        <w:t xml:space="preserve">defined </w:t>
      </w:r>
      <w:r w:rsidRPr="000D3165">
        <w:t>exit criteria</w:t>
      </w:r>
      <w:r w:rsidR="00A11E41" w:rsidRPr="000D3165">
        <w:t xml:space="preserve"> outlined in the improvement pl</w:t>
      </w:r>
      <w:r w:rsidR="00392551" w:rsidRPr="000D3165">
        <w:t>an, resolving or mitigating identified risks and completing required milestones.</w:t>
      </w:r>
    </w:p>
    <w:p w14:paraId="1CECA46C" w14:textId="79CFCF10" w:rsidR="00FC1655" w:rsidRPr="000D3165" w:rsidRDefault="00C24D6C" w:rsidP="00FC1655">
      <w:pPr>
        <w:pStyle w:val="Body"/>
        <w:rPr>
          <w:i/>
          <w:iCs/>
        </w:rPr>
      </w:pPr>
      <w:r w:rsidRPr="000D3165">
        <w:t>Implications for health services in each performance tier</w:t>
      </w:r>
      <w:r w:rsidR="00FC1655" w:rsidRPr="000D3165">
        <w:t xml:space="preserve"> ensuring health services understand expectations and outcomes</w:t>
      </w:r>
      <w:r w:rsidRPr="000D3165">
        <w:t xml:space="preserve"> are outlined in </w:t>
      </w:r>
      <w:r w:rsidRPr="000D3165">
        <w:rPr>
          <w:b/>
          <w:bCs/>
          <w:i/>
          <w:iCs/>
        </w:rPr>
        <w:t xml:space="preserve">Appendix </w:t>
      </w:r>
      <w:r w:rsidR="006E35F9" w:rsidRPr="000D3165">
        <w:rPr>
          <w:b/>
          <w:bCs/>
          <w:i/>
          <w:iCs/>
        </w:rPr>
        <w:t xml:space="preserve">5 - Implications for health services in each performance tier. </w:t>
      </w:r>
    </w:p>
    <w:p w14:paraId="7054017B" w14:textId="3CDE3354" w:rsidR="00E37ED5" w:rsidRPr="000D3165" w:rsidRDefault="00E37ED5" w:rsidP="00040B5F">
      <w:pPr>
        <w:pStyle w:val="Heading2"/>
        <w:ind w:left="709"/>
        <w:rPr>
          <w:color w:val="3A3A3A" w:themeColor="background2" w:themeShade="40"/>
        </w:rPr>
      </w:pPr>
      <w:bookmarkStart w:id="99" w:name="_Toc211343287"/>
      <w:r w:rsidRPr="000D3165">
        <w:rPr>
          <w:color w:val="3A3A3A" w:themeColor="background2" w:themeShade="40"/>
        </w:rPr>
        <w:t>Escalation Options</w:t>
      </w:r>
      <w:bookmarkEnd w:id="99"/>
      <w:r w:rsidRPr="000D3165">
        <w:rPr>
          <w:color w:val="3A3A3A" w:themeColor="background2" w:themeShade="40"/>
        </w:rPr>
        <w:t xml:space="preserve"> </w:t>
      </w:r>
    </w:p>
    <w:p w14:paraId="29DC50B8" w14:textId="25C7FCEC" w:rsidR="00F87AA0" w:rsidRPr="000D3165" w:rsidRDefault="00F87AA0" w:rsidP="00FC1655">
      <w:pPr>
        <w:pStyle w:val="Body"/>
      </w:pPr>
      <w:r w:rsidRPr="000D3165">
        <w:t>The</w:t>
      </w:r>
      <w:r w:rsidR="34B7F48F" w:rsidRPr="000D3165">
        <w:t xml:space="preserve"> </w:t>
      </w:r>
      <w:r w:rsidR="00E80142" w:rsidRPr="000D3165">
        <w:t>HSA</w:t>
      </w:r>
      <w:r w:rsidRPr="000D3165">
        <w:t xml:space="preserve"> details the powers of the Minister and Secretary regarding health service performance, which includes ensuring services provided are safe, appropriate and patient-centred. Where risks or performance concerns result in a</w:t>
      </w:r>
      <w:r w:rsidR="00A80334" w:rsidRPr="000D3165">
        <w:t>n</w:t>
      </w:r>
      <w:r w:rsidRPr="000D3165">
        <w:t xml:space="preserve"> </w:t>
      </w:r>
      <w:r w:rsidR="00A80334" w:rsidRPr="000D3165">
        <w:t>elevated</w:t>
      </w:r>
      <w:r w:rsidRPr="000D3165">
        <w:t xml:space="preserve"> performance tier, the department will work with the relevant health service to ensure appropriate action is taken to address concerns and minimise risk to patients or service delivery. </w:t>
      </w:r>
    </w:p>
    <w:p w14:paraId="4AE6AE16" w14:textId="3690BDBC" w:rsidR="00316273" w:rsidRPr="000D3165" w:rsidRDefault="00FC1655" w:rsidP="00FC1655">
      <w:pPr>
        <w:pStyle w:val="Body"/>
      </w:pPr>
      <w:r w:rsidRPr="000D3165">
        <w:t xml:space="preserve">For cases where performance does not improve despite support, robust accountability mechanisms </w:t>
      </w:r>
      <w:r w:rsidR="00A80334" w:rsidRPr="000D3165">
        <w:t xml:space="preserve">should be put in </w:t>
      </w:r>
      <w:r w:rsidRPr="000D3165">
        <w:t>place</w:t>
      </w:r>
      <w:r w:rsidR="00066939" w:rsidRPr="000D3165">
        <w:t xml:space="preserve"> and</w:t>
      </w:r>
      <w:r w:rsidRPr="000D3165">
        <w:t xml:space="preserve"> </w:t>
      </w:r>
      <w:r w:rsidR="00FF0AA3" w:rsidRPr="000D3165">
        <w:t xml:space="preserve">escalation options will be considered. </w:t>
      </w:r>
      <w:r w:rsidRPr="000D3165">
        <w:t xml:space="preserve"> These include criteria-based triggers</w:t>
      </w:r>
      <w:r w:rsidR="00910357" w:rsidRPr="000D3165">
        <w:t xml:space="preserve"> outlined in </w:t>
      </w:r>
      <w:r w:rsidR="00E70F33" w:rsidRPr="000D3165">
        <w:rPr>
          <w:b/>
          <w:bCs/>
        </w:rPr>
        <w:t>App</w:t>
      </w:r>
      <w:r w:rsidR="00910357" w:rsidRPr="000D3165">
        <w:rPr>
          <w:b/>
          <w:bCs/>
        </w:rPr>
        <w:t>endi</w:t>
      </w:r>
      <w:r w:rsidR="00E70F33" w:rsidRPr="000D3165">
        <w:rPr>
          <w:b/>
          <w:bCs/>
        </w:rPr>
        <w:t>ces</w:t>
      </w:r>
      <w:r w:rsidR="00910357" w:rsidRPr="000D3165">
        <w:rPr>
          <w:b/>
          <w:bCs/>
        </w:rPr>
        <w:t xml:space="preserve"> 4 </w:t>
      </w:r>
      <w:r w:rsidR="00E70F33" w:rsidRPr="000D3165">
        <w:rPr>
          <w:b/>
          <w:bCs/>
        </w:rPr>
        <w:t>&amp; 5</w:t>
      </w:r>
      <w:r w:rsidR="00E70F33" w:rsidRPr="000D3165">
        <w:t xml:space="preserve"> </w:t>
      </w:r>
      <w:r w:rsidRPr="000D3165">
        <w:t xml:space="preserve">for departmental or Ministerial interventions, such as appointing a board delegate, commissioning independent reviews, or, in extreme cases, suspending services. </w:t>
      </w:r>
    </w:p>
    <w:p w14:paraId="3D6C7909" w14:textId="6D785284" w:rsidR="00FC1655" w:rsidRPr="000D3165" w:rsidRDefault="0040360F" w:rsidP="00FC1655">
      <w:pPr>
        <w:pStyle w:val="Body"/>
      </w:pPr>
      <w:r w:rsidRPr="000D3165">
        <w:t xml:space="preserve">See </w:t>
      </w:r>
      <w:r w:rsidRPr="000D3165">
        <w:rPr>
          <w:b/>
        </w:rPr>
        <w:t xml:space="preserve">Appendix </w:t>
      </w:r>
      <w:r w:rsidR="005621B3">
        <w:rPr>
          <w:b/>
        </w:rPr>
        <w:t>6</w:t>
      </w:r>
      <w:r w:rsidR="003D54EA" w:rsidRPr="000D3165">
        <w:t xml:space="preserve">: </w:t>
      </w:r>
      <w:r w:rsidR="00DB039E" w:rsidRPr="000D3165">
        <w:t>Escalation options and considerations for use</w:t>
      </w:r>
    </w:p>
    <w:p w14:paraId="714D3D7C" w14:textId="056C11C9" w:rsidR="00FC1655" w:rsidRPr="000D3165" w:rsidRDefault="00FC1655" w:rsidP="00FC1655">
      <w:pPr>
        <w:pStyle w:val="Body"/>
      </w:pPr>
      <w:r w:rsidRPr="000D3165">
        <w:t>Interventions are escalated progressively based on the severity and duration of underperformance, with clear communication to health service boards and leadership to ensure accountability and drive improvement. This structured approach reinforces the department’s commitment to supporting health services while upholding oversight to safeguard patient and community outcomes.</w:t>
      </w:r>
    </w:p>
    <w:p w14:paraId="228540D9" w14:textId="69ACD926" w:rsidR="003343EF" w:rsidRDefault="008D6B64" w:rsidP="002F2A75">
      <w:pPr>
        <w:pStyle w:val="Body"/>
        <w:rPr>
          <w:rFonts w:cs="Arial"/>
        </w:rPr>
      </w:pPr>
      <w:r w:rsidRPr="000D3165">
        <w:rPr>
          <w:rFonts w:cs="Arial"/>
        </w:rPr>
        <w:t>Performance Tiers determine the level of autonomy or support provided to a health service ensuring tailored interventions to drive improvement</w:t>
      </w:r>
      <w:r w:rsidRPr="00A6551F">
        <w:rPr>
          <w:rFonts w:cs="Arial"/>
        </w:rPr>
        <w:t>.</w:t>
      </w:r>
      <w:r w:rsidR="00C311C9" w:rsidRPr="00A6551F">
        <w:rPr>
          <w:rFonts w:cs="Arial"/>
        </w:rPr>
        <w:t xml:space="preserve"> </w:t>
      </w:r>
      <w:r w:rsidR="003343EF" w:rsidRPr="00A6551F">
        <w:rPr>
          <w:rFonts w:cs="Arial"/>
        </w:rPr>
        <w:t xml:space="preserve">In line with the criteria for performance tiers, the department may propose change to a health service’s monitoring </w:t>
      </w:r>
      <w:r w:rsidR="00493475">
        <w:rPr>
          <w:rFonts w:cs="Arial"/>
        </w:rPr>
        <w:t>tier</w:t>
      </w:r>
      <w:r w:rsidR="003343EF" w:rsidRPr="00A6551F">
        <w:rPr>
          <w:rFonts w:cs="Arial"/>
        </w:rPr>
        <w:t>, and the proportionate response required. A discussion is undertaken between the department and the relevant health service to discuss the appropriate performance tier and monitoring approach.</w:t>
      </w:r>
    </w:p>
    <w:p w14:paraId="52BCA05D" w14:textId="16EB91E8" w:rsidR="00A6551F" w:rsidRPr="007D3ED9" w:rsidRDefault="00DE3C61" w:rsidP="00040B5F">
      <w:pPr>
        <w:pStyle w:val="Heading2"/>
        <w:ind w:left="709"/>
        <w:rPr>
          <w:color w:val="3A3A3A" w:themeColor="background2" w:themeShade="40"/>
        </w:rPr>
      </w:pPr>
      <w:bookmarkStart w:id="100" w:name="_Toc211343288"/>
      <w:r>
        <w:rPr>
          <w:color w:val="3A3A3A" w:themeColor="background2" w:themeShade="40"/>
        </w:rPr>
        <w:t>Performance Tier</w:t>
      </w:r>
      <w:r w:rsidR="00AF7F47">
        <w:rPr>
          <w:color w:val="3A3A3A" w:themeColor="background2" w:themeShade="40"/>
        </w:rPr>
        <w:t xml:space="preserve"> Change</w:t>
      </w:r>
      <w:r w:rsidR="009B779D" w:rsidRPr="007D3ED9">
        <w:rPr>
          <w:color w:val="3A3A3A" w:themeColor="background2" w:themeShade="40"/>
        </w:rPr>
        <w:t xml:space="preserve"> and Notification</w:t>
      </w:r>
      <w:bookmarkEnd w:id="100"/>
      <w:r w:rsidR="009B779D" w:rsidRPr="007D3ED9">
        <w:rPr>
          <w:color w:val="3A3A3A" w:themeColor="background2" w:themeShade="40"/>
        </w:rPr>
        <w:t xml:space="preserve"> </w:t>
      </w:r>
    </w:p>
    <w:p w14:paraId="0B25788F" w14:textId="4E91FF92" w:rsidR="001D0991" w:rsidRPr="001D0991" w:rsidRDefault="001D0991" w:rsidP="002F2A75">
      <w:pPr>
        <w:pStyle w:val="Body"/>
        <w:rPr>
          <w:rFonts w:cs="Arial"/>
        </w:rPr>
      </w:pPr>
      <w:r w:rsidRPr="001D0991">
        <w:rPr>
          <w:rFonts w:cs="Arial"/>
        </w:rPr>
        <w:t>Post the performance meeting, the department will formalise the assessment by notifying the health service’s board chair of the new</w:t>
      </w:r>
      <w:r w:rsidR="00CC3061">
        <w:rPr>
          <w:rFonts w:cs="Arial"/>
        </w:rPr>
        <w:t xml:space="preserve"> performance</w:t>
      </w:r>
      <w:r w:rsidRPr="001D0991">
        <w:rPr>
          <w:rFonts w:cs="Arial"/>
        </w:rPr>
        <w:t xml:space="preserve"> tier assigned, expectations of the service within this tier, the timeframe for review (including </w:t>
      </w:r>
      <w:r w:rsidR="008D6458">
        <w:rPr>
          <w:rFonts w:cs="Arial"/>
        </w:rPr>
        <w:t xml:space="preserve">defined </w:t>
      </w:r>
      <w:r w:rsidRPr="001D0991">
        <w:rPr>
          <w:rFonts w:cs="Arial"/>
        </w:rPr>
        <w:t xml:space="preserve">exit criteria to leave this tier and progress to the next, if relevant), and any relevant escalation options. </w:t>
      </w:r>
    </w:p>
    <w:p w14:paraId="4D603B1C" w14:textId="378ECBDC" w:rsidR="001D0991" w:rsidRPr="001D0991" w:rsidRDefault="001D0991" w:rsidP="002F2A75">
      <w:pPr>
        <w:pStyle w:val="Body"/>
        <w:rPr>
          <w:rFonts w:cs="Arial"/>
        </w:rPr>
      </w:pPr>
      <w:r w:rsidRPr="001D0991">
        <w:rPr>
          <w:rFonts w:cs="Arial"/>
        </w:rPr>
        <w:t>The rationale for the performance tier and associated level of monitoring, support or intervention is documented by the department alongside any agreed actions and timelines for remediation. At a minimum, these actions should specify who is responsible for undertaking the action, what action is required, and when the action should be completed or otherwise reviewed.</w:t>
      </w:r>
    </w:p>
    <w:p w14:paraId="2EBC4E55" w14:textId="77777777" w:rsidR="00ED00C7" w:rsidRDefault="00ED00C7" w:rsidP="00A567EA">
      <w:pPr>
        <w:pStyle w:val="Heading1"/>
        <w:numPr>
          <w:ilvl w:val="0"/>
          <w:numId w:val="0"/>
        </w:numPr>
        <w:rPr>
          <w:sz w:val="21"/>
          <w:szCs w:val="21"/>
        </w:rPr>
        <w:sectPr w:rsidR="00ED00C7" w:rsidSect="00FE0939">
          <w:pgSz w:w="12240" w:h="15840"/>
          <w:pgMar w:top="1080" w:right="1440" w:bottom="1080" w:left="1440" w:header="720" w:footer="720" w:gutter="0"/>
          <w:cols w:space="720"/>
          <w:docGrid w:linePitch="360"/>
        </w:sectPr>
      </w:pPr>
    </w:p>
    <w:p w14:paraId="08C6DEF9" w14:textId="217ED3D5" w:rsidR="00040B5F" w:rsidRPr="00473EFB" w:rsidRDefault="00040B5F" w:rsidP="00040B5F">
      <w:pPr>
        <w:pStyle w:val="Heading1"/>
        <w:rPr>
          <w:color w:val="auto"/>
        </w:rPr>
      </w:pPr>
      <w:bookmarkStart w:id="101" w:name="_Toc211343289"/>
      <w:r w:rsidRPr="00473EFB">
        <w:rPr>
          <w:color w:val="auto"/>
        </w:rPr>
        <w:lastRenderedPageBreak/>
        <w:t>Performance</w:t>
      </w:r>
      <w:r w:rsidR="00220089">
        <w:rPr>
          <w:color w:val="auto"/>
        </w:rPr>
        <w:t xml:space="preserve"> </w:t>
      </w:r>
      <w:r w:rsidRPr="00473EFB">
        <w:rPr>
          <w:color w:val="auto"/>
        </w:rPr>
        <w:t>Meeting Approach</w:t>
      </w:r>
      <w:bookmarkEnd w:id="101"/>
      <w:r w:rsidRPr="00473EFB">
        <w:rPr>
          <w:color w:val="auto"/>
        </w:rPr>
        <w:t xml:space="preserve"> </w:t>
      </w:r>
    </w:p>
    <w:p w14:paraId="5064BDDD" w14:textId="0B02EE4B" w:rsidR="00040B5F" w:rsidRDefault="00040B5F" w:rsidP="00040B5F">
      <w:pPr>
        <w:rPr>
          <w:sz w:val="21"/>
          <w:szCs w:val="21"/>
        </w:rPr>
      </w:pPr>
      <w:r w:rsidRPr="007561A0">
        <w:rPr>
          <w:sz w:val="21"/>
          <w:szCs w:val="21"/>
        </w:rPr>
        <w:t xml:space="preserve">The key objective of performance meetings is to proactively </w:t>
      </w:r>
      <w:r w:rsidR="001426CC" w:rsidRPr="4724096C">
        <w:rPr>
          <w:sz w:val="21"/>
          <w:szCs w:val="21"/>
        </w:rPr>
        <w:t>monitor</w:t>
      </w:r>
      <w:r w:rsidR="177D9BD0" w:rsidRPr="4724096C">
        <w:rPr>
          <w:sz w:val="21"/>
          <w:szCs w:val="21"/>
        </w:rPr>
        <w:t xml:space="preserve"> health </w:t>
      </w:r>
      <w:r w:rsidR="177D9BD0" w:rsidRPr="775CF65B">
        <w:rPr>
          <w:sz w:val="21"/>
          <w:szCs w:val="21"/>
        </w:rPr>
        <w:t>service performance and</w:t>
      </w:r>
      <w:r w:rsidR="79D5AAB1" w:rsidRPr="775CF65B">
        <w:rPr>
          <w:sz w:val="21"/>
          <w:szCs w:val="21"/>
        </w:rPr>
        <w:t xml:space="preserve"> </w:t>
      </w:r>
      <w:r w:rsidR="001426CC" w:rsidRPr="775CF65B">
        <w:rPr>
          <w:sz w:val="21"/>
          <w:szCs w:val="21"/>
        </w:rPr>
        <w:t>address</w:t>
      </w:r>
      <w:r w:rsidRPr="007561A0">
        <w:rPr>
          <w:sz w:val="21"/>
          <w:szCs w:val="21"/>
        </w:rPr>
        <w:t xml:space="preserve"> performance risks, ensuring potential issues are identified and mitigated early. These meetings aim to establish clear ownership of performance outcomes</w:t>
      </w:r>
      <w:r w:rsidR="00C43FC0">
        <w:rPr>
          <w:sz w:val="21"/>
          <w:szCs w:val="21"/>
        </w:rPr>
        <w:t xml:space="preserve">, </w:t>
      </w:r>
      <w:r w:rsidRPr="007561A0">
        <w:rPr>
          <w:sz w:val="21"/>
          <w:szCs w:val="21"/>
        </w:rPr>
        <w:t>improvement plans</w:t>
      </w:r>
      <w:r w:rsidR="7756F383" w:rsidRPr="775CF65B">
        <w:rPr>
          <w:sz w:val="21"/>
          <w:szCs w:val="21"/>
        </w:rPr>
        <w:t xml:space="preserve"> and</w:t>
      </w:r>
      <w:r w:rsidRPr="007561A0">
        <w:rPr>
          <w:sz w:val="21"/>
          <w:szCs w:val="21"/>
        </w:rPr>
        <w:t xml:space="preserve"> deliver clear, measurable actions with defined timelines and responsibilities. </w:t>
      </w:r>
    </w:p>
    <w:p w14:paraId="70628CBF" w14:textId="77777777" w:rsidR="00094D1A" w:rsidRPr="00094D1A" w:rsidRDefault="00094D1A" w:rsidP="00094D1A">
      <w:pPr>
        <w:pStyle w:val="Heading4"/>
        <w:rPr>
          <w:color w:val="auto"/>
        </w:rPr>
      </w:pPr>
      <w:r w:rsidRPr="00094D1A">
        <w:rPr>
          <w:color w:val="auto"/>
        </w:rPr>
        <w:t>Effective engagement</w:t>
      </w:r>
    </w:p>
    <w:p w14:paraId="0FBE6650" w14:textId="4328E5BB" w:rsidR="00094D1A" w:rsidRPr="00094D1A" w:rsidRDefault="00094D1A" w:rsidP="00094D1A">
      <w:pPr>
        <w:rPr>
          <w:sz w:val="21"/>
          <w:szCs w:val="21"/>
        </w:rPr>
      </w:pPr>
      <w:r w:rsidRPr="00094D1A">
        <w:rPr>
          <w:sz w:val="21"/>
          <w:szCs w:val="21"/>
        </w:rPr>
        <w:t xml:space="preserve">Under this Framework, health services will continue to have performance </w:t>
      </w:r>
      <w:r w:rsidR="0000229E" w:rsidRPr="00094D1A">
        <w:rPr>
          <w:sz w:val="21"/>
          <w:szCs w:val="21"/>
        </w:rPr>
        <w:t>meetings</w:t>
      </w:r>
      <w:r w:rsidR="0000229E">
        <w:rPr>
          <w:sz w:val="21"/>
          <w:szCs w:val="21"/>
        </w:rPr>
        <w:t xml:space="preserve"> (</w:t>
      </w:r>
      <w:r w:rsidR="004A1154">
        <w:rPr>
          <w:sz w:val="21"/>
          <w:szCs w:val="21"/>
        </w:rPr>
        <w:t>as required)</w:t>
      </w:r>
      <w:r w:rsidRPr="00094D1A">
        <w:rPr>
          <w:sz w:val="21"/>
          <w:szCs w:val="21"/>
        </w:rPr>
        <w:t xml:space="preserve">, with a higher frequency when in </w:t>
      </w:r>
      <w:r w:rsidR="003C10C8">
        <w:rPr>
          <w:sz w:val="21"/>
          <w:szCs w:val="21"/>
        </w:rPr>
        <w:t xml:space="preserve">escalated </w:t>
      </w:r>
      <w:r w:rsidRPr="00094D1A">
        <w:rPr>
          <w:sz w:val="21"/>
          <w:szCs w:val="21"/>
        </w:rPr>
        <w:t xml:space="preserve">performance tiers (see </w:t>
      </w:r>
      <w:r w:rsidR="00CB3B51" w:rsidRPr="005E15C4">
        <w:rPr>
          <w:b/>
          <w:bCs/>
          <w:sz w:val="21"/>
          <w:szCs w:val="21"/>
        </w:rPr>
        <w:t xml:space="preserve">Table 1 </w:t>
      </w:r>
      <w:r w:rsidR="00CB3B51">
        <w:rPr>
          <w:sz w:val="21"/>
          <w:szCs w:val="21"/>
        </w:rPr>
        <w:t>below</w:t>
      </w:r>
      <w:r w:rsidRPr="00094D1A">
        <w:rPr>
          <w:sz w:val="21"/>
          <w:szCs w:val="21"/>
        </w:rPr>
        <w:t xml:space="preserve">). </w:t>
      </w:r>
    </w:p>
    <w:p w14:paraId="1667C655" w14:textId="77777777" w:rsidR="00094D1A" w:rsidRPr="00094D1A" w:rsidRDefault="00094D1A" w:rsidP="00094D1A">
      <w:pPr>
        <w:rPr>
          <w:sz w:val="21"/>
          <w:szCs w:val="21"/>
        </w:rPr>
      </w:pPr>
      <w:r w:rsidRPr="00094D1A">
        <w:rPr>
          <w:sz w:val="21"/>
          <w:szCs w:val="21"/>
        </w:rPr>
        <w:t xml:space="preserve">To maximise the impact of all formal performance meetings, agendas will be centred around an overarching view of the highest priority strategic issues for the health service’s performance. Key performance measures will be discussed by exception, primarily when there is meaningful deterioration or sustained concerns about levels of performance and improvement. </w:t>
      </w:r>
    </w:p>
    <w:p w14:paraId="2630785B" w14:textId="1CF11220" w:rsidR="00094D1A" w:rsidRPr="00094D1A" w:rsidRDefault="00094D1A" w:rsidP="00094D1A">
      <w:pPr>
        <w:rPr>
          <w:sz w:val="21"/>
          <w:szCs w:val="21"/>
        </w:rPr>
      </w:pPr>
      <w:r w:rsidRPr="00094D1A">
        <w:rPr>
          <w:sz w:val="21"/>
          <w:szCs w:val="21"/>
        </w:rPr>
        <w:t>There will be consistent participation at meetings of all relevant departmental representatives, with attendance based on seniority to authorise actions arising from discussion. Performance issues will generally not be raised for the first time during these meetings: instead, the department will engage with health services on performance risks, issues and improvement priorities in between meetings as relevant, so that the formal meetings focus on sign</w:t>
      </w:r>
      <w:r w:rsidR="0000229E">
        <w:rPr>
          <w:sz w:val="21"/>
          <w:szCs w:val="21"/>
        </w:rPr>
        <w:t>ing</w:t>
      </w:r>
      <w:r w:rsidRPr="00094D1A">
        <w:rPr>
          <w:sz w:val="21"/>
          <w:szCs w:val="21"/>
        </w:rPr>
        <w:t xml:space="preserve"> off of agreed actions. </w:t>
      </w:r>
    </w:p>
    <w:p w14:paraId="0B3DF4D5" w14:textId="7A4385EB" w:rsidR="00094D1A" w:rsidRPr="007561A0" w:rsidRDefault="00094D1A" w:rsidP="00094D1A">
      <w:pPr>
        <w:rPr>
          <w:sz w:val="21"/>
          <w:szCs w:val="21"/>
        </w:rPr>
      </w:pPr>
      <w:r w:rsidRPr="00094D1A">
        <w:rPr>
          <w:sz w:val="21"/>
          <w:szCs w:val="21"/>
        </w:rPr>
        <w:t xml:space="preserve">To support this work, departmental roles and responsibilities for performance have been clarified in Section </w:t>
      </w:r>
      <w:r w:rsidR="00A70C26">
        <w:rPr>
          <w:sz w:val="21"/>
          <w:szCs w:val="21"/>
        </w:rPr>
        <w:t>6</w:t>
      </w:r>
      <w:r w:rsidR="00A70C26" w:rsidRPr="00094D1A">
        <w:rPr>
          <w:sz w:val="21"/>
          <w:szCs w:val="21"/>
        </w:rPr>
        <w:t xml:space="preserve"> and</w:t>
      </w:r>
      <w:r w:rsidRPr="00094D1A">
        <w:rPr>
          <w:sz w:val="21"/>
          <w:szCs w:val="21"/>
        </w:rPr>
        <w:t xml:space="preserve"> reflect the distributed but coordinated responsibilities for performance under the department’s new structure.</w:t>
      </w:r>
    </w:p>
    <w:p w14:paraId="43D4A518" w14:textId="77777777" w:rsidR="00040B5F" w:rsidRPr="000D3165" w:rsidRDefault="00040B5F" w:rsidP="00040B5F">
      <w:pPr>
        <w:pStyle w:val="Heading2"/>
        <w:ind w:left="709"/>
        <w:rPr>
          <w:color w:val="3A3A3A" w:themeColor="background2" w:themeShade="40"/>
        </w:rPr>
      </w:pPr>
      <w:bookmarkStart w:id="102" w:name="_Toc211343290"/>
      <w:r w:rsidRPr="000D3165">
        <w:rPr>
          <w:color w:val="3A3A3A" w:themeColor="background2" w:themeShade="40"/>
        </w:rPr>
        <w:t>Tailored Performance Meetings for Effective Oversight</w:t>
      </w:r>
      <w:bookmarkEnd w:id="102"/>
    </w:p>
    <w:p w14:paraId="4FCE7371" w14:textId="3190B73D" w:rsidR="00040B5F" w:rsidRPr="000D3165" w:rsidRDefault="00040B5F" w:rsidP="00040B5F">
      <w:pPr>
        <w:pStyle w:val="Body"/>
      </w:pPr>
      <w:r w:rsidRPr="000D3165">
        <w:t xml:space="preserve">The department will tailor the frequency and focus of performance meetings based on each health service’s performance tier to ensure effective oversight and support. Health services with no immediate concerns may be exempt from performance meetings. </w:t>
      </w:r>
      <w:r w:rsidR="00E0457C">
        <w:t>Performance</w:t>
      </w:r>
      <w:r w:rsidRPr="000D3165">
        <w:t xml:space="preserve"> meetings may be replaced with alternative engagement mechanisms, such as site visits. </w:t>
      </w:r>
    </w:p>
    <w:p w14:paraId="3E2F9B34" w14:textId="255C4889" w:rsidR="00040B5F" w:rsidRPr="008C4AE2" w:rsidRDefault="00040B5F" w:rsidP="00040B5F">
      <w:pPr>
        <w:pStyle w:val="Body"/>
        <w:rPr>
          <w:b/>
          <w:bCs/>
        </w:rPr>
      </w:pPr>
      <w:r w:rsidRPr="000D3165">
        <w:t xml:space="preserve">For health services in </w:t>
      </w:r>
      <w:r w:rsidR="00A80334" w:rsidRPr="000D3165">
        <w:t>elevated</w:t>
      </w:r>
      <w:r w:rsidRPr="000D3165">
        <w:t xml:space="preserve"> performance tiers, such as those on Mandated Intensive Support or Performance Support, the department will establish more frequent engagement to address </w:t>
      </w:r>
      <w:r w:rsidR="00A80334" w:rsidRPr="000D3165">
        <w:t xml:space="preserve">identified </w:t>
      </w:r>
      <w:r w:rsidRPr="000D3165">
        <w:t>performance risks. This may include more frequent meetings</w:t>
      </w:r>
      <w:r w:rsidR="00CE79EA" w:rsidRPr="000D3165">
        <w:t xml:space="preserve">, </w:t>
      </w:r>
      <w:r w:rsidRPr="000D3165">
        <w:t>potentially monthly or every six weeks</w:t>
      </w:r>
      <w:r w:rsidR="00620FD4" w:rsidRPr="000D3165">
        <w:t xml:space="preserve"> </w:t>
      </w:r>
      <w:r w:rsidRPr="000D3165">
        <w:t>with relevant areas in the department or the</w:t>
      </w:r>
      <w:r>
        <w:t xml:space="preserve"> performance</w:t>
      </w:r>
      <w:r w:rsidR="00351F2D">
        <w:t xml:space="preserve"> oversight</w:t>
      </w:r>
      <w:r>
        <w:t xml:space="preserve"> team to closely monitor performance and track progress against </w:t>
      </w:r>
      <w:r w:rsidR="00BE66AD">
        <w:t xml:space="preserve">agreed </w:t>
      </w:r>
      <w:r>
        <w:t xml:space="preserve">action plans. </w:t>
      </w:r>
    </w:p>
    <w:p w14:paraId="3738FED2" w14:textId="77777777" w:rsidR="00A70C26" w:rsidRDefault="00A70C26" w:rsidP="00040B5F">
      <w:pPr>
        <w:pStyle w:val="Body"/>
        <w:rPr>
          <w:b/>
          <w:bCs/>
        </w:rPr>
      </w:pPr>
    </w:p>
    <w:p w14:paraId="0B917CA0" w14:textId="77777777" w:rsidR="006D4A99" w:rsidRDefault="006D4A99" w:rsidP="00040B5F">
      <w:pPr>
        <w:pStyle w:val="Body"/>
        <w:rPr>
          <w:b/>
          <w:bCs/>
        </w:rPr>
      </w:pPr>
    </w:p>
    <w:p w14:paraId="6DF057D3" w14:textId="77777777" w:rsidR="006D4A99" w:rsidRDefault="006D4A99" w:rsidP="00040B5F">
      <w:pPr>
        <w:pStyle w:val="Body"/>
        <w:rPr>
          <w:b/>
          <w:bCs/>
        </w:rPr>
      </w:pPr>
    </w:p>
    <w:p w14:paraId="454D724D" w14:textId="77777777" w:rsidR="006D4A99" w:rsidRDefault="006D4A99" w:rsidP="00040B5F">
      <w:pPr>
        <w:pStyle w:val="Body"/>
        <w:rPr>
          <w:b/>
          <w:bCs/>
        </w:rPr>
      </w:pPr>
    </w:p>
    <w:p w14:paraId="38700231" w14:textId="77777777" w:rsidR="006D4A99" w:rsidRDefault="006D4A99" w:rsidP="00040B5F">
      <w:pPr>
        <w:pStyle w:val="Body"/>
        <w:rPr>
          <w:b/>
          <w:bCs/>
        </w:rPr>
      </w:pPr>
    </w:p>
    <w:p w14:paraId="4361FBF9" w14:textId="0B7589ED" w:rsidR="00040B5F" w:rsidRPr="008C4AE2" w:rsidRDefault="00040B5F" w:rsidP="00040B5F">
      <w:pPr>
        <w:pStyle w:val="Body"/>
        <w:rPr>
          <w:b/>
          <w:bCs/>
        </w:rPr>
      </w:pPr>
      <w:r w:rsidRPr="008C4AE2">
        <w:rPr>
          <w:b/>
          <w:bCs/>
        </w:rPr>
        <w:lastRenderedPageBreak/>
        <w:t xml:space="preserve">Table 1: Performance Tier - </w:t>
      </w:r>
      <w:r w:rsidRPr="00D57475">
        <w:rPr>
          <w:b/>
          <w:bCs/>
        </w:rPr>
        <w:t>Meeting Frequency and Structure</w:t>
      </w:r>
    </w:p>
    <w:tbl>
      <w:tblPr>
        <w:tblW w:w="9923" w:type="dxa"/>
        <w:tblCellMar>
          <w:left w:w="0" w:type="dxa"/>
          <w:right w:w="0" w:type="dxa"/>
        </w:tblCellMar>
        <w:tblLook w:val="0420" w:firstRow="1" w:lastRow="0" w:firstColumn="0" w:lastColumn="0" w:noHBand="0" w:noVBand="1"/>
      </w:tblPr>
      <w:tblGrid>
        <w:gridCol w:w="2127"/>
        <w:gridCol w:w="3969"/>
        <w:gridCol w:w="3827"/>
      </w:tblGrid>
      <w:tr w:rsidR="00040B5F" w:rsidRPr="00994F5F" w14:paraId="6E186C93" w14:textId="77777777" w:rsidTr="00076A38">
        <w:trPr>
          <w:cantSplit/>
          <w:trHeight w:val="918"/>
          <w:tblHeader/>
        </w:trPr>
        <w:tc>
          <w:tcPr>
            <w:tcW w:w="2127" w:type="dxa"/>
            <w:tcBorders>
              <w:top w:val="single" w:sz="12" w:space="0" w:color="0D5190"/>
              <w:left w:val="nil"/>
              <w:bottom w:val="single" w:sz="24" w:space="0" w:color="FFFFFF"/>
              <w:right w:val="single" w:sz="8" w:space="0" w:color="FFFFFF"/>
            </w:tcBorders>
            <w:shd w:val="clear" w:color="auto" w:fill="0D5190"/>
            <w:tcMar>
              <w:top w:w="61" w:type="dxa"/>
              <w:left w:w="123" w:type="dxa"/>
              <w:bottom w:w="61" w:type="dxa"/>
              <w:right w:w="123" w:type="dxa"/>
            </w:tcMar>
            <w:vAlign w:val="center"/>
            <w:hideMark/>
          </w:tcPr>
          <w:p w14:paraId="210C5062" w14:textId="77777777" w:rsidR="00040B5F" w:rsidRPr="000E1A92" w:rsidRDefault="00040B5F" w:rsidP="00666180">
            <w:pPr>
              <w:pStyle w:val="Body"/>
              <w:rPr>
                <w:color w:val="FFFFFF" w:themeColor="background1"/>
                <w:sz w:val="18"/>
                <w:szCs w:val="18"/>
              </w:rPr>
            </w:pPr>
            <w:r w:rsidRPr="000E1A92">
              <w:rPr>
                <w:b/>
                <w:bCs/>
                <w:color w:val="FFFFFF" w:themeColor="background1"/>
                <w:sz w:val="18"/>
                <w:szCs w:val="18"/>
                <w:lang w:val="en-US"/>
              </w:rPr>
              <w:t xml:space="preserve">Performance Tier </w:t>
            </w:r>
          </w:p>
        </w:tc>
        <w:tc>
          <w:tcPr>
            <w:tcW w:w="3969" w:type="dxa"/>
            <w:tcBorders>
              <w:top w:val="single" w:sz="12" w:space="0" w:color="0D5190"/>
              <w:left w:val="single" w:sz="8" w:space="0" w:color="FFFFFF"/>
              <w:bottom w:val="single" w:sz="24" w:space="0" w:color="FFFFFF"/>
              <w:right w:val="single" w:sz="8" w:space="0" w:color="FFFFFF"/>
            </w:tcBorders>
            <w:shd w:val="clear" w:color="auto" w:fill="0D5190"/>
            <w:tcMar>
              <w:top w:w="61" w:type="dxa"/>
              <w:left w:w="123" w:type="dxa"/>
              <w:bottom w:w="61" w:type="dxa"/>
              <w:right w:w="123" w:type="dxa"/>
            </w:tcMar>
            <w:vAlign w:val="center"/>
            <w:hideMark/>
          </w:tcPr>
          <w:p w14:paraId="707479AB" w14:textId="77777777" w:rsidR="00040B5F" w:rsidRPr="000E1A92" w:rsidRDefault="00040B5F" w:rsidP="00666180">
            <w:pPr>
              <w:pStyle w:val="Body"/>
              <w:rPr>
                <w:color w:val="FFFFFF" w:themeColor="background1"/>
                <w:sz w:val="18"/>
                <w:szCs w:val="18"/>
              </w:rPr>
            </w:pPr>
            <w:r w:rsidRPr="000E1A92">
              <w:rPr>
                <w:b/>
                <w:bCs/>
                <w:color w:val="FFFFFF" w:themeColor="background1"/>
                <w:sz w:val="18"/>
                <w:szCs w:val="18"/>
                <w:lang w:val="en-US"/>
              </w:rPr>
              <w:t xml:space="preserve">Meeting Frequency </w:t>
            </w:r>
          </w:p>
        </w:tc>
        <w:tc>
          <w:tcPr>
            <w:tcW w:w="3827" w:type="dxa"/>
            <w:tcBorders>
              <w:top w:val="single" w:sz="12" w:space="0" w:color="0D5190"/>
              <w:left w:val="single" w:sz="8" w:space="0" w:color="FFFFFF"/>
              <w:bottom w:val="single" w:sz="24" w:space="0" w:color="FFFFFF"/>
              <w:right w:val="single" w:sz="8" w:space="0" w:color="FFFFFF"/>
            </w:tcBorders>
            <w:shd w:val="clear" w:color="auto" w:fill="0D5190"/>
            <w:tcMar>
              <w:top w:w="61" w:type="dxa"/>
              <w:left w:w="123" w:type="dxa"/>
              <w:bottom w:w="61" w:type="dxa"/>
              <w:right w:w="123" w:type="dxa"/>
            </w:tcMar>
            <w:vAlign w:val="center"/>
            <w:hideMark/>
          </w:tcPr>
          <w:p w14:paraId="3F6C8C8F" w14:textId="77777777" w:rsidR="00040B5F" w:rsidRPr="000E1A92" w:rsidRDefault="00040B5F" w:rsidP="00666180">
            <w:pPr>
              <w:pStyle w:val="Body"/>
              <w:rPr>
                <w:color w:val="FFFFFF" w:themeColor="background1"/>
                <w:sz w:val="18"/>
                <w:szCs w:val="18"/>
              </w:rPr>
            </w:pPr>
            <w:r w:rsidRPr="000E1A92">
              <w:rPr>
                <w:b/>
                <w:bCs/>
                <w:color w:val="FFFFFF" w:themeColor="background1"/>
                <w:sz w:val="18"/>
                <w:szCs w:val="18"/>
                <w:lang w:val="en-US"/>
              </w:rPr>
              <w:t xml:space="preserve">Agenda </w:t>
            </w:r>
          </w:p>
          <w:p w14:paraId="4259121B" w14:textId="7FC23115" w:rsidR="00040B5F" w:rsidRPr="000E1A92" w:rsidRDefault="00040B5F" w:rsidP="00666180">
            <w:pPr>
              <w:pStyle w:val="Body"/>
              <w:rPr>
                <w:color w:val="FFFFFF" w:themeColor="background1"/>
                <w:sz w:val="18"/>
                <w:szCs w:val="18"/>
              </w:rPr>
            </w:pPr>
            <w:r w:rsidRPr="000E1A92">
              <w:rPr>
                <w:color w:val="FFFFFF" w:themeColor="background1"/>
                <w:sz w:val="18"/>
                <w:szCs w:val="18"/>
              </w:rPr>
              <w:t xml:space="preserve">Agendas are shaped around core </w:t>
            </w:r>
            <w:r w:rsidR="00EE6ABE" w:rsidRPr="00EE6ABE">
              <w:rPr>
                <w:color w:val="FFFFFF" w:themeColor="background1"/>
                <w:sz w:val="18"/>
                <w:szCs w:val="18"/>
              </w:rPr>
              <w:t>government</w:t>
            </w:r>
            <w:r w:rsidRPr="00EE6ABE">
              <w:rPr>
                <w:color w:val="FFFFFF" w:themeColor="background1"/>
                <w:sz w:val="18"/>
                <w:szCs w:val="18"/>
              </w:rPr>
              <w:t xml:space="preserve"> priorities</w:t>
            </w:r>
            <w:r w:rsidRPr="000E1A92">
              <w:rPr>
                <w:color w:val="FFFFFF" w:themeColor="background1"/>
                <w:sz w:val="18"/>
                <w:szCs w:val="18"/>
              </w:rPr>
              <w:t xml:space="preserve"> </w:t>
            </w:r>
          </w:p>
        </w:tc>
      </w:tr>
      <w:tr w:rsidR="00040B5F" w:rsidRPr="00994F5F" w14:paraId="0D772AFD" w14:textId="77777777" w:rsidTr="00076A38">
        <w:trPr>
          <w:cantSplit/>
          <w:trHeight w:val="492"/>
          <w:tblHeader/>
        </w:trPr>
        <w:tc>
          <w:tcPr>
            <w:tcW w:w="2127" w:type="dxa"/>
            <w:tcBorders>
              <w:top w:val="single" w:sz="24" w:space="0" w:color="FFFFFF"/>
              <w:left w:val="single" w:sz="8" w:space="0" w:color="FFFFFF"/>
              <w:bottom w:val="single" w:sz="8" w:space="0" w:color="FFFFFF"/>
              <w:right w:val="single" w:sz="8" w:space="0" w:color="FFFFFF"/>
            </w:tcBorders>
            <w:shd w:val="clear" w:color="auto" w:fill="DEEBF7"/>
            <w:tcMar>
              <w:top w:w="61" w:type="dxa"/>
              <w:left w:w="123" w:type="dxa"/>
              <w:bottom w:w="61" w:type="dxa"/>
              <w:right w:w="123" w:type="dxa"/>
            </w:tcMar>
            <w:vAlign w:val="center"/>
            <w:hideMark/>
          </w:tcPr>
          <w:p w14:paraId="3A0A2A48" w14:textId="77777777" w:rsidR="00040B5F" w:rsidRPr="000E1A92" w:rsidRDefault="00040B5F" w:rsidP="00666180">
            <w:pPr>
              <w:pStyle w:val="Body"/>
              <w:rPr>
                <w:sz w:val="18"/>
                <w:szCs w:val="18"/>
              </w:rPr>
            </w:pPr>
            <w:r w:rsidRPr="000E1A92">
              <w:rPr>
                <w:b/>
                <w:bCs/>
                <w:sz w:val="18"/>
                <w:szCs w:val="18"/>
              </w:rPr>
              <w:t xml:space="preserve">Enhanced Autonomy </w:t>
            </w:r>
          </w:p>
        </w:tc>
        <w:tc>
          <w:tcPr>
            <w:tcW w:w="3969" w:type="dxa"/>
            <w:vMerge w:val="restart"/>
            <w:tcBorders>
              <w:top w:val="single" w:sz="24" w:space="0" w:color="FFFFFF"/>
              <w:left w:val="single" w:sz="8" w:space="0" w:color="FFFFFF"/>
              <w:bottom w:val="single" w:sz="8" w:space="0" w:color="FFFFFF"/>
              <w:right w:val="single" w:sz="8" w:space="0" w:color="FFFFFF"/>
            </w:tcBorders>
            <w:shd w:val="clear" w:color="auto" w:fill="DEEBF7"/>
            <w:tcMar>
              <w:top w:w="61" w:type="dxa"/>
              <w:left w:w="123" w:type="dxa"/>
              <w:bottom w:w="61" w:type="dxa"/>
              <w:right w:w="123" w:type="dxa"/>
            </w:tcMar>
            <w:vAlign w:val="center"/>
            <w:hideMark/>
          </w:tcPr>
          <w:p w14:paraId="3304CEC5" w14:textId="4D680D98" w:rsidR="00040B5F" w:rsidRPr="000E1A92" w:rsidRDefault="00D45BE7" w:rsidP="00666180">
            <w:pPr>
              <w:pStyle w:val="Body"/>
              <w:rPr>
                <w:sz w:val="18"/>
                <w:szCs w:val="18"/>
              </w:rPr>
            </w:pPr>
            <w:r>
              <w:rPr>
                <w:b/>
                <w:bCs/>
                <w:sz w:val="18"/>
                <w:szCs w:val="18"/>
              </w:rPr>
              <w:t xml:space="preserve">May be exempt from quarterly performance meetings </w:t>
            </w:r>
            <w:r w:rsidR="00040B5F" w:rsidRPr="000E1A92">
              <w:rPr>
                <w:sz w:val="18"/>
                <w:szCs w:val="18"/>
              </w:rPr>
              <w:t>), with the option to replace quarterly meetings with alternative engagements (e.g., site visits</w:t>
            </w:r>
            <w:r w:rsidR="00E95803">
              <w:rPr>
                <w:sz w:val="18"/>
                <w:szCs w:val="18"/>
              </w:rPr>
              <w:t xml:space="preserve"> or further engagement on innovation/best practice</w:t>
            </w:r>
            <w:r w:rsidR="00040B5F" w:rsidRPr="000E1A92">
              <w:rPr>
                <w:sz w:val="18"/>
                <w:szCs w:val="18"/>
              </w:rPr>
              <w:t>) for services with no immediate concerns.</w:t>
            </w:r>
          </w:p>
        </w:tc>
        <w:tc>
          <w:tcPr>
            <w:tcW w:w="3827" w:type="dxa"/>
            <w:tcBorders>
              <w:top w:val="single" w:sz="24" w:space="0" w:color="FFFFFF"/>
              <w:left w:val="single" w:sz="8" w:space="0" w:color="FFFFFF"/>
              <w:bottom w:val="single" w:sz="8" w:space="0" w:color="FFFFFF"/>
              <w:right w:val="single" w:sz="8" w:space="0" w:color="FFFFFF"/>
            </w:tcBorders>
            <w:shd w:val="clear" w:color="auto" w:fill="DEEBF7"/>
            <w:tcMar>
              <w:top w:w="61" w:type="dxa"/>
              <w:left w:w="123" w:type="dxa"/>
              <w:bottom w:w="61" w:type="dxa"/>
              <w:right w:w="123" w:type="dxa"/>
            </w:tcMar>
            <w:vAlign w:val="center"/>
            <w:hideMark/>
          </w:tcPr>
          <w:p w14:paraId="5A7D2166" w14:textId="56ACE513" w:rsidR="00040B5F" w:rsidRPr="000E1A92" w:rsidRDefault="00040B5F" w:rsidP="00666180">
            <w:pPr>
              <w:pStyle w:val="Body"/>
              <w:rPr>
                <w:sz w:val="18"/>
                <w:szCs w:val="18"/>
              </w:rPr>
            </w:pPr>
            <w:r w:rsidRPr="000E1A92">
              <w:rPr>
                <w:sz w:val="18"/>
                <w:szCs w:val="18"/>
              </w:rPr>
              <w:t xml:space="preserve">Focus on </w:t>
            </w:r>
            <w:r w:rsidR="00886E16">
              <w:rPr>
                <w:sz w:val="18"/>
                <w:szCs w:val="18"/>
              </w:rPr>
              <w:t xml:space="preserve">innovation, </w:t>
            </w:r>
            <w:r w:rsidRPr="000E1A92">
              <w:rPr>
                <w:sz w:val="18"/>
                <w:szCs w:val="18"/>
              </w:rPr>
              <w:t>strategic progress and emerging risks that could hinder higher performance.</w:t>
            </w:r>
          </w:p>
        </w:tc>
      </w:tr>
      <w:tr w:rsidR="00040B5F" w:rsidRPr="00994F5F" w14:paraId="4886FE44" w14:textId="77777777" w:rsidTr="00076A38">
        <w:trPr>
          <w:cantSplit/>
          <w:trHeight w:val="1674"/>
          <w:tblHeader/>
        </w:trPr>
        <w:tc>
          <w:tcPr>
            <w:tcW w:w="2127" w:type="dxa"/>
            <w:tcBorders>
              <w:top w:val="single" w:sz="8" w:space="0" w:color="FFFFFF"/>
              <w:left w:val="nil"/>
              <w:bottom w:val="single" w:sz="8" w:space="0" w:color="FFFFFF"/>
              <w:right w:val="single" w:sz="8" w:space="0" w:color="FFFFFF"/>
            </w:tcBorders>
            <w:shd w:val="clear" w:color="auto" w:fill="BDD7EE"/>
            <w:tcMar>
              <w:top w:w="61" w:type="dxa"/>
              <w:left w:w="123" w:type="dxa"/>
              <w:bottom w:w="61" w:type="dxa"/>
              <w:right w:w="123" w:type="dxa"/>
            </w:tcMar>
            <w:vAlign w:val="center"/>
            <w:hideMark/>
          </w:tcPr>
          <w:p w14:paraId="2FB8D2B9" w14:textId="77777777" w:rsidR="00040B5F" w:rsidRPr="000E1A92" w:rsidRDefault="00040B5F" w:rsidP="00666180">
            <w:pPr>
              <w:pStyle w:val="Body"/>
              <w:rPr>
                <w:sz w:val="18"/>
                <w:szCs w:val="18"/>
              </w:rPr>
            </w:pPr>
            <w:r w:rsidRPr="000E1A92">
              <w:rPr>
                <w:b/>
                <w:bCs/>
                <w:sz w:val="18"/>
                <w:szCs w:val="18"/>
              </w:rPr>
              <w:t>Standard Oversight</w:t>
            </w:r>
          </w:p>
        </w:tc>
        <w:tc>
          <w:tcPr>
            <w:tcW w:w="3969" w:type="dxa"/>
            <w:vMerge/>
            <w:tcBorders>
              <w:top w:val="single" w:sz="24" w:space="0" w:color="FFFFFF"/>
              <w:left w:val="single" w:sz="8" w:space="0" w:color="FFFFFF"/>
              <w:bottom w:val="single" w:sz="8" w:space="0" w:color="FFFFFF"/>
              <w:right w:val="single" w:sz="8" w:space="0" w:color="FFFFFF"/>
            </w:tcBorders>
            <w:vAlign w:val="center"/>
            <w:hideMark/>
          </w:tcPr>
          <w:p w14:paraId="6078E07E" w14:textId="77777777" w:rsidR="00040B5F" w:rsidRPr="000E1A92" w:rsidRDefault="00040B5F" w:rsidP="00666180">
            <w:pPr>
              <w:pStyle w:val="Body"/>
              <w:rPr>
                <w:sz w:val="18"/>
                <w:szCs w:val="18"/>
              </w:rPr>
            </w:pPr>
          </w:p>
        </w:tc>
        <w:tc>
          <w:tcPr>
            <w:tcW w:w="3827" w:type="dxa"/>
            <w:tcBorders>
              <w:top w:val="single" w:sz="8" w:space="0" w:color="FFFFFF"/>
              <w:left w:val="single" w:sz="8" w:space="0" w:color="FFFFFF"/>
              <w:bottom w:val="single" w:sz="8" w:space="0" w:color="FFFFFF"/>
              <w:right w:val="single" w:sz="8" w:space="0" w:color="FFFFFF"/>
            </w:tcBorders>
            <w:shd w:val="clear" w:color="auto" w:fill="BDD7EE"/>
            <w:tcMar>
              <w:top w:w="61" w:type="dxa"/>
              <w:left w:w="123" w:type="dxa"/>
              <w:bottom w:w="61" w:type="dxa"/>
              <w:right w:w="123" w:type="dxa"/>
            </w:tcMar>
            <w:vAlign w:val="center"/>
            <w:hideMark/>
          </w:tcPr>
          <w:p w14:paraId="18492116" w14:textId="6AB8AA74" w:rsidR="00040B5F" w:rsidRPr="000E1A92" w:rsidRDefault="00040B5F" w:rsidP="00666180">
            <w:pPr>
              <w:pStyle w:val="Body"/>
              <w:rPr>
                <w:sz w:val="18"/>
                <w:szCs w:val="18"/>
              </w:rPr>
            </w:pPr>
            <w:r w:rsidRPr="000E1A92">
              <w:rPr>
                <w:sz w:val="18"/>
                <w:szCs w:val="18"/>
              </w:rPr>
              <w:t xml:space="preserve">Focus on sustaining performance and identifying potential barriers to enable the health service to deliver against core </w:t>
            </w:r>
            <w:r w:rsidR="00EE6ABE" w:rsidRPr="00EE6ABE">
              <w:rPr>
                <w:sz w:val="18"/>
                <w:szCs w:val="18"/>
              </w:rPr>
              <w:t>government</w:t>
            </w:r>
            <w:r w:rsidRPr="00EE6ABE">
              <w:rPr>
                <w:sz w:val="18"/>
                <w:szCs w:val="18"/>
              </w:rPr>
              <w:t xml:space="preserve"> priorities.</w:t>
            </w:r>
            <w:r w:rsidRPr="000E1A92">
              <w:rPr>
                <w:sz w:val="18"/>
                <w:szCs w:val="18"/>
              </w:rPr>
              <w:t xml:space="preserve"> </w:t>
            </w:r>
          </w:p>
        </w:tc>
      </w:tr>
      <w:tr w:rsidR="00040B5F" w:rsidRPr="00994F5F" w14:paraId="5033C578" w14:textId="77777777" w:rsidTr="00076A38">
        <w:trPr>
          <w:cantSplit/>
          <w:trHeight w:val="1994"/>
          <w:tblHeader/>
        </w:trPr>
        <w:tc>
          <w:tcPr>
            <w:tcW w:w="2127" w:type="dxa"/>
            <w:tcBorders>
              <w:top w:val="single" w:sz="8" w:space="0" w:color="FFFFFF"/>
              <w:left w:val="nil"/>
              <w:bottom w:val="single" w:sz="8" w:space="0" w:color="FFFFFF"/>
              <w:right w:val="single" w:sz="8" w:space="0" w:color="FFFFFF"/>
            </w:tcBorders>
            <w:shd w:val="clear" w:color="auto" w:fill="9DC3E6"/>
            <w:tcMar>
              <w:top w:w="72" w:type="dxa"/>
              <w:left w:w="144" w:type="dxa"/>
              <w:bottom w:w="72" w:type="dxa"/>
              <w:right w:w="144" w:type="dxa"/>
            </w:tcMar>
            <w:vAlign w:val="center"/>
            <w:hideMark/>
          </w:tcPr>
          <w:p w14:paraId="7DD55629" w14:textId="77777777" w:rsidR="00040B5F" w:rsidRPr="000E1A92" w:rsidRDefault="00040B5F" w:rsidP="00666180">
            <w:pPr>
              <w:pStyle w:val="Body"/>
              <w:rPr>
                <w:sz w:val="18"/>
                <w:szCs w:val="18"/>
              </w:rPr>
            </w:pPr>
            <w:r w:rsidRPr="000E1A92">
              <w:rPr>
                <w:b/>
                <w:bCs/>
                <w:sz w:val="18"/>
                <w:szCs w:val="18"/>
              </w:rPr>
              <w:t>Performance Support</w:t>
            </w:r>
          </w:p>
        </w:tc>
        <w:tc>
          <w:tcPr>
            <w:tcW w:w="3969" w:type="dxa"/>
            <w:tcBorders>
              <w:top w:val="single" w:sz="8" w:space="0" w:color="FFFFFF"/>
              <w:left w:val="single" w:sz="8" w:space="0" w:color="FFFFFF"/>
              <w:bottom w:val="single" w:sz="8" w:space="0" w:color="FFFFFF"/>
              <w:right w:val="single" w:sz="8" w:space="0" w:color="FFFFFF"/>
            </w:tcBorders>
            <w:shd w:val="clear" w:color="auto" w:fill="9DC3E6"/>
            <w:tcMar>
              <w:top w:w="61" w:type="dxa"/>
              <w:left w:w="123" w:type="dxa"/>
              <w:bottom w:w="61" w:type="dxa"/>
              <w:right w:w="123" w:type="dxa"/>
            </w:tcMar>
            <w:vAlign w:val="center"/>
            <w:hideMark/>
          </w:tcPr>
          <w:p w14:paraId="7C574C77" w14:textId="77777777" w:rsidR="00040B5F" w:rsidRPr="000E1A92" w:rsidRDefault="00040B5F" w:rsidP="00666180">
            <w:pPr>
              <w:pStyle w:val="Body"/>
              <w:rPr>
                <w:sz w:val="18"/>
                <w:szCs w:val="18"/>
              </w:rPr>
            </w:pPr>
            <w:r w:rsidRPr="000E1A92">
              <w:rPr>
                <w:b/>
                <w:bCs/>
                <w:sz w:val="18"/>
                <w:szCs w:val="18"/>
              </w:rPr>
              <w:t xml:space="preserve">Quarterly meetings </w:t>
            </w:r>
            <w:r w:rsidRPr="000E1A92">
              <w:rPr>
                <w:sz w:val="18"/>
                <w:szCs w:val="18"/>
              </w:rPr>
              <w:t>as a baseline, with additional meetings (e.g., monthly or every six weeks) based on risk severity to monitor improvement plans.</w:t>
            </w:r>
          </w:p>
        </w:tc>
        <w:tc>
          <w:tcPr>
            <w:tcW w:w="3827" w:type="dxa"/>
            <w:tcBorders>
              <w:top w:val="single" w:sz="8" w:space="0" w:color="FFFFFF"/>
              <w:left w:val="single" w:sz="8" w:space="0" w:color="FFFFFF"/>
              <w:bottom w:val="single" w:sz="8" w:space="0" w:color="FFFFFF"/>
              <w:right w:val="single" w:sz="8" w:space="0" w:color="FFFFFF"/>
            </w:tcBorders>
            <w:shd w:val="clear" w:color="auto" w:fill="9DC3E6"/>
            <w:tcMar>
              <w:top w:w="61" w:type="dxa"/>
              <w:left w:w="123" w:type="dxa"/>
              <w:bottom w:w="61" w:type="dxa"/>
              <w:right w:w="123" w:type="dxa"/>
            </w:tcMar>
            <w:vAlign w:val="center"/>
            <w:hideMark/>
          </w:tcPr>
          <w:p w14:paraId="3C1D6EE3" w14:textId="77777777" w:rsidR="00040B5F" w:rsidRPr="000E1A92" w:rsidRDefault="00040B5F" w:rsidP="00666180">
            <w:pPr>
              <w:pStyle w:val="Body"/>
              <w:rPr>
                <w:sz w:val="18"/>
                <w:szCs w:val="18"/>
              </w:rPr>
            </w:pPr>
            <w:r w:rsidRPr="000E1A92">
              <w:rPr>
                <w:sz w:val="18"/>
                <w:szCs w:val="18"/>
              </w:rPr>
              <w:t>Focus on progress against improvement plans and barriers to success.</w:t>
            </w:r>
          </w:p>
        </w:tc>
      </w:tr>
      <w:tr w:rsidR="00040B5F" w:rsidRPr="00994F5F" w14:paraId="556C5130" w14:textId="77777777" w:rsidTr="00076A38">
        <w:trPr>
          <w:cantSplit/>
          <w:trHeight w:val="1137"/>
          <w:tblHeader/>
        </w:trPr>
        <w:tc>
          <w:tcPr>
            <w:tcW w:w="2127" w:type="dxa"/>
            <w:tcBorders>
              <w:top w:val="single" w:sz="8" w:space="0" w:color="FFFFFF"/>
              <w:left w:val="nil"/>
              <w:bottom w:val="single" w:sz="12" w:space="0" w:color="0D5190"/>
              <w:right w:val="single" w:sz="8" w:space="0" w:color="FFFFFF"/>
            </w:tcBorders>
            <w:shd w:val="clear" w:color="auto" w:fill="2E75B6"/>
            <w:tcMar>
              <w:top w:w="61" w:type="dxa"/>
              <w:left w:w="123" w:type="dxa"/>
              <w:bottom w:w="61" w:type="dxa"/>
              <w:right w:w="123" w:type="dxa"/>
            </w:tcMar>
            <w:vAlign w:val="center"/>
            <w:hideMark/>
          </w:tcPr>
          <w:p w14:paraId="6D2B5F9D" w14:textId="77777777" w:rsidR="00040B5F" w:rsidRPr="000E1A92" w:rsidRDefault="00040B5F" w:rsidP="00666180">
            <w:pPr>
              <w:pStyle w:val="Body"/>
              <w:rPr>
                <w:sz w:val="18"/>
                <w:szCs w:val="18"/>
              </w:rPr>
            </w:pPr>
            <w:r w:rsidRPr="000E1A92">
              <w:rPr>
                <w:b/>
                <w:bCs/>
                <w:sz w:val="18"/>
                <w:szCs w:val="18"/>
              </w:rPr>
              <w:t>Mandated Intensive Support</w:t>
            </w:r>
          </w:p>
        </w:tc>
        <w:tc>
          <w:tcPr>
            <w:tcW w:w="3969" w:type="dxa"/>
            <w:tcBorders>
              <w:top w:val="single" w:sz="8" w:space="0" w:color="FFFFFF"/>
              <w:left w:val="single" w:sz="8" w:space="0" w:color="FFFFFF"/>
              <w:bottom w:val="single" w:sz="12" w:space="0" w:color="0D5190"/>
              <w:right w:val="single" w:sz="8" w:space="0" w:color="FFFFFF"/>
            </w:tcBorders>
            <w:shd w:val="clear" w:color="auto" w:fill="2E75B6"/>
            <w:tcMar>
              <w:top w:w="61" w:type="dxa"/>
              <w:left w:w="123" w:type="dxa"/>
              <w:bottom w:w="61" w:type="dxa"/>
              <w:right w:w="123" w:type="dxa"/>
            </w:tcMar>
            <w:vAlign w:val="center"/>
            <w:hideMark/>
          </w:tcPr>
          <w:p w14:paraId="33FFEDC4" w14:textId="77777777" w:rsidR="00040B5F" w:rsidRPr="000E1A92" w:rsidRDefault="00040B5F" w:rsidP="00666180">
            <w:pPr>
              <w:pStyle w:val="Body"/>
              <w:rPr>
                <w:sz w:val="18"/>
                <w:szCs w:val="18"/>
              </w:rPr>
            </w:pPr>
            <w:r w:rsidRPr="004078DE">
              <w:rPr>
                <w:b/>
                <w:sz w:val="18"/>
                <w:szCs w:val="18"/>
              </w:rPr>
              <w:t>Quarterly meetings</w:t>
            </w:r>
            <w:r w:rsidRPr="000E1A92">
              <w:rPr>
                <w:sz w:val="18"/>
                <w:szCs w:val="18"/>
              </w:rPr>
              <w:t xml:space="preserve"> as a baseline with additional meetings (e.g. Monthly meetings, with the potential for biweekly sessions if risks are critical, focusing on remediation and critical priorities).</w:t>
            </w:r>
          </w:p>
        </w:tc>
        <w:tc>
          <w:tcPr>
            <w:tcW w:w="3827" w:type="dxa"/>
            <w:tcBorders>
              <w:top w:val="single" w:sz="8" w:space="0" w:color="FFFFFF"/>
              <w:left w:val="single" w:sz="8" w:space="0" w:color="FFFFFF"/>
              <w:bottom w:val="single" w:sz="12" w:space="0" w:color="0D5190"/>
              <w:right w:val="single" w:sz="8" w:space="0" w:color="FFFFFF"/>
            </w:tcBorders>
            <w:shd w:val="clear" w:color="auto" w:fill="2E75B6"/>
            <w:tcMar>
              <w:top w:w="61" w:type="dxa"/>
              <w:left w:w="123" w:type="dxa"/>
              <w:bottom w:w="61" w:type="dxa"/>
              <w:right w:w="123" w:type="dxa"/>
            </w:tcMar>
            <w:vAlign w:val="center"/>
            <w:hideMark/>
          </w:tcPr>
          <w:p w14:paraId="7C51490C" w14:textId="77777777" w:rsidR="00040B5F" w:rsidRPr="000E1A92" w:rsidRDefault="00040B5F" w:rsidP="00666180">
            <w:pPr>
              <w:pStyle w:val="Body"/>
              <w:rPr>
                <w:sz w:val="18"/>
                <w:szCs w:val="18"/>
              </w:rPr>
            </w:pPr>
            <w:r w:rsidRPr="000E1A92">
              <w:rPr>
                <w:sz w:val="18"/>
                <w:szCs w:val="18"/>
              </w:rPr>
              <w:t>Focus on critical performance gaps and remediation actions.</w:t>
            </w:r>
          </w:p>
        </w:tc>
      </w:tr>
    </w:tbl>
    <w:p w14:paraId="5B2AC37A" w14:textId="77777777" w:rsidR="00FE6D62" w:rsidRDefault="00FE6D62">
      <w:pPr>
        <w:spacing w:line="279" w:lineRule="auto"/>
        <w:rPr>
          <w:rFonts w:eastAsiaTheme="majorEastAsia" w:cstheme="majorBidi"/>
          <w:color w:val="3A3A3A" w:themeColor="background2" w:themeShade="40"/>
          <w:sz w:val="44"/>
          <w:szCs w:val="44"/>
          <w:highlight w:val="lightGray"/>
        </w:rPr>
      </w:pPr>
      <w:r>
        <w:rPr>
          <w:color w:val="3A3A3A" w:themeColor="background2" w:themeShade="40"/>
          <w:sz w:val="44"/>
          <w:szCs w:val="44"/>
          <w:highlight w:val="lightGray"/>
        </w:rPr>
        <w:br w:type="page"/>
      </w:r>
    </w:p>
    <w:p w14:paraId="6EDE8831" w14:textId="0E3A5CA1" w:rsidR="00951BD6" w:rsidRPr="007F7CEF" w:rsidRDefault="00951BD6" w:rsidP="00FE6D62">
      <w:pPr>
        <w:pStyle w:val="Heading1"/>
        <w:rPr>
          <w:color w:val="auto"/>
          <w:sz w:val="44"/>
          <w:szCs w:val="44"/>
        </w:rPr>
      </w:pPr>
      <w:bookmarkStart w:id="103" w:name="_Toc211343291"/>
      <w:r w:rsidRPr="007F7CEF">
        <w:rPr>
          <w:color w:val="auto"/>
        </w:rPr>
        <w:lastRenderedPageBreak/>
        <w:t>Roles and responsibilities</w:t>
      </w:r>
      <w:bookmarkEnd w:id="93"/>
      <w:bookmarkEnd w:id="94"/>
      <w:bookmarkEnd w:id="95"/>
      <w:bookmarkEnd w:id="103"/>
    </w:p>
    <w:p w14:paraId="779638F7" w14:textId="49A1DB88" w:rsidR="005E10FB" w:rsidRPr="004E426B" w:rsidRDefault="005E10FB" w:rsidP="00602EC8">
      <w:pPr>
        <w:pStyle w:val="DHHSbody"/>
      </w:pPr>
      <w:r w:rsidRPr="004E426B">
        <w:t xml:space="preserve">The section </w:t>
      </w:r>
      <w:r w:rsidR="00FB3015">
        <w:t>below</w:t>
      </w:r>
      <w:r w:rsidRPr="004E426B">
        <w:t xml:space="preserve"> outlines the roles and responsibilities</w:t>
      </w:r>
      <w:r w:rsidR="00A80334">
        <w:t xml:space="preserve"> of</w:t>
      </w:r>
      <w:r w:rsidRPr="004E426B">
        <w:t xml:space="preserve"> health services (Section </w:t>
      </w:r>
      <w:r w:rsidRPr="004E426B">
        <w:fldChar w:fldCharType="begin"/>
      </w:r>
      <w:r w:rsidRPr="004E426B">
        <w:instrText xml:space="preserve"> REF _Ref167132354 \r \h </w:instrText>
      </w:r>
      <w:r w:rsidR="00805064" w:rsidRPr="004E426B">
        <w:instrText xml:space="preserve"> \* MERGEFORMAT </w:instrText>
      </w:r>
      <w:r w:rsidRPr="004E426B">
        <w:fldChar w:fldCharType="separate"/>
      </w:r>
      <w:r w:rsidR="00D87DE1">
        <w:t>6.1</w:t>
      </w:r>
      <w:r w:rsidRPr="004E426B">
        <w:fldChar w:fldCharType="end"/>
      </w:r>
      <w:r w:rsidRPr="004E426B">
        <w:t xml:space="preserve">) and </w:t>
      </w:r>
      <w:r w:rsidR="00602EC8" w:rsidRPr="004E426B">
        <w:t xml:space="preserve">the different parts of the department (Section </w:t>
      </w:r>
      <w:r w:rsidR="00602EC8" w:rsidRPr="004E426B">
        <w:fldChar w:fldCharType="begin"/>
      </w:r>
      <w:r w:rsidR="00602EC8" w:rsidRPr="004E426B">
        <w:instrText xml:space="preserve"> REF _Ref167132380 \r \h </w:instrText>
      </w:r>
      <w:r w:rsidR="00805064" w:rsidRPr="004E426B">
        <w:instrText xml:space="preserve"> \* MERGEFORMAT </w:instrText>
      </w:r>
      <w:r w:rsidR="00602EC8" w:rsidRPr="004E426B">
        <w:fldChar w:fldCharType="separate"/>
      </w:r>
      <w:r w:rsidR="00D87DE1">
        <w:t>6.2</w:t>
      </w:r>
      <w:r w:rsidR="00602EC8" w:rsidRPr="004E426B">
        <w:fldChar w:fldCharType="end"/>
      </w:r>
      <w:r w:rsidR="00602EC8" w:rsidRPr="004E426B">
        <w:t xml:space="preserve">) in implementing the Framework. </w:t>
      </w:r>
    </w:p>
    <w:p w14:paraId="2C281042" w14:textId="3AECCF02" w:rsidR="005E10FB" w:rsidRPr="009A19D1" w:rsidRDefault="006E6949" w:rsidP="009A19D1">
      <w:pPr>
        <w:pStyle w:val="Heading2"/>
        <w:ind w:left="709"/>
        <w:rPr>
          <w:color w:val="3A3A3A" w:themeColor="background2" w:themeShade="40"/>
        </w:rPr>
      </w:pPr>
      <w:bookmarkStart w:id="104" w:name="_Toc166959806"/>
      <w:bookmarkStart w:id="105" w:name="_Ref167132354"/>
      <w:bookmarkStart w:id="106" w:name="_Toc167215607"/>
      <w:bookmarkStart w:id="107" w:name="_Toc167215704"/>
      <w:bookmarkStart w:id="108" w:name="_Toc211343292"/>
      <w:r w:rsidRPr="009A19D1">
        <w:rPr>
          <w:color w:val="3A3A3A" w:themeColor="background2" w:themeShade="40"/>
        </w:rPr>
        <w:t>H</w:t>
      </w:r>
      <w:r w:rsidR="005E10FB" w:rsidRPr="009A19D1">
        <w:rPr>
          <w:color w:val="3A3A3A" w:themeColor="background2" w:themeShade="40"/>
        </w:rPr>
        <w:t>ealth services</w:t>
      </w:r>
      <w:bookmarkEnd w:id="104"/>
      <w:bookmarkEnd w:id="105"/>
      <w:bookmarkEnd w:id="106"/>
      <w:bookmarkEnd w:id="107"/>
      <w:bookmarkEnd w:id="108"/>
    </w:p>
    <w:p w14:paraId="7F7CB6B8" w14:textId="204ED007" w:rsidR="005E10FB" w:rsidRPr="004E426B" w:rsidRDefault="006E6949" w:rsidP="005E10FB">
      <w:pPr>
        <w:pStyle w:val="DHHSbullet1"/>
        <w:numPr>
          <w:ilvl w:val="0"/>
          <w:numId w:val="0"/>
        </w:numPr>
        <w:ind w:left="284" w:hanging="284"/>
        <w:rPr>
          <w:szCs w:val="21"/>
        </w:rPr>
      </w:pPr>
      <w:bookmarkStart w:id="109" w:name="_Toc166959803"/>
      <w:r w:rsidRPr="004E426B">
        <w:rPr>
          <w:szCs w:val="21"/>
        </w:rPr>
        <w:t>H</w:t>
      </w:r>
      <w:r w:rsidR="005E10FB" w:rsidRPr="004E426B">
        <w:rPr>
          <w:szCs w:val="21"/>
        </w:rPr>
        <w:t xml:space="preserve">ealth services </w:t>
      </w:r>
      <w:r w:rsidRPr="004E426B">
        <w:rPr>
          <w:szCs w:val="21"/>
        </w:rPr>
        <w:t xml:space="preserve">are responsible </w:t>
      </w:r>
      <w:r w:rsidR="00257DDE" w:rsidRPr="004E426B">
        <w:rPr>
          <w:szCs w:val="21"/>
        </w:rPr>
        <w:t xml:space="preserve">and accountable </w:t>
      </w:r>
      <w:r w:rsidRPr="004E426B">
        <w:rPr>
          <w:szCs w:val="21"/>
        </w:rPr>
        <w:t>for</w:t>
      </w:r>
      <w:r w:rsidR="005E10FB" w:rsidRPr="004E426B">
        <w:rPr>
          <w:szCs w:val="21"/>
        </w:rPr>
        <w:t>:</w:t>
      </w:r>
    </w:p>
    <w:p w14:paraId="484B66F1" w14:textId="3ED3C942" w:rsidR="00D96AF7" w:rsidRPr="004E426B" w:rsidRDefault="00D96AF7" w:rsidP="00FE32BF">
      <w:pPr>
        <w:pStyle w:val="DHHSbullet1"/>
        <w:rPr>
          <w:szCs w:val="21"/>
        </w:rPr>
      </w:pPr>
      <w:r w:rsidRPr="004E426B">
        <w:rPr>
          <w:szCs w:val="21"/>
        </w:rPr>
        <w:t xml:space="preserve">meeting performance expectations set through </w:t>
      </w:r>
      <w:r w:rsidR="009D3B9B">
        <w:rPr>
          <w:szCs w:val="21"/>
        </w:rPr>
        <w:t>S</w:t>
      </w:r>
      <w:r w:rsidR="0063685D">
        <w:rPr>
          <w:szCs w:val="21"/>
        </w:rPr>
        <w:t>o</w:t>
      </w:r>
      <w:r w:rsidR="009D3B9B">
        <w:rPr>
          <w:szCs w:val="21"/>
        </w:rPr>
        <w:t>P</w:t>
      </w:r>
      <w:r w:rsidRPr="004E426B">
        <w:rPr>
          <w:szCs w:val="21"/>
        </w:rPr>
        <w:t>s and under the Framework, including by:</w:t>
      </w:r>
    </w:p>
    <w:p w14:paraId="0B2B0974" w14:textId="77777777" w:rsidR="00FD60B7" w:rsidRPr="004E426B" w:rsidRDefault="00FD60B7" w:rsidP="00FE32BF">
      <w:pPr>
        <w:pStyle w:val="DHHSbullet2"/>
        <w:spacing w:after="120"/>
      </w:pPr>
      <w:r w:rsidRPr="004E426B">
        <w:t>establishing and maintaining a culture of improvement and growing a shared understanding of the science of improvement throughout the service;</w:t>
      </w:r>
    </w:p>
    <w:p w14:paraId="243F0F54" w14:textId="42948680" w:rsidR="00B547C4" w:rsidRPr="004E426B" w:rsidRDefault="00B547C4" w:rsidP="00FE32BF">
      <w:pPr>
        <w:pStyle w:val="DHHSbullet2"/>
        <w:spacing w:after="120"/>
      </w:pPr>
      <w:r w:rsidRPr="004E426B">
        <w:t>resourcing and achieving performance improvements required to meet expectations</w:t>
      </w:r>
      <w:r w:rsidR="00BD1145">
        <w:t>.</w:t>
      </w:r>
    </w:p>
    <w:p w14:paraId="7BBB5FE9" w14:textId="77777777" w:rsidR="00FD60B7" w:rsidRPr="004E426B" w:rsidRDefault="00FD60B7" w:rsidP="00FE32BF">
      <w:pPr>
        <w:pStyle w:val="DHHSbullet1"/>
        <w:rPr>
          <w:szCs w:val="21"/>
        </w:rPr>
      </w:pPr>
      <w:r w:rsidRPr="004E426B">
        <w:rPr>
          <w:szCs w:val="21"/>
        </w:rPr>
        <w:t>working constructively with the department’s performance oversight processes, including by:</w:t>
      </w:r>
    </w:p>
    <w:p w14:paraId="72A53575" w14:textId="4C804036" w:rsidR="004E77A5" w:rsidRPr="004E426B" w:rsidRDefault="004E77A5" w:rsidP="00FE32BF">
      <w:pPr>
        <w:pStyle w:val="DHHSbullet2"/>
        <w:spacing w:after="120"/>
      </w:pPr>
      <w:r w:rsidRPr="004E426B">
        <w:t xml:space="preserve">promptly reporting to the department any </w:t>
      </w:r>
      <w:r w:rsidR="00FD60B7" w:rsidRPr="004E426B">
        <w:t xml:space="preserve">significant </w:t>
      </w:r>
      <w:r w:rsidRPr="004E426B">
        <w:t>emerging risks or potential performance issues including immediate action taken;</w:t>
      </w:r>
    </w:p>
    <w:p w14:paraId="4449AC6B" w14:textId="718965CF" w:rsidR="005E10FB" w:rsidRPr="004E426B" w:rsidRDefault="005E10FB" w:rsidP="00FE32BF">
      <w:pPr>
        <w:pStyle w:val="DHHSbullet2"/>
        <w:spacing w:after="120"/>
      </w:pPr>
      <w:r w:rsidRPr="004E426B">
        <w:t xml:space="preserve">attending </w:t>
      </w:r>
      <w:r w:rsidR="00533BF4" w:rsidRPr="004E426B">
        <w:t>and</w:t>
      </w:r>
      <w:r w:rsidRPr="004E426B">
        <w:t xml:space="preserve"> engaging </w:t>
      </w:r>
      <w:r w:rsidR="00533BF4" w:rsidRPr="004E426B">
        <w:t xml:space="preserve">in </w:t>
      </w:r>
      <w:r w:rsidRPr="004E426B">
        <w:t xml:space="preserve">performance meetings, with </w:t>
      </w:r>
      <w:r w:rsidR="00533BF4" w:rsidRPr="004E426B">
        <w:t>effective implementation of agreed or directed actions between meetings</w:t>
      </w:r>
      <w:r w:rsidRPr="004E426B">
        <w:t>;</w:t>
      </w:r>
    </w:p>
    <w:p w14:paraId="0D17C76D" w14:textId="77777777" w:rsidR="00FD60B7" w:rsidRPr="004E426B" w:rsidRDefault="00FD60B7" w:rsidP="00FE32BF">
      <w:pPr>
        <w:pStyle w:val="DHHSbullet2"/>
        <w:spacing w:after="120"/>
      </w:pPr>
      <w:r w:rsidRPr="004E426B">
        <w:t xml:space="preserve">ensuring accurate and timely submission of data and other information, including implementing agreed action plans and status update reports. </w:t>
      </w:r>
    </w:p>
    <w:p w14:paraId="63DC8FD4" w14:textId="616FCD3E" w:rsidR="00F90E22" w:rsidRPr="004E426B" w:rsidRDefault="00FD60B7" w:rsidP="00FE32BF">
      <w:pPr>
        <w:pStyle w:val="DHHSbullet1"/>
      </w:pPr>
      <w:r w:rsidRPr="004E426B">
        <w:t xml:space="preserve">supporting system-wide improvement, </w:t>
      </w:r>
      <w:r w:rsidR="005E10FB" w:rsidRPr="004E426B">
        <w:t xml:space="preserve">collaborating with other health services and system partners to </w:t>
      </w:r>
      <w:r w:rsidR="002534D2" w:rsidRPr="004E426B">
        <w:t xml:space="preserve">share knowledge, join up efforts, </w:t>
      </w:r>
      <w:r w:rsidR="00FE32BF" w:rsidRPr="004E426B">
        <w:t>and improve system-wide performance</w:t>
      </w:r>
    </w:p>
    <w:p w14:paraId="03BE39FE" w14:textId="119B29EC" w:rsidR="0093436B" w:rsidRPr="00110A9D" w:rsidRDefault="0093436B" w:rsidP="00110A9D">
      <w:pPr>
        <w:pStyle w:val="Heading2"/>
        <w:ind w:left="709"/>
        <w:rPr>
          <w:color w:val="3A3A3A" w:themeColor="background2" w:themeShade="40"/>
        </w:rPr>
      </w:pPr>
      <w:bookmarkStart w:id="110" w:name="_Ref167132380"/>
      <w:bookmarkStart w:id="111" w:name="_Toc167215608"/>
      <w:bookmarkStart w:id="112" w:name="_Toc167215705"/>
      <w:bookmarkStart w:id="113" w:name="_Toc211343293"/>
      <w:r w:rsidRPr="00110A9D">
        <w:rPr>
          <w:color w:val="3A3A3A" w:themeColor="background2" w:themeShade="40"/>
        </w:rPr>
        <w:t>Department of Health</w:t>
      </w:r>
      <w:bookmarkEnd w:id="109"/>
      <w:bookmarkEnd w:id="110"/>
      <w:bookmarkEnd w:id="111"/>
      <w:bookmarkEnd w:id="112"/>
      <w:bookmarkEnd w:id="113"/>
    </w:p>
    <w:p w14:paraId="33C38916" w14:textId="4849F321" w:rsidR="0093436B" w:rsidRDefault="00BC5312" w:rsidP="0093436B">
      <w:pPr>
        <w:pStyle w:val="DHHSbody"/>
        <w:rPr>
          <w:szCs w:val="21"/>
        </w:rPr>
      </w:pPr>
      <w:r w:rsidRPr="004E426B">
        <w:rPr>
          <w:szCs w:val="21"/>
        </w:rPr>
        <w:t>The department’s vision is that Victorians are the healthiest people in the world.</w:t>
      </w:r>
      <w:r>
        <w:rPr>
          <w:szCs w:val="21"/>
        </w:rPr>
        <w:t xml:space="preserve"> </w:t>
      </w:r>
      <w:r w:rsidR="0093436B" w:rsidRPr="004E426B">
        <w:rPr>
          <w:szCs w:val="21"/>
        </w:rPr>
        <w:t xml:space="preserve">The department is the steward of the Victorian health care system. It advises government on health strategy, policy, planning, funding allocation and performance oversight of health services. </w:t>
      </w:r>
    </w:p>
    <w:p w14:paraId="197570AF" w14:textId="77777777" w:rsidR="009A068B" w:rsidRPr="005054F0" w:rsidRDefault="009A068B" w:rsidP="0093436B">
      <w:pPr>
        <w:pStyle w:val="DHHSbody"/>
        <w:rPr>
          <w:szCs w:val="21"/>
        </w:rPr>
      </w:pPr>
    </w:p>
    <w:p w14:paraId="7671BAF0" w14:textId="56F7DE89" w:rsidR="00224EAF" w:rsidRPr="00110A9D" w:rsidRDefault="005054F0" w:rsidP="00421362">
      <w:pPr>
        <w:pStyle w:val="Heading3"/>
        <w:numPr>
          <w:ilvl w:val="0"/>
          <w:numId w:val="0"/>
        </w:numPr>
        <w:rPr>
          <w:color w:val="auto"/>
        </w:rPr>
      </w:pPr>
      <w:bookmarkStart w:id="114" w:name="_Toc211343294"/>
      <w:r w:rsidRPr="005054F0">
        <w:rPr>
          <w:color w:val="auto"/>
        </w:rPr>
        <w:t>6.2.1</w:t>
      </w:r>
      <w:r>
        <w:tab/>
      </w:r>
      <w:r w:rsidRPr="005054F0">
        <w:rPr>
          <w:color w:val="auto"/>
        </w:rPr>
        <w:t>Overarching departmental roles and responsibilities</w:t>
      </w:r>
      <w:bookmarkEnd w:id="114"/>
    </w:p>
    <w:p w14:paraId="09AA47CB" w14:textId="5ED04F16" w:rsidR="0093436B" w:rsidRPr="00B07792" w:rsidRDefault="0093436B" w:rsidP="00A96C00">
      <w:pPr>
        <w:pStyle w:val="DHHSbody"/>
        <w:rPr>
          <w:szCs w:val="21"/>
        </w:rPr>
      </w:pPr>
      <w:r w:rsidRPr="00B07792">
        <w:rPr>
          <w:szCs w:val="21"/>
        </w:rPr>
        <w:t>The department carries out its performance oversight role by:</w:t>
      </w:r>
    </w:p>
    <w:p w14:paraId="3DDB2240" w14:textId="78F5EBE8" w:rsidR="0093436B" w:rsidRPr="00B07792" w:rsidRDefault="00A96C00" w:rsidP="00224EAF">
      <w:pPr>
        <w:pStyle w:val="DHHSbullet1"/>
      </w:pPr>
      <w:r w:rsidRPr="00B07792">
        <w:t xml:space="preserve">Setting </w:t>
      </w:r>
      <w:r w:rsidRPr="00B07792">
        <w:rPr>
          <w:b/>
        </w:rPr>
        <w:t>strategic priorities and operating parameters</w:t>
      </w:r>
    </w:p>
    <w:p w14:paraId="1ABDC4DF" w14:textId="77777777" w:rsidR="0093436B" w:rsidRPr="00B07792" w:rsidRDefault="0093436B" w:rsidP="00224EAF">
      <w:pPr>
        <w:pStyle w:val="DHHSbullet2"/>
        <w:spacing w:after="120"/>
      </w:pPr>
      <w:r w:rsidRPr="00B07792">
        <w:t xml:space="preserve">translating core </w:t>
      </w:r>
      <w:r w:rsidRPr="001A750F">
        <w:t>government priorities</w:t>
      </w:r>
      <w:r w:rsidRPr="00B07792">
        <w:t xml:space="preserve"> into health service targets and providing information on departmental policy directions</w:t>
      </w:r>
    </w:p>
    <w:p w14:paraId="7D366DC2" w14:textId="004885CD" w:rsidR="0093436B" w:rsidRPr="00B07792" w:rsidRDefault="0093436B" w:rsidP="00224EAF">
      <w:pPr>
        <w:pStyle w:val="DHHSbullet2"/>
        <w:spacing w:after="120"/>
      </w:pPr>
      <w:r w:rsidRPr="00B07792">
        <w:t xml:space="preserve">providing health services with </w:t>
      </w:r>
      <w:r w:rsidR="00A96C00" w:rsidRPr="00B07792">
        <w:t xml:space="preserve">timely </w:t>
      </w:r>
      <w:r w:rsidRPr="00B07792">
        <w:t xml:space="preserve">budgets, targets and financial </w:t>
      </w:r>
      <w:r w:rsidR="00A96C00" w:rsidRPr="00B07792">
        <w:t xml:space="preserve">and policy </w:t>
      </w:r>
      <w:r w:rsidRPr="00B07792">
        <w:t xml:space="preserve">parameters </w:t>
      </w:r>
    </w:p>
    <w:p w14:paraId="3B3889D4" w14:textId="2D0A105E" w:rsidR="00C44449" w:rsidRDefault="00C44449" w:rsidP="00224EAF">
      <w:pPr>
        <w:pStyle w:val="DHHSbullet2"/>
        <w:spacing w:after="120"/>
      </w:pPr>
      <w:r w:rsidRPr="00B07792">
        <w:t xml:space="preserve">engaging with health services at senior levels to discuss enabling strategic actions and </w:t>
      </w:r>
      <w:r w:rsidR="00D175B2" w:rsidRPr="00B07792">
        <w:t>trade-offs</w:t>
      </w:r>
      <w:r w:rsidRPr="00B07792">
        <w:t xml:space="preserve"> required to drive </w:t>
      </w:r>
      <w:r w:rsidR="00E2090F" w:rsidRPr="00B07792">
        <w:t xml:space="preserve">performance improvement. </w:t>
      </w:r>
    </w:p>
    <w:p w14:paraId="46D511CA" w14:textId="77777777" w:rsidR="007F7CEF" w:rsidRPr="00B07792" w:rsidRDefault="007F7CEF" w:rsidP="007F7CEF">
      <w:pPr>
        <w:pStyle w:val="DHHSbullet2"/>
        <w:numPr>
          <w:ilvl w:val="0"/>
          <w:numId w:val="0"/>
        </w:numPr>
        <w:spacing w:after="120"/>
        <w:ind w:left="567"/>
      </w:pPr>
    </w:p>
    <w:p w14:paraId="1C9F9AAA" w14:textId="6D4986DC" w:rsidR="00A96C00" w:rsidRPr="00B07792" w:rsidRDefault="00A96C00" w:rsidP="00224EAF">
      <w:pPr>
        <w:pStyle w:val="DHHSbullet1"/>
      </w:pPr>
      <w:r w:rsidRPr="00B07792">
        <w:lastRenderedPageBreak/>
        <w:t xml:space="preserve">Supporting </w:t>
      </w:r>
      <w:r w:rsidRPr="00B07792">
        <w:rPr>
          <w:b/>
        </w:rPr>
        <w:t>continuous improvement</w:t>
      </w:r>
    </w:p>
    <w:p w14:paraId="5A7286A0" w14:textId="3D169E9A" w:rsidR="00A96C00" w:rsidRPr="00B07792" w:rsidRDefault="00A96C00" w:rsidP="00224EAF">
      <w:pPr>
        <w:pStyle w:val="DHHSbullet2"/>
        <w:spacing w:after="120"/>
      </w:pPr>
      <w:r w:rsidRPr="00B07792">
        <w:t xml:space="preserve">facilitating sharing </w:t>
      </w:r>
      <w:r w:rsidR="006A1E94" w:rsidRPr="00B07792">
        <w:t xml:space="preserve">of knowledge and expertise </w:t>
      </w:r>
      <w:r w:rsidRPr="00B07792">
        <w:t>between health services and across the sector</w:t>
      </w:r>
    </w:p>
    <w:p w14:paraId="7D07EC82" w14:textId="77777777" w:rsidR="00A96C00" w:rsidRPr="00B07792" w:rsidRDefault="00A96C00" w:rsidP="00224EAF">
      <w:pPr>
        <w:pStyle w:val="DHHSbullet2"/>
        <w:spacing w:after="120"/>
      </w:pPr>
      <w:r w:rsidRPr="00B07792">
        <w:t>enhancing board skills and capabilities in clinical governance and other processes to ensure high quality and safe care</w:t>
      </w:r>
    </w:p>
    <w:p w14:paraId="340924D9" w14:textId="5395892D" w:rsidR="00A96C00" w:rsidRPr="00B07792" w:rsidRDefault="00365814" w:rsidP="00224EAF">
      <w:pPr>
        <w:pStyle w:val="DHHSbullet2"/>
        <w:spacing w:after="120"/>
      </w:pPr>
      <w:r w:rsidRPr="00B07792">
        <w:t>ensuring departmental staff</w:t>
      </w:r>
      <w:r w:rsidR="00A96C00" w:rsidRPr="00B07792">
        <w:t xml:space="preserve"> </w:t>
      </w:r>
      <w:r w:rsidRPr="00B07792">
        <w:t xml:space="preserve">have effective </w:t>
      </w:r>
      <w:r w:rsidR="00A96C00" w:rsidRPr="00B07792">
        <w:t>performance monitoring and quality improvement</w:t>
      </w:r>
      <w:r w:rsidRPr="00B07792">
        <w:t xml:space="preserve"> capabilities</w:t>
      </w:r>
      <w:r w:rsidR="00A96C00" w:rsidRPr="00B07792">
        <w:t xml:space="preserve">, and the tools to </w:t>
      </w:r>
      <w:r w:rsidRPr="00B07792">
        <w:t xml:space="preserve">contribute to </w:t>
      </w:r>
      <w:r w:rsidR="00A96C00" w:rsidRPr="00B07792">
        <w:t>effective performance oversight.</w:t>
      </w:r>
    </w:p>
    <w:p w14:paraId="2C1DA802" w14:textId="422E2137" w:rsidR="0093436B" w:rsidRPr="00B07792" w:rsidRDefault="008B44D2" w:rsidP="00224EAF">
      <w:pPr>
        <w:pStyle w:val="DHHSbullet1"/>
        <w:rPr>
          <w:b/>
        </w:rPr>
      </w:pPr>
      <w:r w:rsidRPr="00B07792">
        <w:t xml:space="preserve">Continuous </w:t>
      </w:r>
      <w:r w:rsidRPr="00B07792">
        <w:rPr>
          <w:b/>
        </w:rPr>
        <w:t>monitoring of p</w:t>
      </w:r>
      <w:r w:rsidR="0093436B" w:rsidRPr="00B07792">
        <w:rPr>
          <w:b/>
        </w:rPr>
        <w:t xml:space="preserve">erformance and risk </w:t>
      </w:r>
    </w:p>
    <w:p w14:paraId="08C32A60" w14:textId="77777777" w:rsidR="0093436B" w:rsidRPr="00B07792" w:rsidRDefault="0093436B" w:rsidP="00224EAF">
      <w:pPr>
        <w:pStyle w:val="DHHSbullet2"/>
        <w:spacing w:after="120"/>
      </w:pPr>
      <w:r w:rsidRPr="00B07792">
        <w:t xml:space="preserve">implementing the Framework and associated risk assessment and performance improvement tools transparently and consistently </w:t>
      </w:r>
    </w:p>
    <w:p w14:paraId="423D4997" w14:textId="77777777" w:rsidR="0093436B" w:rsidRPr="00B07792" w:rsidRDefault="0093436B" w:rsidP="00224EAF">
      <w:pPr>
        <w:pStyle w:val="DHHSbullet2"/>
        <w:spacing w:after="120"/>
      </w:pPr>
      <w:r w:rsidRPr="00B07792">
        <w:t>making use of available data and third-party intelligence to maximise the depth and breadth of performance information used to assess health service performance</w:t>
      </w:r>
    </w:p>
    <w:p w14:paraId="443CFFD8" w14:textId="1211691C" w:rsidR="0093436B" w:rsidRPr="00B07792" w:rsidRDefault="0093436B" w:rsidP="00224EAF">
      <w:pPr>
        <w:pStyle w:val="DHHSbullet2"/>
        <w:spacing w:after="120"/>
      </w:pPr>
      <w:r w:rsidRPr="00B07792">
        <w:t xml:space="preserve">maximising input from </w:t>
      </w:r>
      <w:r w:rsidR="00D56BCB" w:rsidRPr="00B07792">
        <w:t>across the department</w:t>
      </w:r>
      <w:r w:rsidRPr="00B07792">
        <w:t xml:space="preserve"> and other experts/clinical leaders to create a coherent assessment </w:t>
      </w:r>
    </w:p>
    <w:p w14:paraId="732FE113" w14:textId="5757A477" w:rsidR="0093436B" w:rsidRPr="00B07792" w:rsidRDefault="00D56BCB" w:rsidP="00224EAF">
      <w:pPr>
        <w:pStyle w:val="DHHSbullet1"/>
      </w:pPr>
      <w:r w:rsidRPr="00B07792">
        <w:t xml:space="preserve">Formally </w:t>
      </w:r>
      <w:r w:rsidRPr="00B07792">
        <w:rPr>
          <w:b/>
        </w:rPr>
        <w:t>assessing p</w:t>
      </w:r>
      <w:r w:rsidR="0093436B" w:rsidRPr="00B07792">
        <w:rPr>
          <w:b/>
        </w:rPr>
        <w:t xml:space="preserve">erformance </w:t>
      </w:r>
      <w:r w:rsidRPr="00B07792">
        <w:rPr>
          <w:b/>
        </w:rPr>
        <w:t>and assigning tiers</w:t>
      </w:r>
      <w:r w:rsidRPr="00B07792">
        <w:t xml:space="preserve"> </w:t>
      </w:r>
    </w:p>
    <w:p w14:paraId="0EDA8D6B" w14:textId="2ABC6402" w:rsidR="0093436B" w:rsidRPr="00B07792" w:rsidRDefault="0093436B" w:rsidP="00224EAF">
      <w:pPr>
        <w:pStyle w:val="DHHSbullet2"/>
        <w:spacing w:after="120"/>
      </w:pPr>
      <w:r w:rsidRPr="00B07792">
        <w:t xml:space="preserve">consistently applying the assessment of performance tiers, and appropriate monitoring, intervention and support approaches </w:t>
      </w:r>
    </w:p>
    <w:p w14:paraId="716FEA8E" w14:textId="7BDB5A6E" w:rsidR="0093436B" w:rsidRPr="00B07792" w:rsidRDefault="0093436B" w:rsidP="00224EAF">
      <w:pPr>
        <w:pStyle w:val="DHHSbullet2"/>
        <w:spacing w:after="120"/>
      </w:pPr>
      <w:r w:rsidRPr="00B07792">
        <w:t xml:space="preserve">enacting or advising </w:t>
      </w:r>
      <w:r w:rsidR="00D56BCB" w:rsidRPr="00B07792">
        <w:t xml:space="preserve">the Minister for Health </w:t>
      </w:r>
      <w:r w:rsidR="004F6EE6" w:rsidRPr="00B07792">
        <w:t xml:space="preserve">and Ambulance Services </w:t>
      </w:r>
      <w:r w:rsidRPr="00B07792">
        <w:t>on options for escalation mechanisms to drive accountability, as appropriate</w:t>
      </w:r>
    </w:p>
    <w:p w14:paraId="6D863BA0" w14:textId="127AF79B" w:rsidR="0093436B" w:rsidRPr="00B07792" w:rsidRDefault="00224EAF" w:rsidP="00224EAF">
      <w:pPr>
        <w:pStyle w:val="DHHSbullet1"/>
      </w:pPr>
      <w:r w:rsidRPr="00B07792">
        <w:t>Coordinating</w:t>
      </w:r>
      <w:r w:rsidR="003E0C3D" w:rsidRPr="00B07792">
        <w:t xml:space="preserve"> </w:t>
      </w:r>
      <w:r w:rsidR="003E0C3D" w:rsidRPr="00B07792">
        <w:rPr>
          <w:b/>
        </w:rPr>
        <w:t>performance meetings</w:t>
      </w:r>
      <w:r w:rsidR="003E0C3D" w:rsidRPr="00B07792">
        <w:t xml:space="preserve"> </w:t>
      </w:r>
      <w:r w:rsidRPr="00B07792">
        <w:t>and response</w:t>
      </w:r>
      <w:r w:rsidR="009055BB" w:rsidRPr="00B07792">
        <w:t>s</w:t>
      </w:r>
    </w:p>
    <w:p w14:paraId="0E7E30F6" w14:textId="41B6D736" w:rsidR="0093436B" w:rsidRPr="00B07792" w:rsidRDefault="00734F14" w:rsidP="00224EAF">
      <w:pPr>
        <w:pStyle w:val="DHHSbullet2"/>
        <w:spacing w:after="120"/>
      </w:pPr>
      <w:r w:rsidRPr="00B07792">
        <w:t>ensuring</w:t>
      </w:r>
      <w:r w:rsidR="0093436B" w:rsidRPr="00B07792">
        <w:t xml:space="preserve"> appropriate</w:t>
      </w:r>
      <w:r w:rsidRPr="00B07792">
        <w:t xml:space="preserve">, relevant, and consistent </w:t>
      </w:r>
      <w:r w:rsidR="0093436B" w:rsidRPr="00B07792">
        <w:t>representation at performance meetings</w:t>
      </w:r>
    </w:p>
    <w:p w14:paraId="1A28F9E1" w14:textId="78A05C4E" w:rsidR="0093436B" w:rsidRPr="00B07792" w:rsidRDefault="0093436B" w:rsidP="00224EAF">
      <w:pPr>
        <w:pStyle w:val="DHHSbullet2"/>
        <w:spacing w:after="120"/>
      </w:pPr>
      <w:r w:rsidRPr="00B07792">
        <w:t xml:space="preserve">working across teams and divisions </w:t>
      </w:r>
      <w:r w:rsidR="0099785A" w:rsidRPr="00B07792">
        <w:t xml:space="preserve">across </w:t>
      </w:r>
      <w:r w:rsidRPr="00B07792">
        <w:t xml:space="preserve">the department to ensure a cohesive </w:t>
      </w:r>
      <w:r w:rsidR="0099785A" w:rsidRPr="00B07792">
        <w:t xml:space="preserve">and coordinated </w:t>
      </w:r>
      <w:r w:rsidRPr="00B07792">
        <w:t>approach to implementing the Framework</w:t>
      </w:r>
      <w:r w:rsidR="0099785A" w:rsidRPr="00B07792">
        <w:t>.</w:t>
      </w:r>
      <w:r w:rsidRPr="00B07792">
        <w:t xml:space="preserve"> </w:t>
      </w:r>
    </w:p>
    <w:p w14:paraId="6B6E157F" w14:textId="77777777" w:rsidR="002F096A" w:rsidRDefault="002F096A" w:rsidP="002F096A">
      <w:pPr>
        <w:pStyle w:val="DHHSbullet1"/>
        <w:numPr>
          <w:ilvl w:val="0"/>
          <w:numId w:val="0"/>
        </w:numPr>
        <w:ind w:left="284" w:hanging="284"/>
      </w:pPr>
    </w:p>
    <w:p w14:paraId="5FBDCE41" w14:textId="7E2ADB2B" w:rsidR="003D07CA" w:rsidRPr="003A0383" w:rsidRDefault="002F096A" w:rsidP="003A0383">
      <w:pPr>
        <w:pStyle w:val="Heading3"/>
        <w:numPr>
          <w:ilvl w:val="0"/>
          <w:numId w:val="0"/>
        </w:numPr>
        <w:rPr>
          <w:color w:val="auto"/>
        </w:rPr>
      </w:pPr>
      <w:bookmarkStart w:id="115" w:name="_Toc211343295"/>
      <w:r w:rsidRPr="002F096A">
        <w:rPr>
          <w:color w:val="auto"/>
        </w:rPr>
        <w:t>6.2.2</w:t>
      </w:r>
      <w:r>
        <w:tab/>
      </w:r>
      <w:r w:rsidRPr="002F096A">
        <w:rPr>
          <w:color w:val="auto"/>
        </w:rPr>
        <w:t>Roles and responsibilities across areas of the department</w:t>
      </w:r>
      <w:bookmarkEnd w:id="115"/>
    </w:p>
    <w:p w14:paraId="029931B7" w14:textId="4139C16A" w:rsidR="0093436B" w:rsidRPr="00A567EA" w:rsidRDefault="00B07BA1" w:rsidP="0093436B">
      <w:pPr>
        <w:pStyle w:val="DHHSbody"/>
        <w:rPr>
          <w:szCs w:val="21"/>
        </w:rPr>
      </w:pPr>
      <w:r w:rsidRPr="00A567EA">
        <w:rPr>
          <w:szCs w:val="21"/>
        </w:rPr>
        <w:t>A wide range of</w:t>
      </w:r>
      <w:r w:rsidR="0093436B" w:rsidRPr="00A567EA">
        <w:rPr>
          <w:szCs w:val="21"/>
        </w:rPr>
        <w:t xml:space="preserve"> areas</w:t>
      </w:r>
      <w:r w:rsidRPr="00A567EA">
        <w:rPr>
          <w:szCs w:val="21"/>
        </w:rPr>
        <w:t xml:space="preserve">, divisions and agencies across </w:t>
      </w:r>
      <w:r w:rsidR="0093436B" w:rsidRPr="00A567EA">
        <w:rPr>
          <w:szCs w:val="21"/>
        </w:rPr>
        <w:t xml:space="preserve">the department collaborate to support implementation of the </w:t>
      </w:r>
      <w:r w:rsidRPr="00A567EA">
        <w:rPr>
          <w:szCs w:val="21"/>
        </w:rPr>
        <w:t>F</w:t>
      </w:r>
      <w:r w:rsidR="0093436B" w:rsidRPr="00A567EA">
        <w:rPr>
          <w:szCs w:val="21"/>
        </w:rPr>
        <w:t xml:space="preserve">ramework and manage risks and issues as they arise. Key areas of the department and their role in implementing the </w:t>
      </w:r>
      <w:r w:rsidR="00560962" w:rsidRPr="00A567EA">
        <w:rPr>
          <w:szCs w:val="21"/>
        </w:rPr>
        <w:t>F</w:t>
      </w:r>
      <w:r w:rsidR="0093436B" w:rsidRPr="00A567EA">
        <w:rPr>
          <w:szCs w:val="21"/>
        </w:rPr>
        <w:t xml:space="preserve">ramework are: </w:t>
      </w:r>
    </w:p>
    <w:p w14:paraId="2A9E7F9F" w14:textId="018300F3" w:rsidR="009A6082" w:rsidRPr="00A567EA" w:rsidRDefault="009A6082" w:rsidP="009A6082">
      <w:pPr>
        <w:pStyle w:val="Heading4"/>
        <w:rPr>
          <w:color w:val="53565A"/>
          <w:sz w:val="21"/>
          <w:szCs w:val="21"/>
        </w:rPr>
      </w:pPr>
      <w:r w:rsidRPr="00A567EA">
        <w:rPr>
          <w:color w:val="53565A"/>
          <w:sz w:val="21"/>
          <w:szCs w:val="21"/>
        </w:rPr>
        <w:t>Hospitals Victoria</w:t>
      </w:r>
    </w:p>
    <w:p w14:paraId="23E39AEC" w14:textId="5221E6A1" w:rsidR="009A6082" w:rsidRPr="00A567EA" w:rsidRDefault="009A6082" w:rsidP="009A6082">
      <w:pPr>
        <w:pStyle w:val="DHHSbody"/>
        <w:rPr>
          <w:rFonts w:cs="Arial"/>
          <w:szCs w:val="21"/>
        </w:rPr>
      </w:pPr>
      <w:r>
        <w:rPr>
          <w:rFonts w:cs="Arial"/>
          <w:szCs w:val="21"/>
        </w:rPr>
        <w:t xml:space="preserve">In 2025-26 </w:t>
      </w:r>
      <w:r w:rsidRPr="00A567EA">
        <w:rPr>
          <w:rFonts w:cs="Arial"/>
          <w:szCs w:val="21"/>
        </w:rPr>
        <w:t>H</w:t>
      </w:r>
      <w:r>
        <w:rPr>
          <w:rFonts w:cs="Arial"/>
          <w:szCs w:val="21"/>
        </w:rPr>
        <w:t>V</w:t>
      </w:r>
      <w:r w:rsidRPr="00A567EA">
        <w:rPr>
          <w:rFonts w:cs="Arial"/>
          <w:szCs w:val="21"/>
        </w:rPr>
        <w:t xml:space="preserve"> </w:t>
      </w:r>
      <w:r>
        <w:rPr>
          <w:rFonts w:cs="Arial"/>
          <w:szCs w:val="21"/>
        </w:rPr>
        <w:t>will lead</w:t>
      </w:r>
      <w:r w:rsidRPr="00A567EA">
        <w:rPr>
          <w:rFonts w:cs="Arial"/>
          <w:szCs w:val="21"/>
        </w:rPr>
        <w:t xml:space="preserve"> the implementation of the </w:t>
      </w:r>
      <w:r>
        <w:rPr>
          <w:rFonts w:cs="Arial"/>
          <w:szCs w:val="21"/>
        </w:rPr>
        <w:t>PMF</w:t>
      </w:r>
      <w:r w:rsidRPr="00A567EA">
        <w:rPr>
          <w:rFonts w:cs="Arial"/>
          <w:szCs w:val="21"/>
        </w:rPr>
        <w:t xml:space="preserve"> and </w:t>
      </w:r>
      <w:r w:rsidR="00EE2819">
        <w:rPr>
          <w:rFonts w:cs="Arial"/>
          <w:szCs w:val="21"/>
        </w:rPr>
        <w:t xml:space="preserve">will </w:t>
      </w:r>
      <w:r w:rsidRPr="00A567EA">
        <w:rPr>
          <w:rFonts w:cs="Arial"/>
          <w:szCs w:val="21"/>
        </w:rPr>
        <w:t>coordinat</w:t>
      </w:r>
      <w:r w:rsidR="00EE2819">
        <w:rPr>
          <w:rFonts w:cs="Arial"/>
          <w:szCs w:val="21"/>
        </w:rPr>
        <w:t>e</w:t>
      </w:r>
      <w:r w:rsidRPr="00A567EA">
        <w:rPr>
          <w:rFonts w:cs="Arial"/>
          <w:szCs w:val="21"/>
        </w:rPr>
        <w:t xml:space="preserve"> across the department to ensure a cohesive approach to performance monitoring and improvement. This includes providing health services with operating parameters and a focussed set of priorities that align with core government expectations, and ensuring they have a clear and agreed strategy for uplifting performance. </w:t>
      </w:r>
    </w:p>
    <w:p w14:paraId="6DBB1245" w14:textId="29799458" w:rsidR="009A6082" w:rsidRDefault="00EE2819" w:rsidP="009A6082">
      <w:pPr>
        <w:pStyle w:val="DHHSbody"/>
        <w:rPr>
          <w:rFonts w:cs="Arial"/>
          <w:szCs w:val="21"/>
        </w:rPr>
      </w:pPr>
      <w:r>
        <w:rPr>
          <w:rFonts w:cs="Arial"/>
          <w:szCs w:val="21"/>
        </w:rPr>
        <w:t>HV will lead</w:t>
      </w:r>
      <w:r w:rsidR="009A6082" w:rsidRPr="00A567EA">
        <w:rPr>
          <w:rFonts w:cs="Arial"/>
          <w:szCs w:val="21"/>
        </w:rPr>
        <w:t xml:space="preserve"> performance meetings with health services and is responsible for coordinating performance and risk assessment, monitoring, and forming an overarching assessment of health services and the system that brings together intelligence and expertise across many performance domains. It is the central point of visibility and strategy for the system as a whole and advises the Minister for Health and Ambulance Services about strategic performance issues. </w:t>
      </w:r>
    </w:p>
    <w:p w14:paraId="437D3478" w14:textId="39197009" w:rsidR="00373508" w:rsidRPr="00351F2D" w:rsidRDefault="5E19C03F" w:rsidP="009A6082">
      <w:pPr>
        <w:pStyle w:val="DHHSbody"/>
      </w:pPr>
      <w:r>
        <w:lastRenderedPageBreak/>
        <w:t xml:space="preserve">In addition, </w:t>
      </w:r>
      <w:r w:rsidR="00613343">
        <w:t>HV is the key lead in</w:t>
      </w:r>
      <w:r w:rsidR="00C3190C">
        <w:t xml:space="preserve"> financial</w:t>
      </w:r>
      <w:r w:rsidR="00613343">
        <w:t xml:space="preserve"> and</w:t>
      </w:r>
      <w:r w:rsidR="00C3190C">
        <w:t xml:space="preserve"> funding functions</w:t>
      </w:r>
      <w:r w:rsidR="698BFB8E">
        <w:t xml:space="preserve"> and</w:t>
      </w:r>
      <w:r w:rsidR="00C3190C">
        <w:t xml:space="preserve"> focuses on the broader health sector budget. HV is a crucial enabler of health system sustainability and supports implementation of the Framework by supporting hospitals and health services to drive financial performance, including a focus on improving revenue strategies and greater efficiency. </w:t>
      </w:r>
    </w:p>
    <w:p w14:paraId="1F0FCD79" w14:textId="40229A85" w:rsidR="0093436B" w:rsidRPr="00A567EA" w:rsidRDefault="0093436B" w:rsidP="00D15E4F">
      <w:pPr>
        <w:pStyle w:val="Heading4"/>
        <w:rPr>
          <w:color w:val="53565A"/>
          <w:sz w:val="21"/>
          <w:szCs w:val="21"/>
        </w:rPr>
      </w:pPr>
      <w:r w:rsidRPr="00A567EA">
        <w:rPr>
          <w:color w:val="53565A"/>
          <w:sz w:val="21"/>
          <w:szCs w:val="21"/>
        </w:rPr>
        <w:t xml:space="preserve">Hospitals and Health Services </w:t>
      </w:r>
      <w:r w:rsidR="00660649" w:rsidRPr="00A567EA">
        <w:rPr>
          <w:color w:val="53565A"/>
          <w:sz w:val="21"/>
          <w:szCs w:val="21"/>
        </w:rPr>
        <w:t>d</w:t>
      </w:r>
      <w:r w:rsidRPr="00A567EA">
        <w:rPr>
          <w:color w:val="53565A"/>
          <w:sz w:val="21"/>
          <w:szCs w:val="21"/>
        </w:rPr>
        <w:t>ivision</w:t>
      </w:r>
    </w:p>
    <w:p w14:paraId="3C4A70AD" w14:textId="0B64BD65" w:rsidR="0093436B" w:rsidRDefault="0093436B" w:rsidP="0093436B">
      <w:pPr>
        <w:pStyle w:val="DHHSbody"/>
        <w:rPr>
          <w:rFonts w:cs="Arial"/>
          <w:szCs w:val="21"/>
        </w:rPr>
      </w:pPr>
      <w:r w:rsidRPr="00A567EA">
        <w:rPr>
          <w:rFonts w:cs="Arial"/>
          <w:szCs w:val="21"/>
        </w:rPr>
        <w:t xml:space="preserve">The Hospitals and Health Services </w:t>
      </w:r>
      <w:r w:rsidR="00660649" w:rsidRPr="00A567EA">
        <w:rPr>
          <w:rFonts w:cs="Arial"/>
          <w:szCs w:val="21"/>
        </w:rPr>
        <w:t>d</w:t>
      </w:r>
      <w:r w:rsidRPr="00A567EA">
        <w:rPr>
          <w:rFonts w:cs="Arial"/>
          <w:szCs w:val="21"/>
        </w:rPr>
        <w:t xml:space="preserve">ivision (HHS) </w:t>
      </w:r>
      <w:r w:rsidR="00D06694" w:rsidRPr="00A567EA">
        <w:rPr>
          <w:rFonts w:cs="Arial"/>
          <w:szCs w:val="21"/>
        </w:rPr>
        <w:t xml:space="preserve">is responsible for ensuring </w:t>
      </w:r>
      <w:r w:rsidRPr="00A567EA">
        <w:rPr>
          <w:rFonts w:cs="Arial"/>
          <w:szCs w:val="21"/>
        </w:rPr>
        <w:t>people can access high quality</w:t>
      </w:r>
      <w:r w:rsidR="008815DA" w:rsidRPr="00A567EA">
        <w:rPr>
          <w:rFonts w:cs="Arial"/>
          <w:szCs w:val="21"/>
        </w:rPr>
        <w:t xml:space="preserve"> care from</w:t>
      </w:r>
      <w:r w:rsidRPr="00A567EA">
        <w:rPr>
          <w:rFonts w:cs="Arial"/>
          <w:szCs w:val="21"/>
        </w:rPr>
        <w:t xml:space="preserve"> hospital</w:t>
      </w:r>
      <w:r w:rsidR="008815DA" w:rsidRPr="00A567EA">
        <w:rPr>
          <w:rFonts w:cs="Arial"/>
          <w:szCs w:val="21"/>
        </w:rPr>
        <w:t>s and health services</w:t>
      </w:r>
      <w:r w:rsidRPr="00A567EA">
        <w:rPr>
          <w:rFonts w:cs="Arial"/>
          <w:szCs w:val="21"/>
        </w:rPr>
        <w:t xml:space="preserve">, ambulance </w:t>
      </w:r>
      <w:r w:rsidR="008815DA" w:rsidRPr="00A567EA">
        <w:rPr>
          <w:rFonts w:cs="Arial"/>
          <w:szCs w:val="21"/>
        </w:rPr>
        <w:t xml:space="preserve">services </w:t>
      </w:r>
      <w:r w:rsidRPr="00A567EA">
        <w:rPr>
          <w:rFonts w:cs="Arial"/>
          <w:szCs w:val="21"/>
        </w:rPr>
        <w:t xml:space="preserve">and public aged care. </w:t>
      </w:r>
    </w:p>
    <w:p w14:paraId="3D26586F" w14:textId="3C732A0A" w:rsidR="0009401D" w:rsidRPr="00A567EA" w:rsidRDefault="0009401D" w:rsidP="0009401D">
      <w:pPr>
        <w:pStyle w:val="DHHSbody"/>
        <w:rPr>
          <w:rFonts w:cs="Arial"/>
          <w:szCs w:val="21"/>
        </w:rPr>
      </w:pPr>
      <w:r w:rsidRPr="00A567EA">
        <w:rPr>
          <w:rFonts w:cs="Arial"/>
          <w:szCs w:val="21"/>
        </w:rPr>
        <w:t>HHS is also the lead or co-lead for a range of performance domains. These include leadership and capability, equitable access, public sector aged care and the NDIA and aged care sectors’ interface with public health services, emergency care (including ambulance services), planned care (spanning surgery and non-admitted services), system flow,</w:t>
      </w:r>
      <w:r>
        <w:rPr>
          <w:rFonts w:cs="Arial"/>
          <w:szCs w:val="21"/>
        </w:rPr>
        <w:t xml:space="preserve"> </w:t>
      </w:r>
      <w:r w:rsidR="00F8038B">
        <w:rPr>
          <w:rFonts w:cs="Arial"/>
          <w:szCs w:val="21"/>
        </w:rPr>
        <w:t xml:space="preserve">and </w:t>
      </w:r>
      <w:r>
        <w:rPr>
          <w:rFonts w:cs="Arial"/>
          <w:szCs w:val="21"/>
        </w:rPr>
        <w:t>workforce sustainability</w:t>
      </w:r>
      <w:r w:rsidRPr="00A567EA">
        <w:rPr>
          <w:rFonts w:cs="Arial"/>
          <w:szCs w:val="21"/>
        </w:rPr>
        <w:t xml:space="preserve">. </w:t>
      </w:r>
    </w:p>
    <w:p w14:paraId="5FD5C00B" w14:textId="77777777" w:rsidR="008A4A09" w:rsidRDefault="00446DB6" w:rsidP="00335C0E">
      <w:pPr>
        <w:pStyle w:val="Heading4"/>
        <w:rPr>
          <w:rFonts w:eastAsia="Times" w:cs="Arial"/>
          <w:b w:val="0"/>
          <w:bCs w:val="0"/>
          <w:color w:val="auto"/>
          <w:sz w:val="21"/>
          <w:szCs w:val="21"/>
          <w:lang w:val="en-AU" w:eastAsia="en-US"/>
        </w:rPr>
      </w:pPr>
      <w:r w:rsidRPr="008A4A09">
        <w:rPr>
          <w:rFonts w:eastAsia="Times" w:cs="Arial"/>
          <w:b w:val="0"/>
          <w:bCs w:val="0"/>
          <w:color w:val="auto"/>
          <w:sz w:val="21"/>
          <w:szCs w:val="21"/>
          <w:lang w:val="en-AU" w:eastAsia="en-US"/>
        </w:rPr>
        <w:t>HHS will continue to be the primary liaison between the Department and public hospitals and health services across the state. With deep expertise in each health service, local health service networks and the needs of local communities</w:t>
      </w:r>
      <w:r w:rsidR="00B23FEA" w:rsidRPr="008A4A09">
        <w:rPr>
          <w:rFonts w:eastAsia="Times" w:cs="Arial"/>
          <w:b w:val="0"/>
          <w:bCs w:val="0"/>
          <w:color w:val="auto"/>
          <w:sz w:val="21"/>
          <w:szCs w:val="21"/>
          <w:lang w:val="en-AU" w:eastAsia="en-US"/>
        </w:rPr>
        <w:t xml:space="preserve">. </w:t>
      </w:r>
      <w:bookmarkStart w:id="116" w:name="_Toc166959804"/>
    </w:p>
    <w:p w14:paraId="1B8BA5B2" w14:textId="157FB880" w:rsidR="00335C0E" w:rsidRPr="00A567EA" w:rsidRDefault="00335C0E" w:rsidP="00335C0E">
      <w:pPr>
        <w:pStyle w:val="Heading4"/>
        <w:rPr>
          <w:color w:val="53565A"/>
          <w:sz w:val="21"/>
          <w:szCs w:val="21"/>
        </w:rPr>
      </w:pPr>
      <w:r w:rsidRPr="008A4A09">
        <w:rPr>
          <w:color w:val="53565A"/>
          <w:sz w:val="21"/>
          <w:szCs w:val="21"/>
        </w:rPr>
        <w:t>Safer Care Victoria</w:t>
      </w:r>
      <w:bookmarkEnd w:id="116"/>
    </w:p>
    <w:p w14:paraId="1DB56D45" w14:textId="775358CE" w:rsidR="00335C0E" w:rsidRPr="00A567EA" w:rsidRDefault="00335C0E" w:rsidP="00335C0E">
      <w:pPr>
        <w:pStyle w:val="DHHSbody"/>
        <w:rPr>
          <w:szCs w:val="21"/>
        </w:rPr>
      </w:pPr>
      <w:r w:rsidRPr="00A567EA">
        <w:rPr>
          <w:szCs w:val="21"/>
        </w:rPr>
        <w:t>SCV is the</w:t>
      </w:r>
      <w:r w:rsidR="00D14957">
        <w:rPr>
          <w:rStyle w:val="CommentReference"/>
          <w:rFonts w:ascii="Cambria" w:eastAsia="Times New Roman" w:hAnsi="Cambria"/>
        </w:rPr>
        <w:t xml:space="preserve"> </w:t>
      </w:r>
      <w:r w:rsidRPr="00A567EA">
        <w:rPr>
          <w:szCs w:val="21"/>
        </w:rPr>
        <w:t xml:space="preserve">state authority </w:t>
      </w:r>
      <w:r w:rsidR="008F7C9C" w:rsidRPr="00A567EA">
        <w:rPr>
          <w:szCs w:val="21"/>
        </w:rPr>
        <w:t xml:space="preserve">for </w:t>
      </w:r>
      <w:r w:rsidRPr="00A567EA">
        <w:rPr>
          <w:szCs w:val="21"/>
        </w:rPr>
        <w:t>oversee</w:t>
      </w:r>
      <w:r w:rsidR="00E526EC" w:rsidRPr="00A567EA">
        <w:rPr>
          <w:szCs w:val="21"/>
        </w:rPr>
        <w:t>ing</w:t>
      </w:r>
      <w:r w:rsidRPr="00A567EA">
        <w:rPr>
          <w:szCs w:val="21"/>
        </w:rPr>
        <w:t xml:space="preserve"> and support</w:t>
      </w:r>
      <w:r w:rsidR="00E526EC" w:rsidRPr="00A567EA">
        <w:rPr>
          <w:szCs w:val="21"/>
        </w:rPr>
        <w:t>ing</w:t>
      </w:r>
      <w:r w:rsidRPr="00A567EA">
        <w:rPr>
          <w:szCs w:val="21"/>
        </w:rPr>
        <w:t xml:space="preserve"> Victorian health services to provide safe, high-quality care.</w:t>
      </w:r>
      <w:r w:rsidR="002555A9" w:rsidRPr="00A567EA">
        <w:rPr>
          <w:szCs w:val="21"/>
        </w:rPr>
        <w:t xml:space="preserve"> </w:t>
      </w:r>
      <w:r w:rsidRPr="00A567EA">
        <w:rPr>
          <w:szCs w:val="21"/>
        </w:rPr>
        <w:t xml:space="preserve">SCV supports implementation of the </w:t>
      </w:r>
      <w:r w:rsidR="00560962" w:rsidRPr="00A567EA">
        <w:rPr>
          <w:szCs w:val="21"/>
        </w:rPr>
        <w:t>F</w:t>
      </w:r>
      <w:r w:rsidRPr="00A567EA">
        <w:rPr>
          <w:szCs w:val="21"/>
        </w:rPr>
        <w:t>ramework by setting expectations</w:t>
      </w:r>
      <w:r w:rsidR="00471575" w:rsidRPr="00A567EA">
        <w:rPr>
          <w:szCs w:val="21"/>
        </w:rPr>
        <w:t xml:space="preserve"> about best practice clinical governance</w:t>
      </w:r>
      <w:r w:rsidR="000E4E2E" w:rsidRPr="00A567EA">
        <w:rPr>
          <w:szCs w:val="21"/>
        </w:rPr>
        <w:t xml:space="preserve">; </w:t>
      </w:r>
      <w:r w:rsidRPr="00A567EA">
        <w:rPr>
          <w:szCs w:val="21"/>
        </w:rPr>
        <w:t xml:space="preserve">monitoring </w:t>
      </w:r>
      <w:r w:rsidR="005F6308" w:rsidRPr="00A567EA">
        <w:rPr>
          <w:szCs w:val="21"/>
        </w:rPr>
        <w:t>standards of care</w:t>
      </w:r>
      <w:r w:rsidR="000E4E2E" w:rsidRPr="00A567EA">
        <w:rPr>
          <w:szCs w:val="21"/>
        </w:rPr>
        <w:t>;</w:t>
      </w:r>
      <w:r w:rsidR="005F6308" w:rsidRPr="00A567EA">
        <w:rPr>
          <w:szCs w:val="21"/>
        </w:rPr>
        <w:t xml:space="preserve"> </w:t>
      </w:r>
      <w:r w:rsidRPr="00A567EA">
        <w:rPr>
          <w:szCs w:val="21"/>
        </w:rPr>
        <w:t>improving the quality of care</w:t>
      </w:r>
      <w:r w:rsidR="00471575" w:rsidRPr="00A567EA">
        <w:rPr>
          <w:szCs w:val="21"/>
        </w:rPr>
        <w:t>;</w:t>
      </w:r>
      <w:r w:rsidR="000C544E" w:rsidRPr="00A567EA">
        <w:rPr>
          <w:szCs w:val="21"/>
        </w:rPr>
        <w:t xml:space="preserve"> assuring processes occur to learn from adverse events</w:t>
      </w:r>
      <w:r w:rsidR="000E4E2E" w:rsidRPr="00A567EA">
        <w:rPr>
          <w:szCs w:val="21"/>
        </w:rPr>
        <w:t xml:space="preserve">, </w:t>
      </w:r>
      <w:r w:rsidR="000C544E" w:rsidRPr="00A567EA">
        <w:rPr>
          <w:szCs w:val="21"/>
        </w:rPr>
        <w:t xml:space="preserve">and specifically </w:t>
      </w:r>
      <w:r w:rsidR="000E4E2E" w:rsidRPr="00A567EA">
        <w:rPr>
          <w:szCs w:val="21"/>
        </w:rPr>
        <w:t xml:space="preserve">in relation to </w:t>
      </w:r>
      <w:r w:rsidR="00D474E6" w:rsidRPr="00A567EA">
        <w:rPr>
          <w:szCs w:val="21"/>
        </w:rPr>
        <w:t xml:space="preserve">reporting </w:t>
      </w:r>
      <w:r w:rsidR="000C544E" w:rsidRPr="00A567EA">
        <w:rPr>
          <w:szCs w:val="21"/>
        </w:rPr>
        <w:t xml:space="preserve">Sentinel Events </w:t>
      </w:r>
      <w:r w:rsidR="00D474E6" w:rsidRPr="00A567EA">
        <w:rPr>
          <w:szCs w:val="21"/>
        </w:rPr>
        <w:t xml:space="preserve">to SCV in line with the Policy </w:t>
      </w:r>
      <w:r w:rsidR="00C91DD5" w:rsidRPr="00A567EA">
        <w:rPr>
          <w:szCs w:val="21"/>
        </w:rPr>
        <w:t>and</w:t>
      </w:r>
      <w:r w:rsidR="00D474E6" w:rsidRPr="00A567EA">
        <w:rPr>
          <w:szCs w:val="21"/>
        </w:rPr>
        <w:t xml:space="preserve"> Funding Guidelines </w:t>
      </w:r>
      <w:r w:rsidR="000C544E" w:rsidRPr="00A567EA">
        <w:rPr>
          <w:szCs w:val="21"/>
        </w:rPr>
        <w:t>and</w:t>
      </w:r>
      <w:r w:rsidR="00D474E6" w:rsidRPr="00A567EA">
        <w:rPr>
          <w:szCs w:val="21"/>
        </w:rPr>
        <w:t xml:space="preserve"> formally</w:t>
      </w:r>
      <w:r w:rsidR="00F10A9F" w:rsidRPr="00A567EA">
        <w:rPr>
          <w:szCs w:val="21"/>
        </w:rPr>
        <w:t xml:space="preserve"> review</w:t>
      </w:r>
      <w:r w:rsidR="00A52D29" w:rsidRPr="00A567EA">
        <w:rPr>
          <w:szCs w:val="21"/>
        </w:rPr>
        <w:t>ing</w:t>
      </w:r>
      <w:r w:rsidR="000C544E" w:rsidRPr="00A567EA">
        <w:rPr>
          <w:szCs w:val="21"/>
        </w:rPr>
        <w:t xml:space="preserve"> Serious Adverse Patient Safety Events</w:t>
      </w:r>
      <w:r w:rsidR="00A52D29" w:rsidRPr="00A567EA">
        <w:rPr>
          <w:szCs w:val="21"/>
        </w:rPr>
        <w:t xml:space="preserve"> and conducting the Statutory Duty of Candour</w:t>
      </w:r>
      <w:r w:rsidR="00537FBF" w:rsidRPr="00A567EA">
        <w:rPr>
          <w:szCs w:val="21"/>
        </w:rPr>
        <w:t>,</w:t>
      </w:r>
      <w:r w:rsidRPr="00A567EA">
        <w:rPr>
          <w:szCs w:val="21"/>
        </w:rPr>
        <w:t xml:space="preserve"> and workforce safety, wellbeing and development. </w:t>
      </w:r>
    </w:p>
    <w:p w14:paraId="542DABDC" w14:textId="13EDDA85" w:rsidR="00335C0E" w:rsidRPr="00A567EA" w:rsidRDefault="00335C0E" w:rsidP="00335C0E">
      <w:pPr>
        <w:pStyle w:val="DHHSbody"/>
        <w:rPr>
          <w:szCs w:val="21"/>
        </w:rPr>
      </w:pPr>
      <w:r w:rsidRPr="00A567EA">
        <w:rPr>
          <w:szCs w:val="21"/>
        </w:rPr>
        <w:t>SCV provides clinicians and health services with tools and resources to improve quality and safety and is a key partner in performance conversations with health services</w:t>
      </w:r>
      <w:r w:rsidR="00537FBF" w:rsidRPr="00A567EA">
        <w:rPr>
          <w:szCs w:val="21"/>
        </w:rPr>
        <w:t xml:space="preserve"> in this domain</w:t>
      </w:r>
      <w:r w:rsidRPr="00A567EA">
        <w:rPr>
          <w:szCs w:val="21"/>
        </w:rPr>
        <w:t>.</w:t>
      </w:r>
    </w:p>
    <w:p w14:paraId="37B89AE9" w14:textId="10DD0E03" w:rsidR="0093436B" w:rsidRPr="00A567EA" w:rsidRDefault="0093436B" w:rsidP="00335C0E">
      <w:pPr>
        <w:pStyle w:val="Heading4"/>
        <w:rPr>
          <w:color w:val="53565A"/>
          <w:sz w:val="21"/>
          <w:szCs w:val="21"/>
        </w:rPr>
      </w:pPr>
      <w:r w:rsidRPr="00A567EA">
        <w:rPr>
          <w:color w:val="53565A"/>
          <w:sz w:val="21"/>
          <w:szCs w:val="21"/>
        </w:rPr>
        <w:t xml:space="preserve">Mental Health and Wellbeing </w:t>
      </w:r>
      <w:r w:rsidR="00BD0B11" w:rsidRPr="00A567EA">
        <w:rPr>
          <w:color w:val="53565A"/>
          <w:sz w:val="21"/>
          <w:szCs w:val="21"/>
        </w:rPr>
        <w:t>d</w:t>
      </w:r>
      <w:r w:rsidRPr="00A567EA">
        <w:rPr>
          <w:color w:val="53565A"/>
          <w:sz w:val="21"/>
          <w:szCs w:val="21"/>
        </w:rPr>
        <w:t>ivision</w:t>
      </w:r>
    </w:p>
    <w:p w14:paraId="401BA5ED" w14:textId="5A370843" w:rsidR="0093436B" w:rsidRPr="00A567EA" w:rsidRDefault="0093436B" w:rsidP="0093436B">
      <w:pPr>
        <w:pStyle w:val="DHHSbody"/>
        <w:rPr>
          <w:rFonts w:cs="Arial"/>
          <w:szCs w:val="21"/>
        </w:rPr>
      </w:pPr>
      <w:r w:rsidRPr="00A567EA">
        <w:rPr>
          <w:rFonts w:cs="Arial"/>
          <w:szCs w:val="21"/>
        </w:rPr>
        <w:t xml:space="preserve">Mental Health and Wellbeing </w:t>
      </w:r>
      <w:r w:rsidR="00BD0B11" w:rsidRPr="00A567EA">
        <w:rPr>
          <w:rFonts w:cs="Arial"/>
          <w:szCs w:val="21"/>
        </w:rPr>
        <w:t xml:space="preserve">division </w:t>
      </w:r>
      <w:r w:rsidRPr="00A567EA">
        <w:rPr>
          <w:rFonts w:cs="Arial"/>
          <w:szCs w:val="21"/>
        </w:rPr>
        <w:t>(MHW) leads and delivers Victoria’s mental health and wellbeing reform agenda, as set out by the Final report of the Royal Commission into Victoria’s Mental Health System (2021). It stewards the mental health and alcohol</w:t>
      </w:r>
      <w:r w:rsidR="00724793" w:rsidRPr="00A567EA">
        <w:rPr>
          <w:rFonts w:cs="Arial"/>
          <w:szCs w:val="21"/>
        </w:rPr>
        <w:t>,</w:t>
      </w:r>
      <w:r w:rsidRPr="00A567EA">
        <w:rPr>
          <w:rFonts w:cs="Arial"/>
          <w:szCs w:val="21"/>
        </w:rPr>
        <w:t xml:space="preserve"> and other drug service sectors</w:t>
      </w:r>
      <w:r w:rsidR="009B5B5D" w:rsidRPr="00A567EA">
        <w:rPr>
          <w:rFonts w:cs="Arial"/>
          <w:szCs w:val="21"/>
        </w:rPr>
        <w:t xml:space="preserve"> and</w:t>
      </w:r>
      <w:r w:rsidRPr="00A567EA">
        <w:rPr>
          <w:rFonts w:cs="Arial"/>
          <w:szCs w:val="21"/>
        </w:rPr>
        <w:t xml:space="preserve"> aims to ensure all Victorians have access to high quality mental health and AOD services that are informed by lived experience.</w:t>
      </w:r>
    </w:p>
    <w:p w14:paraId="03ED3889" w14:textId="478C72A2" w:rsidR="00AD0B3E" w:rsidRPr="00A567EA" w:rsidRDefault="0093436B" w:rsidP="0093436B">
      <w:pPr>
        <w:pStyle w:val="DHHSbody"/>
        <w:rPr>
          <w:rFonts w:cs="Arial"/>
          <w:szCs w:val="21"/>
        </w:rPr>
      </w:pPr>
      <w:r w:rsidRPr="00A567EA">
        <w:rPr>
          <w:rFonts w:cs="Arial"/>
          <w:szCs w:val="21"/>
        </w:rPr>
        <w:t xml:space="preserve">MHW supports implementation of the </w:t>
      </w:r>
      <w:r w:rsidR="00560962" w:rsidRPr="00A567EA">
        <w:rPr>
          <w:rFonts w:cs="Arial"/>
          <w:szCs w:val="21"/>
        </w:rPr>
        <w:t>F</w:t>
      </w:r>
      <w:r w:rsidRPr="00A567EA">
        <w:rPr>
          <w:rFonts w:cs="Arial"/>
          <w:szCs w:val="21"/>
        </w:rPr>
        <w:t>ramework by leading performance monitoring and improvement of area mental health services and statewide and specialist mental health services</w:t>
      </w:r>
      <w:r w:rsidR="00DE7D11" w:rsidRPr="00A567EA">
        <w:rPr>
          <w:rFonts w:cs="Arial"/>
          <w:szCs w:val="21"/>
        </w:rPr>
        <w:t>, through the aligned but more detailed Performance and Accountability Framework (PAF). The PAF will transition to the Mental Health and Wellbeing Outcomes and Performance Framework in order to support broader insights into, and accountability for, the collective impact of the mental health and wellbeing system’.</w:t>
      </w:r>
    </w:p>
    <w:p w14:paraId="5D07FFD0" w14:textId="71185B25" w:rsidR="00D15E4F" w:rsidRPr="00A567EA" w:rsidRDefault="0093436B" w:rsidP="00D15E4F">
      <w:pPr>
        <w:pStyle w:val="Heading5"/>
        <w:spacing w:before="240" w:after="0" w:line="280" w:lineRule="atLeast"/>
        <w:rPr>
          <w:rFonts w:eastAsia="MS Mincho" w:cs="Times New Roman"/>
          <w:b/>
          <w:color w:val="000000" w:themeColor="text1"/>
          <w:sz w:val="21"/>
          <w:szCs w:val="21"/>
          <w:lang w:val="en-AU" w:eastAsia="en-US"/>
        </w:rPr>
      </w:pPr>
      <w:r w:rsidRPr="00A567EA">
        <w:rPr>
          <w:rFonts w:eastAsia="MS Mincho" w:cs="Times New Roman"/>
          <w:b/>
          <w:color w:val="000000" w:themeColor="text1"/>
          <w:sz w:val="21"/>
          <w:szCs w:val="21"/>
          <w:lang w:val="en-AU" w:eastAsia="en-US"/>
        </w:rPr>
        <w:t>Office of the Chief Psychiatrist</w:t>
      </w:r>
    </w:p>
    <w:p w14:paraId="1C9B6F37" w14:textId="111E73DB" w:rsidR="0093436B" w:rsidRPr="00A567EA" w:rsidRDefault="007F6C6C" w:rsidP="0093436B">
      <w:pPr>
        <w:pStyle w:val="DHHSbody"/>
        <w:rPr>
          <w:szCs w:val="21"/>
        </w:rPr>
      </w:pPr>
      <w:r w:rsidRPr="00A567EA">
        <w:rPr>
          <w:szCs w:val="21"/>
        </w:rPr>
        <w:t>Within MHW, t</w:t>
      </w:r>
      <w:r w:rsidR="0093436B" w:rsidRPr="00A567EA">
        <w:rPr>
          <w:szCs w:val="21"/>
        </w:rPr>
        <w:t xml:space="preserve">he Chief Psychiatrist provides system-wide oversight of Victoria’s public mental health services. Supported by the Office of the Chief Psychiatrist (OCP), the role supports quality and </w:t>
      </w:r>
      <w:r w:rsidR="0093436B" w:rsidRPr="00A567EA">
        <w:rPr>
          <w:szCs w:val="21"/>
        </w:rPr>
        <w:lastRenderedPageBreak/>
        <w:t xml:space="preserve">safety in services provided to some of Victoria’s most vulnerable people. The role and functions of the Chief Psychiatrist are set out under the </w:t>
      </w:r>
      <w:r w:rsidR="0093436B" w:rsidRPr="00A567EA">
        <w:rPr>
          <w:i/>
          <w:szCs w:val="21"/>
        </w:rPr>
        <w:t xml:space="preserve">Mental Health and Wellbeing Act 2022 </w:t>
      </w:r>
      <w:r w:rsidR="0093436B" w:rsidRPr="00A567EA">
        <w:rPr>
          <w:szCs w:val="21"/>
        </w:rPr>
        <w:t>(MHWA)</w:t>
      </w:r>
      <w:r w:rsidR="0093436B" w:rsidRPr="00A567EA">
        <w:rPr>
          <w:rStyle w:val="FootnoteReference"/>
          <w:szCs w:val="21"/>
        </w:rPr>
        <w:footnoteReference w:id="4"/>
      </w:r>
      <w:r w:rsidR="0093436B" w:rsidRPr="00A567EA">
        <w:rPr>
          <w:szCs w:val="21"/>
        </w:rPr>
        <w:t>.</w:t>
      </w:r>
    </w:p>
    <w:p w14:paraId="12064163" w14:textId="1B956651" w:rsidR="0093436B" w:rsidRPr="00A567EA" w:rsidRDefault="0093436B" w:rsidP="0093436B">
      <w:pPr>
        <w:pStyle w:val="DHHSbody"/>
        <w:rPr>
          <w:szCs w:val="21"/>
        </w:rPr>
      </w:pPr>
      <w:r w:rsidRPr="00A567EA">
        <w:rPr>
          <w:szCs w:val="21"/>
        </w:rPr>
        <w:t xml:space="preserve">Responsibilities under the MHWA and which support implementation of the </w:t>
      </w:r>
      <w:r w:rsidR="00560962" w:rsidRPr="00A567EA">
        <w:rPr>
          <w:szCs w:val="21"/>
        </w:rPr>
        <w:t>F</w:t>
      </w:r>
      <w:r w:rsidRPr="00A567EA">
        <w:rPr>
          <w:szCs w:val="21"/>
        </w:rPr>
        <w:t xml:space="preserve">ramework include clinical leadership and quality and safety oversight across Victoria’s public mental health system and mental health and wellbeing services in custodial settings. The activities undertaken by the OCP include assisting services in developing and implementing clinical best practice approaches, undertaking reviews, audits and investigations as required, providing expert clinical advice and promoting the rights of people receiving a mental health and wellbeing service. </w:t>
      </w:r>
    </w:p>
    <w:p w14:paraId="15073EFC" w14:textId="1CA28343" w:rsidR="0093436B" w:rsidRPr="00A567EA" w:rsidRDefault="0093436B" w:rsidP="009A18CB">
      <w:pPr>
        <w:pStyle w:val="Heading4"/>
        <w:rPr>
          <w:color w:val="53565A"/>
          <w:sz w:val="21"/>
          <w:szCs w:val="21"/>
        </w:rPr>
      </w:pPr>
      <w:r w:rsidRPr="00A567EA">
        <w:rPr>
          <w:color w:val="53565A"/>
          <w:sz w:val="21"/>
          <w:szCs w:val="21"/>
        </w:rPr>
        <w:t>eHealth</w:t>
      </w:r>
      <w:r w:rsidR="007F6C6C" w:rsidRPr="00A567EA">
        <w:rPr>
          <w:color w:val="53565A"/>
          <w:sz w:val="21"/>
          <w:szCs w:val="21"/>
        </w:rPr>
        <w:t xml:space="preserve"> division</w:t>
      </w:r>
    </w:p>
    <w:p w14:paraId="34FE670C" w14:textId="618031ED" w:rsidR="00BF5335" w:rsidRPr="00A567EA" w:rsidRDefault="0093436B" w:rsidP="0093436B">
      <w:pPr>
        <w:pStyle w:val="DHHSbody"/>
        <w:rPr>
          <w:szCs w:val="21"/>
        </w:rPr>
      </w:pPr>
      <w:r w:rsidRPr="00A567EA">
        <w:rPr>
          <w:szCs w:val="21"/>
        </w:rPr>
        <w:t xml:space="preserve">eHealth </w:t>
      </w:r>
      <w:r w:rsidR="00F00197" w:rsidRPr="00A567EA">
        <w:rPr>
          <w:szCs w:val="21"/>
        </w:rPr>
        <w:t>analyses and shares</w:t>
      </w:r>
      <w:r w:rsidRPr="00A567EA">
        <w:rPr>
          <w:szCs w:val="21"/>
        </w:rPr>
        <w:t xml:space="preserve"> information across the health system</w:t>
      </w:r>
      <w:r w:rsidR="00607FF2" w:rsidRPr="00A567EA">
        <w:rPr>
          <w:szCs w:val="21"/>
        </w:rPr>
        <w:t>,</w:t>
      </w:r>
      <w:r w:rsidRPr="00A567EA">
        <w:rPr>
          <w:szCs w:val="21"/>
        </w:rPr>
        <w:t xml:space="preserve"> including developing relevant and meaningful measures of patient care and outcomes.</w:t>
      </w:r>
      <w:r w:rsidR="00F00197" w:rsidRPr="00A567EA">
        <w:rPr>
          <w:szCs w:val="21"/>
        </w:rPr>
        <w:t xml:space="preserve"> </w:t>
      </w:r>
      <w:r w:rsidRPr="00A567EA">
        <w:rPr>
          <w:szCs w:val="21"/>
        </w:rPr>
        <w:t>eHealth relies on obtaining timely, accurate and high-quality data from health services and</w:t>
      </w:r>
      <w:r w:rsidR="00FD2FE0" w:rsidRPr="00A567EA">
        <w:rPr>
          <w:szCs w:val="21"/>
        </w:rPr>
        <w:t xml:space="preserve"> is responsible for</w:t>
      </w:r>
      <w:r w:rsidRPr="00A567EA">
        <w:rPr>
          <w:szCs w:val="21"/>
        </w:rPr>
        <w:t xml:space="preserve"> </w:t>
      </w:r>
      <w:r w:rsidR="00FD2FE0" w:rsidRPr="00A567EA">
        <w:rPr>
          <w:szCs w:val="21"/>
        </w:rPr>
        <w:t xml:space="preserve">data management, standards and integrity. It </w:t>
      </w:r>
      <w:r w:rsidRPr="00A567EA">
        <w:rPr>
          <w:szCs w:val="21"/>
        </w:rPr>
        <w:t xml:space="preserve">plays a vital role in implementing the </w:t>
      </w:r>
      <w:r w:rsidR="0009074C" w:rsidRPr="00A567EA">
        <w:rPr>
          <w:szCs w:val="21"/>
        </w:rPr>
        <w:t>F</w:t>
      </w:r>
      <w:r w:rsidRPr="00A567EA">
        <w:rPr>
          <w:szCs w:val="21"/>
        </w:rPr>
        <w:t xml:space="preserve">ramework by providing performance data and developing additional robust measures of performance. </w:t>
      </w:r>
    </w:p>
    <w:p w14:paraId="489CDE40" w14:textId="1A48386B" w:rsidR="0093436B" w:rsidRPr="00A567EA" w:rsidRDefault="00B14325" w:rsidP="0093436B">
      <w:pPr>
        <w:pStyle w:val="DHHSbody"/>
        <w:rPr>
          <w:szCs w:val="21"/>
        </w:rPr>
      </w:pPr>
      <w:r w:rsidRPr="00A567EA">
        <w:rPr>
          <w:szCs w:val="21"/>
        </w:rPr>
        <w:t xml:space="preserve">eHealth </w:t>
      </w:r>
      <w:r w:rsidR="00FD2FE0" w:rsidRPr="00A567EA">
        <w:rPr>
          <w:szCs w:val="21"/>
        </w:rPr>
        <w:t xml:space="preserve">is the departmental lead for </w:t>
      </w:r>
      <w:r w:rsidR="0093436B" w:rsidRPr="00A567EA">
        <w:rPr>
          <w:szCs w:val="21"/>
        </w:rPr>
        <w:t>IT and data security, supporting health services to ensure that information systems and networks</w:t>
      </w:r>
      <w:r w:rsidR="00FD2FE0" w:rsidRPr="00A567EA">
        <w:rPr>
          <w:szCs w:val="21"/>
        </w:rPr>
        <w:t xml:space="preserve"> </w:t>
      </w:r>
      <w:r w:rsidR="00856D3C" w:rsidRPr="00A567EA">
        <w:rPr>
          <w:szCs w:val="21"/>
        </w:rPr>
        <w:t>they</w:t>
      </w:r>
      <w:r w:rsidR="0093436B" w:rsidRPr="00A567EA">
        <w:rPr>
          <w:szCs w:val="21"/>
        </w:rPr>
        <w:t xml:space="preserve"> are protected from cyber-attacks, </w:t>
      </w:r>
      <w:r w:rsidR="009732A2" w:rsidRPr="00A567EA">
        <w:rPr>
          <w:szCs w:val="21"/>
        </w:rPr>
        <w:t>and</w:t>
      </w:r>
      <w:r w:rsidRPr="00A567EA">
        <w:rPr>
          <w:szCs w:val="21"/>
        </w:rPr>
        <w:t xml:space="preserve"> </w:t>
      </w:r>
      <w:r w:rsidR="006357D5" w:rsidRPr="00A567EA">
        <w:rPr>
          <w:szCs w:val="21"/>
        </w:rPr>
        <w:t xml:space="preserve">working directly with them to </w:t>
      </w:r>
      <w:r w:rsidRPr="00A567EA">
        <w:rPr>
          <w:szCs w:val="21"/>
        </w:rPr>
        <w:t>respond</w:t>
      </w:r>
      <w:r w:rsidR="009732A2" w:rsidRPr="00A567EA">
        <w:rPr>
          <w:szCs w:val="21"/>
        </w:rPr>
        <w:t xml:space="preserve">ing </w:t>
      </w:r>
      <w:r w:rsidR="006357D5" w:rsidRPr="00A567EA">
        <w:rPr>
          <w:szCs w:val="21"/>
        </w:rPr>
        <w:t xml:space="preserve">respond </w:t>
      </w:r>
      <w:r w:rsidRPr="00A567EA">
        <w:rPr>
          <w:szCs w:val="21"/>
        </w:rPr>
        <w:t xml:space="preserve">to </w:t>
      </w:r>
      <w:r w:rsidR="0093436B" w:rsidRPr="00A567EA">
        <w:rPr>
          <w:szCs w:val="21"/>
        </w:rPr>
        <w:t>breaches</w:t>
      </w:r>
      <w:r w:rsidR="009732A2" w:rsidRPr="00A567EA">
        <w:rPr>
          <w:szCs w:val="21"/>
        </w:rPr>
        <w:t xml:space="preserve"> if they arise</w:t>
      </w:r>
      <w:r w:rsidR="0093436B" w:rsidRPr="00A567EA">
        <w:rPr>
          <w:szCs w:val="21"/>
        </w:rPr>
        <w:t>. ​​​​​​​ ​​​​​​​</w:t>
      </w:r>
    </w:p>
    <w:p w14:paraId="7A9EE4DB" w14:textId="51A8425C" w:rsidR="0093436B" w:rsidRPr="00A567EA" w:rsidRDefault="0093436B" w:rsidP="009A18CB">
      <w:pPr>
        <w:pStyle w:val="Heading4"/>
        <w:rPr>
          <w:color w:val="53565A"/>
          <w:sz w:val="21"/>
          <w:szCs w:val="21"/>
        </w:rPr>
      </w:pPr>
      <w:r w:rsidRPr="00A567EA">
        <w:rPr>
          <w:color w:val="53565A"/>
          <w:sz w:val="21"/>
          <w:szCs w:val="21"/>
        </w:rPr>
        <w:t xml:space="preserve">System Planning </w:t>
      </w:r>
      <w:r w:rsidR="00B533A1" w:rsidRPr="00A567EA">
        <w:rPr>
          <w:color w:val="53565A"/>
          <w:sz w:val="21"/>
          <w:szCs w:val="21"/>
        </w:rPr>
        <w:t>d</w:t>
      </w:r>
      <w:r w:rsidRPr="00A567EA">
        <w:rPr>
          <w:color w:val="53565A"/>
          <w:sz w:val="21"/>
          <w:szCs w:val="21"/>
        </w:rPr>
        <w:t>ivision</w:t>
      </w:r>
    </w:p>
    <w:p w14:paraId="7A03AEE9" w14:textId="2808D563" w:rsidR="0093436B" w:rsidRPr="00A567EA" w:rsidRDefault="0093436B" w:rsidP="0093436B">
      <w:pPr>
        <w:pStyle w:val="DHHSbody"/>
        <w:rPr>
          <w:szCs w:val="21"/>
        </w:rPr>
      </w:pPr>
      <w:r w:rsidRPr="00A567EA">
        <w:rPr>
          <w:szCs w:val="21"/>
        </w:rPr>
        <w:t xml:space="preserve">System Planning </w:t>
      </w:r>
      <w:r w:rsidR="00B533A1" w:rsidRPr="00A567EA">
        <w:rPr>
          <w:szCs w:val="21"/>
        </w:rPr>
        <w:t>d</w:t>
      </w:r>
      <w:r w:rsidRPr="00A567EA">
        <w:rPr>
          <w:szCs w:val="21"/>
        </w:rPr>
        <w:t xml:space="preserve">ivision (SP) </w:t>
      </w:r>
      <w:r w:rsidR="000A6445" w:rsidRPr="00A567EA">
        <w:rPr>
          <w:szCs w:val="21"/>
        </w:rPr>
        <w:t xml:space="preserve">leads </w:t>
      </w:r>
      <w:r w:rsidR="00F00197" w:rsidRPr="00A567EA">
        <w:rPr>
          <w:szCs w:val="21"/>
        </w:rPr>
        <w:t xml:space="preserve">a </w:t>
      </w:r>
      <w:r w:rsidRPr="00A567EA">
        <w:rPr>
          <w:szCs w:val="21"/>
        </w:rPr>
        <w:t xml:space="preserve">joined-up approach </w:t>
      </w:r>
      <w:r w:rsidR="000A6445" w:rsidRPr="00A567EA">
        <w:rPr>
          <w:szCs w:val="21"/>
        </w:rPr>
        <w:t xml:space="preserve">in the department </w:t>
      </w:r>
      <w:r w:rsidRPr="00A567EA">
        <w:rPr>
          <w:szCs w:val="21"/>
        </w:rPr>
        <w:t>to system planning and reform.</w:t>
      </w:r>
      <w:r w:rsidR="00885162" w:rsidRPr="00A567EA">
        <w:rPr>
          <w:szCs w:val="21"/>
        </w:rPr>
        <w:t xml:space="preserve"> </w:t>
      </w:r>
      <w:r w:rsidRPr="00A567EA">
        <w:rPr>
          <w:szCs w:val="21"/>
        </w:rPr>
        <w:t xml:space="preserve">SP supports implementation of the </w:t>
      </w:r>
      <w:r w:rsidR="00560962" w:rsidRPr="00A567EA">
        <w:rPr>
          <w:szCs w:val="21"/>
        </w:rPr>
        <w:t>F</w:t>
      </w:r>
      <w:r w:rsidRPr="00A567EA">
        <w:rPr>
          <w:szCs w:val="21"/>
        </w:rPr>
        <w:t xml:space="preserve">ramework </w:t>
      </w:r>
      <w:r w:rsidR="00FD2FE0" w:rsidRPr="00A567EA">
        <w:rPr>
          <w:szCs w:val="21"/>
        </w:rPr>
        <w:t>through its leadership of</w:t>
      </w:r>
      <w:r w:rsidR="000A6445" w:rsidRPr="00A567EA">
        <w:rPr>
          <w:szCs w:val="21"/>
        </w:rPr>
        <w:t xml:space="preserve"> entity clinical planning and asset management</w:t>
      </w:r>
      <w:r w:rsidR="00FD2FE0" w:rsidRPr="00A567EA">
        <w:rPr>
          <w:szCs w:val="21"/>
        </w:rPr>
        <w:t xml:space="preserve"> and maintenance</w:t>
      </w:r>
      <w:r w:rsidR="004E28D4" w:rsidRPr="00A567EA">
        <w:rPr>
          <w:szCs w:val="21"/>
        </w:rPr>
        <w:t xml:space="preserve">, </w:t>
      </w:r>
      <w:r w:rsidRPr="00A567EA">
        <w:rPr>
          <w:szCs w:val="21"/>
        </w:rPr>
        <w:t xml:space="preserve">to ensure they align with </w:t>
      </w:r>
      <w:r w:rsidR="00BF5335" w:rsidRPr="00A567EA">
        <w:rPr>
          <w:szCs w:val="21"/>
        </w:rPr>
        <w:t>government</w:t>
      </w:r>
      <w:r w:rsidRPr="00A567EA">
        <w:rPr>
          <w:szCs w:val="21"/>
        </w:rPr>
        <w:t xml:space="preserve"> reform</w:t>
      </w:r>
      <w:r w:rsidR="001600DF" w:rsidRPr="00A567EA">
        <w:rPr>
          <w:szCs w:val="21"/>
        </w:rPr>
        <w:t>s</w:t>
      </w:r>
      <w:r w:rsidRPr="00A567EA">
        <w:rPr>
          <w:szCs w:val="21"/>
        </w:rPr>
        <w:t xml:space="preserve"> and the future shape of the health system.</w:t>
      </w:r>
      <w:r w:rsidR="00FD2FE0" w:rsidRPr="00A567EA">
        <w:rPr>
          <w:szCs w:val="21"/>
        </w:rPr>
        <w:t xml:space="preserve"> </w:t>
      </w:r>
    </w:p>
    <w:p w14:paraId="74E8D174" w14:textId="7FF653F2" w:rsidR="00B02466" w:rsidRPr="00A567EA" w:rsidRDefault="00606722" w:rsidP="00B02466">
      <w:pPr>
        <w:pStyle w:val="DHHSbody"/>
        <w:rPr>
          <w:szCs w:val="21"/>
        </w:rPr>
      </w:pPr>
      <w:r w:rsidRPr="00A567EA">
        <w:rPr>
          <w:szCs w:val="21"/>
        </w:rPr>
        <w:t xml:space="preserve">It works closely with the </w:t>
      </w:r>
      <w:r w:rsidR="00AB1486" w:rsidRPr="00A567EA">
        <w:rPr>
          <w:szCs w:val="21"/>
        </w:rPr>
        <w:t xml:space="preserve">Victorian Infrastructure Delivery Authority </w:t>
      </w:r>
      <w:r w:rsidRPr="00A567EA">
        <w:rPr>
          <w:szCs w:val="21"/>
        </w:rPr>
        <w:t xml:space="preserve">(VIDA) which is responsible for </w:t>
      </w:r>
      <w:r w:rsidR="00AB1486" w:rsidRPr="00A567EA">
        <w:rPr>
          <w:szCs w:val="21"/>
        </w:rPr>
        <w:t>the state’s health infrastructure program</w:t>
      </w:r>
      <w:r w:rsidRPr="00A567EA">
        <w:rPr>
          <w:szCs w:val="21"/>
        </w:rPr>
        <w:t xml:space="preserve">. System Planning engages with VIDA to support the </w:t>
      </w:r>
      <w:r w:rsidR="00B02466" w:rsidRPr="00A567EA">
        <w:rPr>
          <w:szCs w:val="21"/>
        </w:rPr>
        <w:t xml:space="preserve">implementation of the </w:t>
      </w:r>
      <w:r w:rsidR="00560962" w:rsidRPr="00A567EA">
        <w:rPr>
          <w:szCs w:val="21"/>
        </w:rPr>
        <w:t>F</w:t>
      </w:r>
      <w:r w:rsidR="00B02466" w:rsidRPr="00A567EA">
        <w:rPr>
          <w:szCs w:val="21"/>
        </w:rPr>
        <w:t>ramework by reviewing service and capital planning and managing performance and risk associated with health infrastructure and asset management.</w:t>
      </w:r>
    </w:p>
    <w:p w14:paraId="1DA16BB7" w14:textId="6F1F7202" w:rsidR="00335C0E" w:rsidRPr="00A567EA" w:rsidRDefault="00335C0E" w:rsidP="009A18CB">
      <w:pPr>
        <w:pStyle w:val="Heading4"/>
        <w:rPr>
          <w:color w:val="53565A"/>
          <w:sz w:val="21"/>
          <w:szCs w:val="21"/>
        </w:rPr>
      </w:pPr>
      <w:r w:rsidRPr="00A567EA">
        <w:rPr>
          <w:color w:val="53565A"/>
          <w:sz w:val="21"/>
          <w:szCs w:val="21"/>
        </w:rPr>
        <w:t xml:space="preserve">Aboriginal Health </w:t>
      </w:r>
      <w:r w:rsidR="00D85DA4" w:rsidRPr="00A567EA">
        <w:rPr>
          <w:color w:val="53565A"/>
          <w:sz w:val="21"/>
          <w:szCs w:val="21"/>
        </w:rPr>
        <w:t>and Wellbeing</w:t>
      </w:r>
      <w:r w:rsidRPr="00A567EA">
        <w:rPr>
          <w:color w:val="53565A"/>
          <w:sz w:val="21"/>
          <w:szCs w:val="21"/>
        </w:rPr>
        <w:t xml:space="preserve"> </w:t>
      </w:r>
      <w:r w:rsidR="003026A2">
        <w:rPr>
          <w:color w:val="53565A"/>
          <w:sz w:val="21"/>
          <w:szCs w:val="21"/>
        </w:rPr>
        <w:t>division</w:t>
      </w:r>
    </w:p>
    <w:p w14:paraId="54AE100A" w14:textId="557F7579" w:rsidR="00335C0E" w:rsidRPr="00A567EA" w:rsidRDefault="00335C0E" w:rsidP="00335C0E">
      <w:pPr>
        <w:pStyle w:val="DHHSbody"/>
        <w:rPr>
          <w:szCs w:val="21"/>
        </w:rPr>
      </w:pPr>
      <w:r w:rsidRPr="00A567EA">
        <w:rPr>
          <w:szCs w:val="21"/>
        </w:rPr>
        <w:t xml:space="preserve">Aboriginal Health </w:t>
      </w:r>
      <w:r w:rsidR="00D85DA4" w:rsidRPr="00A567EA">
        <w:rPr>
          <w:szCs w:val="21"/>
        </w:rPr>
        <w:t>and Wellbeing (AHW)</w:t>
      </w:r>
      <w:r w:rsidRPr="00A567EA">
        <w:rPr>
          <w:szCs w:val="21"/>
        </w:rPr>
        <w:t xml:space="preserve"> </w:t>
      </w:r>
      <w:r w:rsidR="00261A5B" w:rsidRPr="00A567EA">
        <w:rPr>
          <w:szCs w:val="21"/>
        </w:rPr>
        <w:t>supports implementation of the Framework by advising on policy and strategic issues to improve the health of Aboriginal Victorians and ensure equitable and culturally safe access to services.</w:t>
      </w:r>
      <w:r w:rsidR="00DC10AA" w:rsidRPr="00A567EA">
        <w:rPr>
          <w:szCs w:val="21"/>
        </w:rPr>
        <w:t xml:space="preserve"> In doing so, it works </w:t>
      </w:r>
      <w:r w:rsidRPr="00A567EA">
        <w:rPr>
          <w:szCs w:val="21"/>
        </w:rPr>
        <w:t>in partnership with the Aboriginal community</w:t>
      </w:r>
      <w:r w:rsidR="00606722" w:rsidRPr="00A567EA">
        <w:rPr>
          <w:szCs w:val="21"/>
        </w:rPr>
        <w:t xml:space="preserve">, </w:t>
      </w:r>
      <w:r w:rsidR="00261A5B" w:rsidRPr="00A567EA">
        <w:rPr>
          <w:szCs w:val="21"/>
        </w:rPr>
        <w:t>the Aboriginal community</w:t>
      </w:r>
      <w:r w:rsidRPr="00A567EA">
        <w:rPr>
          <w:szCs w:val="21"/>
        </w:rPr>
        <w:t>-controlled health sector and broader health system, to achieve a health system that is driven by Aboriginal self-determination.</w:t>
      </w:r>
    </w:p>
    <w:p w14:paraId="639ECEDF" w14:textId="39E2EE04" w:rsidR="0093436B" w:rsidRPr="00A567EA" w:rsidRDefault="0093436B" w:rsidP="009A18CB">
      <w:pPr>
        <w:pStyle w:val="Heading4"/>
        <w:rPr>
          <w:color w:val="53565A"/>
          <w:sz w:val="21"/>
          <w:szCs w:val="21"/>
        </w:rPr>
      </w:pPr>
      <w:r w:rsidRPr="00A567EA">
        <w:rPr>
          <w:color w:val="53565A"/>
          <w:sz w:val="21"/>
          <w:szCs w:val="21"/>
        </w:rPr>
        <w:t xml:space="preserve">Community and Public Health </w:t>
      </w:r>
      <w:r w:rsidR="00885162" w:rsidRPr="00A567EA">
        <w:rPr>
          <w:color w:val="53565A"/>
          <w:sz w:val="21"/>
          <w:szCs w:val="21"/>
        </w:rPr>
        <w:t>d</w:t>
      </w:r>
      <w:r w:rsidRPr="00A567EA">
        <w:rPr>
          <w:color w:val="53565A"/>
          <w:sz w:val="21"/>
          <w:szCs w:val="21"/>
        </w:rPr>
        <w:t>ivision</w:t>
      </w:r>
    </w:p>
    <w:p w14:paraId="5E732A82" w14:textId="779A0D54" w:rsidR="0093436B" w:rsidRPr="00A567EA" w:rsidRDefault="0093436B" w:rsidP="0093436B">
      <w:pPr>
        <w:pStyle w:val="DHHSbody"/>
        <w:rPr>
          <w:szCs w:val="21"/>
        </w:rPr>
      </w:pPr>
      <w:r w:rsidRPr="00A567EA">
        <w:rPr>
          <w:szCs w:val="21"/>
        </w:rPr>
        <w:t xml:space="preserve">The Community and Public Health </w:t>
      </w:r>
      <w:r w:rsidR="00885162" w:rsidRPr="00A567EA">
        <w:rPr>
          <w:szCs w:val="21"/>
        </w:rPr>
        <w:t>d</w:t>
      </w:r>
      <w:r w:rsidRPr="00A567EA">
        <w:rPr>
          <w:szCs w:val="21"/>
        </w:rPr>
        <w:t xml:space="preserve">ivision (CPH) is responsible for advancing public health, improving population health and wellbeing outcomes and equity, preventing disease and injury, and leading the readiness for and response to health threats and broader emergencies. </w:t>
      </w:r>
    </w:p>
    <w:p w14:paraId="71535DC7" w14:textId="281B67C9" w:rsidR="00951BD6" w:rsidRPr="00805064" w:rsidRDefault="0093436B" w:rsidP="00335C0E">
      <w:pPr>
        <w:pStyle w:val="DHHSbody"/>
        <w:rPr>
          <w:rFonts w:eastAsiaTheme="majorEastAsia" w:cstheme="majorBidi"/>
          <w:color w:val="0F4761" w:themeColor="accent1" w:themeShade="BF"/>
          <w:sz w:val="40"/>
          <w:szCs w:val="40"/>
          <w:highlight w:val="yellow"/>
        </w:rPr>
      </w:pPr>
      <w:r w:rsidRPr="00A567EA">
        <w:rPr>
          <w:szCs w:val="21"/>
        </w:rPr>
        <w:lastRenderedPageBreak/>
        <w:t xml:space="preserve">CPH supports implementation of the </w:t>
      </w:r>
      <w:r w:rsidR="00B15031" w:rsidRPr="00A567EA">
        <w:rPr>
          <w:szCs w:val="21"/>
        </w:rPr>
        <w:t xml:space="preserve">Framework </w:t>
      </w:r>
      <w:r w:rsidRPr="00A567EA">
        <w:rPr>
          <w:szCs w:val="21"/>
        </w:rPr>
        <w:t>by supporting health services with seasonal preparedness and emergency response.</w:t>
      </w:r>
      <w:r w:rsidR="00D203AD" w:rsidRPr="00A567EA">
        <w:rPr>
          <w:szCs w:val="21"/>
        </w:rPr>
        <w:t xml:space="preserve"> CPH also stewards Victoria’s networked public health system which includes functions performed by Local Public Health Units within health services.</w:t>
      </w:r>
      <w:r w:rsidR="00951BD6" w:rsidRPr="00805064">
        <w:rPr>
          <w:highlight w:val="yellow"/>
        </w:rPr>
        <w:br w:type="page"/>
      </w:r>
    </w:p>
    <w:p w14:paraId="5C5C9856" w14:textId="77777777" w:rsidR="00204341" w:rsidRPr="00805064" w:rsidRDefault="00204341" w:rsidP="24531D46">
      <w:pPr>
        <w:pStyle w:val="Heading1"/>
        <w:numPr>
          <w:ilvl w:val="0"/>
          <w:numId w:val="0"/>
        </w:numPr>
        <w:rPr>
          <w:highlight w:val="yellow"/>
        </w:rPr>
        <w:sectPr w:rsidR="00204341" w:rsidRPr="00805064" w:rsidSect="00FE0939">
          <w:pgSz w:w="12240" w:h="15840"/>
          <w:pgMar w:top="1440" w:right="1440" w:bottom="1440" w:left="1440" w:header="720" w:footer="720" w:gutter="0"/>
          <w:cols w:space="720"/>
          <w:docGrid w:linePitch="360"/>
        </w:sectPr>
      </w:pPr>
      <w:bookmarkStart w:id="117" w:name="_Toc166959818"/>
    </w:p>
    <w:p w14:paraId="2E263B88" w14:textId="7E90EFF4" w:rsidR="00A567EA" w:rsidRPr="007E45D2" w:rsidRDefault="003E3FD5" w:rsidP="24531D46">
      <w:pPr>
        <w:pStyle w:val="Heading1"/>
        <w:numPr>
          <w:ilvl w:val="0"/>
          <w:numId w:val="0"/>
        </w:numPr>
        <w:rPr>
          <w:color w:val="auto"/>
        </w:rPr>
      </w:pPr>
      <w:bookmarkStart w:id="118" w:name="_Toc211343296"/>
      <w:bookmarkStart w:id="119" w:name="_Toc167215611"/>
      <w:bookmarkStart w:id="120" w:name="_Toc167215708"/>
      <w:r>
        <w:rPr>
          <w:color w:val="auto"/>
        </w:rPr>
        <w:lastRenderedPageBreak/>
        <w:t xml:space="preserve">7. </w:t>
      </w:r>
      <w:r w:rsidR="00542BC3" w:rsidRPr="007E45D2">
        <w:rPr>
          <w:color w:val="auto"/>
        </w:rPr>
        <w:t>Reporting requirements</w:t>
      </w:r>
      <w:bookmarkEnd w:id="118"/>
      <w:r w:rsidR="00542BC3" w:rsidRPr="007E45D2">
        <w:rPr>
          <w:color w:val="auto"/>
        </w:rPr>
        <w:t xml:space="preserve"> </w:t>
      </w:r>
      <w:bookmarkStart w:id="121" w:name="_Toc453325206"/>
      <w:bookmarkEnd w:id="117"/>
      <w:bookmarkEnd w:id="119"/>
      <w:bookmarkEnd w:id="120"/>
    </w:p>
    <w:p w14:paraId="0DEB6EAB" w14:textId="3754EE1D" w:rsidR="00DE65B7" w:rsidRPr="007E45D2" w:rsidRDefault="007E45D2" w:rsidP="00DE65B7">
      <w:pPr>
        <w:pStyle w:val="Heading2"/>
        <w:numPr>
          <w:ilvl w:val="0"/>
          <w:numId w:val="0"/>
        </w:numPr>
        <w:ind w:left="1003" w:hanging="720"/>
        <w:rPr>
          <w:color w:val="auto"/>
        </w:rPr>
      </w:pPr>
      <w:bookmarkStart w:id="122" w:name="_Toc211343297"/>
      <w:r w:rsidRPr="007E45D2">
        <w:rPr>
          <w:color w:val="auto"/>
        </w:rPr>
        <w:t>7.</w:t>
      </w:r>
      <w:r w:rsidRPr="00110A9D">
        <w:rPr>
          <w:color w:val="3A3A3A" w:themeColor="background2" w:themeShade="40"/>
        </w:rPr>
        <w:t xml:space="preserve">1 </w:t>
      </w:r>
      <w:r w:rsidR="00DE65B7" w:rsidRPr="00110A9D">
        <w:rPr>
          <w:color w:val="3A3A3A" w:themeColor="background2" w:themeShade="40"/>
        </w:rPr>
        <w:t>Specific events – Breaches</w:t>
      </w:r>
      <w:bookmarkEnd w:id="122"/>
    </w:p>
    <w:p w14:paraId="461EC4AC" w14:textId="7CDE33EE" w:rsidR="006C5B71" w:rsidRPr="00DE65B7" w:rsidRDefault="006C5B71" w:rsidP="006C5B71">
      <w:pPr>
        <w:rPr>
          <w:sz w:val="21"/>
          <w:szCs w:val="21"/>
        </w:rPr>
      </w:pPr>
      <w:r w:rsidRPr="00DE65B7">
        <w:rPr>
          <w:sz w:val="21"/>
          <w:szCs w:val="21"/>
        </w:rPr>
        <w:t>The following events must be recorded as a breach and immediately escalated to the department</w:t>
      </w:r>
      <w:r w:rsidR="00F164A5">
        <w:rPr>
          <w:sz w:val="21"/>
          <w:szCs w:val="21"/>
        </w:rPr>
        <w:t xml:space="preserve">. </w:t>
      </w:r>
      <w:r w:rsidR="00977FAF">
        <w:rPr>
          <w:sz w:val="21"/>
          <w:szCs w:val="21"/>
        </w:rPr>
        <w:t xml:space="preserve">See </w:t>
      </w:r>
      <w:r w:rsidR="00B4067F" w:rsidRPr="00856681">
        <w:rPr>
          <w:i/>
          <w:iCs/>
          <w:sz w:val="21"/>
          <w:szCs w:val="21"/>
        </w:rPr>
        <w:t>Attachment 1</w:t>
      </w:r>
      <w:r w:rsidRPr="00856681">
        <w:rPr>
          <w:i/>
          <w:iCs/>
          <w:sz w:val="21"/>
          <w:szCs w:val="21"/>
        </w:rPr>
        <w:t>:</w:t>
      </w:r>
      <w:r w:rsidR="00856681" w:rsidRPr="00856681">
        <w:rPr>
          <w:i/>
          <w:iCs/>
          <w:sz w:val="21"/>
          <w:szCs w:val="21"/>
        </w:rPr>
        <w:t xml:space="preserve"> Health service notification process</w:t>
      </w:r>
      <w:r w:rsidR="006C2D38">
        <w:rPr>
          <w:i/>
          <w:iCs/>
          <w:sz w:val="21"/>
          <w:szCs w:val="21"/>
        </w:rPr>
        <w:t>:</w:t>
      </w:r>
    </w:p>
    <w:tbl>
      <w:tblPr>
        <w:tblW w:w="0" w:type="auto"/>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250"/>
        <w:gridCol w:w="4781"/>
        <w:gridCol w:w="3491"/>
      </w:tblGrid>
      <w:tr w:rsidR="005E1AA3" w:rsidRPr="00B35AB8" w14:paraId="513D50F5"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2CB28BF9" w14:textId="77777777" w:rsidR="00CE4752" w:rsidRPr="00B35AB8" w:rsidRDefault="00CE4752" w:rsidP="007E45D2">
            <w:pPr>
              <w:spacing w:line="259" w:lineRule="auto"/>
              <w:rPr>
                <w:b/>
                <w:bCs/>
                <w:sz w:val="21"/>
                <w:szCs w:val="21"/>
              </w:rPr>
            </w:pPr>
            <w:r w:rsidRPr="00B35AB8">
              <w:rPr>
                <w:b/>
                <w:bCs/>
                <w:sz w:val="21"/>
                <w:szCs w:val="21"/>
              </w:rPr>
              <w:t>Breach Type</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58B09524" w14:textId="77777777" w:rsidR="00CE4752" w:rsidRPr="00B35AB8" w:rsidRDefault="00CE4752" w:rsidP="007E45D2">
            <w:pPr>
              <w:spacing w:line="259" w:lineRule="auto"/>
              <w:rPr>
                <w:b/>
                <w:bCs/>
                <w:sz w:val="21"/>
                <w:szCs w:val="21"/>
              </w:rPr>
            </w:pPr>
            <w:r w:rsidRPr="00B35AB8">
              <w:rPr>
                <w:b/>
                <w:bCs/>
                <w:sz w:val="21"/>
                <w:szCs w:val="21"/>
              </w:rPr>
              <w:t>Reporting Requirements</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09565D13" w14:textId="77777777" w:rsidR="00CE4752" w:rsidRPr="00B35AB8" w:rsidRDefault="00CE4752" w:rsidP="007E45D2">
            <w:pPr>
              <w:spacing w:line="259" w:lineRule="auto"/>
              <w:rPr>
                <w:b/>
                <w:bCs/>
                <w:sz w:val="21"/>
                <w:szCs w:val="21"/>
              </w:rPr>
            </w:pPr>
            <w:r w:rsidRPr="00B35AB8">
              <w:rPr>
                <w:b/>
                <w:bCs/>
                <w:sz w:val="21"/>
                <w:szCs w:val="21"/>
              </w:rPr>
              <w:t>Key Contact</w:t>
            </w:r>
          </w:p>
        </w:tc>
      </w:tr>
      <w:tr w:rsidR="00B35AB8" w:rsidRPr="00B35AB8" w14:paraId="0E4F671F"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3857A38B" w14:textId="77777777" w:rsidR="00B35AB8" w:rsidRPr="00B35AB8" w:rsidRDefault="00B35AB8" w:rsidP="00B35AB8">
            <w:pPr>
              <w:spacing w:line="259" w:lineRule="auto"/>
              <w:rPr>
                <w:b/>
                <w:bCs/>
                <w:sz w:val="21"/>
                <w:szCs w:val="21"/>
              </w:rPr>
            </w:pPr>
            <w:r w:rsidRPr="00B35AB8">
              <w:rPr>
                <w:b/>
                <w:bCs/>
                <w:sz w:val="21"/>
                <w:szCs w:val="21"/>
              </w:rPr>
              <w:t>Emergency Care Triage Category 1 Failure</w:t>
            </w:r>
          </w:p>
        </w:tc>
        <w:tc>
          <w:tcPr>
            <w:tcW w:w="0" w:type="auto"/>
            <w:vMerge w:val="restart"/>
            <w:tcBorders>
              <w:top w:val="single" w:sz="6" w:space="0" w:color="CFD9DE"/>
              <w:left w:val="single" w:sz="6" w:space="0" w:color="CFD9DE"/>
              <w:right w:val="single" w:sz="6" w:space="0" w:color="CFD9DE"/>
            </w:tcBorders>
            <w:vAlign w:val="center"/>
            <w:hideMark/>
          </w:tcPr>
          <w:p w14:paraId="17596303" w14:textId="77777777" w:rsidR="00B35AB8" w:rsidRPr="00B35AB8" w:rsidRDefault="00B35AB8" w:rsidP="00B35AB8">
            <w:pPr>
              <w:spacing w:line="259" w:lineRule="auto"/>
              <w:rPr>
                <w:sz w:val="21"/>
                <w:szCs w:val="21"/>
              </w:rPr>
            </w:pPr>
            <w:r w:rsidRPr="00B35AB8">
              <w:rPr>
                <w:sz w:val="21"/>
                <w:szCs w:val="21"/>
              </w:rPr>
              <w:t>Report via standard VEMD process within 24 hours of a breach or becoming aware of one.</w:t>
            </w:r>
          </w:p>
          <w:p w14:paraId="1529CB7D" w14:textId="73F2E23E" w:rsidR="00B35AB8" w:rsidRPr="00B35AB8" w:rsidRDefault="00B35AB8" w:rsidP="00B35AB8">
            <w:pPr>
              <w:spacing w:line="259" w:lineRule="auto"/>
              <w:rPr>
                <w:sz w:val="21"/>
                <w:szCs w:val="21"/>
              </w:rPr>
            </w:pPr>
          </w:p>
        </w:tc>
        <w:tc>
          <w:tcPr>
            <w:tcW w:w="0" w:type="auto"/>
            <w:vMerge w:val="restart"/>
            <w:tcBorders>
              <w:top w:val="single" w:sz="6" w:space="0" w:color="CFD9DE"/>
              <w:left w:val="single" w:sz="6" w:space="0" w:color="CFD9DE"/>
              <w:right w:val="single" w:sz="6" w:space="0" w:color="CFD9DE"/>
            </w:tcBorders>
            <w:vAlign w:val="center"/>
            <w:hideMark/>
          </w:tcPr>
          <w:p w14:paraId="7F703287" w14:textId="74C77949" w:rsidR="00B35AB8" w:rsidRPr="00B35AB8" w:rsidRDefault="002C14F7" w:rsidP="00B35AB8">
            <w:pPr>
              <w:spacing w:line="259" w:lineRule="auto"/>
              <w:rPr>
                <w:sz w:val="21"/>
                <w:szCs w:val="21"/>
              </w:rPr>
            </w:pPr>
            <w:r>
              <w:rPr>
                <w:sz w:val="21"/>
                <w:szCs w:val="21"/>
              </w:rPr>
              <w:t>Health Service Support and Improvement</w:t>
            </w:r>
            <w:r w:rsidR="00014F71">
              <w:rPr>
                <w:sz w:val="21"/>
                <w:szCs w:val="21"/>
              </w:rPr>
              <w:t xml:space="preserve"> contact </w:t>
            </w:r>
          </w:p>
        </w:tc>
      </w:tr>
      <w:tr w:rsidR="00B35AB8" w:rsidRPr="00B35AB8" w14:paraId="15F7585C"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1733D054" w14:textId="77777777" w:rsidR="00B35AB8" w:rsidRPr="00B35AB8" w:rsidRDefault="00B35AB8" w:rsidP="007E45D2">
            <w:pPr>
              <w:spacing w:line="259" w:lineRule="auto"/>
              <w:rPr>
                <w:b/>
                <w:bCs/>
                <w:sz w:val="21"/>
                <w:szCs w:val="21"/>
              </w:rPr>
            </w:pPr>
            <w:r w:rsidRPr="00B35AB8">
              <w:rPr>
                <w:b/>
                <w:bCs/>
                <w:sz w:val="21"/>
                <w:szCs w:val="21"/>
              </w:rPr>
              <w:t>Emergency Department 24 Hours Waiting Time Failure</w:t>
            </w:r>
          </w:p>
        </w:tc>
        <w:tc>
          <w:tcPr>
            <w:tcW w:w="0" w:type="auto"/>
            <w:vMerge/>
            <w:tcBorders>
              <w:left w:val="single" w:sz="6" w:space="0" w:color="CFD9DE"/>
              <w:bottom w:val="single" w:sz="6" w:space="0" w:color="CFD9DE"/>
              <w:right w:val="single" w:sz="6" w:space="0" w:color="CFD9DE"/>
            </w:tcBorders>
            <w:vAlign w:val="center"/>
            <w:hideMark/>
          </w:tcPr>
          <w:p w14:paraId="39CBE59B" w14:textId="3AC7264E" w:rsidR="00B35AB8" w:rsidRPr="00B35AB8" w:rsidRDefault="00B35AB8" w:rsidP="007E45D2">
            <w:pPr>
              <w:spacing w:line="259" w:lineRule="auto"/>
              <w:rPr>
                <w:sz w:val="21"/>
                <w:szCs w:val="21"/>
              </w:rPr>
            </w:pPr>
          </w:p>
        </w:tc>
        <w:tc>
          <w:tcPr>
            <w:tcW w:w="0" w:type="auto"/>
            <w:vMerge/>
            <w:tcBorders>
              <w:left w:val="single" w:sz="6" w:space="0" w:color="CFD9DE"/>
              <w:bottom w:val="single" w:sz="6" w:space="0" w:color="CFD9DE"/>
              <w:right w:val="single" w:sz="6" w:space="0" w:color="CFD9DE"/>
            </w:tcBorders>
            <w:vAlign w:val="center"/>
            <w:hideMark/>
          </w:tcPr>
          <w:p w14:paraId="5E3442E6" w14:textId="20BC7AED" w:rsidR="00B35AB8" w:rsidRPr="00B35AB8" w:rsidRDefault="00B35AB8" w:rsidP="007E45D2">
            <w:pPr>
              <w:spacing w:line="259" w:lineRule="auto"/>
              <w:rPr>
                <w:sz w:val="21"/>
                <w:szCs w:val="21"/>
              </w:rPr>
            </w:pPr>
          </w:p>
        </w:tc>
      </w:tr>
      <w:tr w:rsidR="007C3EBE" w:rsidRPr="00B35AB8" w14:paraId="206009FE"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5A798098" w14:textId="0549E3B8" w:rsidR="007C3EBE" w:rsidRPr="00B35AB8" w:rsidRDefault="007C3EBE" w:rsidP="0094301F">
            <w:pPr>
              <w:spacing w:line="259" w:lineRule="auto"/>
              <w:rPr>
                <w:b/>
                <w:sz w:val="21"/>
                <w:szCs w:val="21"/>
              </w:rPr>
            </w:pPr>
            <w:r w:rsidRPr="00B35AB8">
              <w:rPr>
                <w:b/>
                <w:bCs/>
                <w:sz w:val="21"/>
                <w:szCs w:val="21"/>
              </w:rPr>
              <w:t>Planned surgery category 1 not</w:t>
            </w:r>
            <w:r w:rsidRPr="00B35AB8">
              <w:rPr>
                <w:b/>
                <w:sz w:val="21"/>
                <w:szCs w:val="21"/>
              </w:rPr>
              <w:t xml:space="preserve"> treated within recommended time</w:t>
            </w:r>
          </w:p>
          <w:p w14:paraId="3827D27B" w14:textId="024737C4" w:rsidR="007C3EBE" w:rsidRPr="00B35AB8" w:rsidRDefault="007C3EBE" w:rsidP="435585BF">
            <w:pPr>
              <w:spacing w:line="259" w:lineRule="auto"/>
              <w:rPr>
                <w:b/>
                <w:bCs/>
                <w:sz w:val="21"/>
                <w:szCs w:val="21"/>
              </w:rPr>
            </w:pPr>
          </w:p>
          <w:p w14:paraId="4D057CFD" w14:textId="6A2D66E7" w:rsidR="007C3EBE" w:rsidRPr="00B35AB8" w:rsidRDefault="007C3EBE" w:rsidP="007E45D2">
            <w:pPr>
              <w:spacing w:line="259" w:lineRule="auto"/>
              <w:rPr>
                <w:b/>
                <w:bCs/>
                <w:sz w:val="21"/>
                <w:szCs w:val="21"/>
              </w:rPr>
            </w:pPr>
          </w:p>
        </w:tc>
        <w:tc>
          <w:tcPr>
            <w:tcW w:w="0" w:type="auto"/>
            <w:vMerge w:val="restart"/>
            <w:tcBorders>
              <w:top w:val="single" w:sz="6" w:space="0" w:color="CFD9DE"/>
              <w:left w:val="single" w:sz="6" w:space="0" w:color="CFD9DE"/>
              <w:right w:val="single" w:sz="6" w:space="0" w:color="CFD9DE"/>
            </w:tcBorders>
            <w:vAlign w:val="center"/>
            <w:hideMark/>
          </w:tcPr>
          <w:p w14:paraId="7EF8AB06" w14:textId="77777777" w:rsidR="007C3EBE" w:rsidRPr="00B35AB8" w:rsidRDefault="007C3EBE" w:rsidP="007E45D2">
            <w:pPr>
              <w:spacing w:line="259" w:lineRule="auto"/>
              <w:rPr>
                <w:sz w:val="21"/>
                <w:szCs w:val="21"/>
              </w:rPr>
            </w:pPr>
            <w:r w:rsidRPr="00B35AB8">
              <w:rPr>
                <w:sz w:val="21"/>
                <w:szCs w:val="21"/>
              </w:rPr>
              <w:t>Notify the department within 24 hours of a breach or becoming aware of a breach.</w:t>
            </w:r>
          </w:p>
          <w:p w14:paraId="6698DF42" w14:textId="467F1DF3" w:rsidR="007C3EBE" w:rsidRPr="00B35AB8" w:rsidRDefault="007C3EBE" w:rsidP="007E45D2">
            <w:pPr>
              <w:spacing w:line="259" w:lineRule="auto"/>
              <w:rPr>
                <w:sz w:val="21"/>
                <w:szCs w:val="21"/>
              </w:rPr>
            </w:pPr>
            <w:r w:rsidRPr="00B35AB8">
              <w:rPr>
                <w:sz w:val="21"/>
                <w:szCs w:val="21"/>
              </w:rPr>
              <w:t>Health services are required Notification will include the circumstances and response to the breach, including whether patient safety has been compromised. If a health service experiences extended episodes or high volumes of these breaches, the department may implement an alternative interim notification process.</w:t>
            </w:r>
          </w:p>
        </w:tc>
        <w:tc>
          <w:tcPr>
            <w:tcW w:w="0" w:type="auto"/>
            <w:vMerge w:val="restart"/>
            <w:tcBorders>
              <w:top w:val="single" w:sz="6" w:space="0" w:color="CFD9DE"/>
              <w:left w:val="single" w:sz="6" w:space="0" w:color="CFD9DE"/>
              <w:right w:val="single" w:sz="6" w:space="0" w:color="CFD9DE"/>
            </w:tcBorders>
            <w:vAlign w:val="center"/>
            <w:hideMark/>
          </w:tcPr>
          <w:p w14:paraId="0E9FBF35" w14:textId="0DAE2838" w:rsidR="007C3EBE" w:rsidRPr="00B35AB8" w:rsidRDefault="007C3EBE">
            <w:pPr>
              <w:spacing w:line="259" w:lineRule="auto"/>
              <w:rPr>
                <w:sz w:val="21"/>
                <w:szCs w:val="21"/>
              </w:rPr>
            </w:pPr>
            <w:r w:rsidRPr="00B35AB8">
              <w:rPr>
                <w:sz w:val="21"/>
                <w:szCs w:val="21"/>
              </w:rPr>
              <w:t>Director, Governance and Accountability, Planned Care Recovery and Reform</w:t>
            </w:r>
          </w:p>
          <w:p w14:paraId="11B9CFA8" w14:textId="6C6C2AB4" w:rsidR="007C3EBE" w:rsidRPr="00B35AB8" w:rsidRDefault="007C3EBE" w:rsidP="007E45D2">
            <w:pPr>
              <w:spacing w:line="259" w:lineRule="auto"/>
              <w:rPr>
                <w:rFonts w:eastAsia="Arial"/>
                <w:sz w:val="21"/>
                <w:szCs w:val="21"/>
              </w:rPr>
            </w:pPr>
            <w:hyperlink r:id="rId36">
              <w:r w:rsidRPr="00B35AB8">
                <w:rPr>
                  <w:rStyle w:val="Hyperlink"/>
                  <w:rFonts w:eastAsia="Calibri"/>
                  <w:color w:val="0000FF"/>
                  <w:sz w:val="21"/>
                  <w:szCs w:val="21"/>
                  <w:u w:val="single"/>
                </w:rPr>
                <w:t>plannedcare@health.vic.gov.au</w:t>
              </w:r>
            </w:hyperlink>
            <w:r w:rsidR="008F1F65">
              <w:t xml:space="preserve"> </w:t>
            </w:r>
          </w:p>
        </w:tc>
      </w:tr>
      <w:tr w:rsidR="007C3EBE" w:rsidRPr="00B35AB8" w14:paraId="4E12B1F8"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1F6C2453" w14:textId="7EB1BCA4" w:rsidR="007C3EBE" w:rsidRPr="00B35AB8" w:rsidRDefault="007C3EBE" w:rsidP="007E45D2">
            <w:pPr>
              <w:spacing w:line="259" w:lineRule="auto"/>
              <w:rPr>
                <w:b/>
                <w:bCs/>
                <w:sz w:val="21"/>
                <w:szCs w:val="21"/>
              </w:rPr>
            </w:pPr>
            <w:r w:rsidRPr="00B35AB8">
              <w:rPr>
                <w:b/>
                <w:bCs/>
                <w:sz w:val="21"/>
                <w:szCs w:val="21"/>
              </w:rPr>
              <w:t>Colonoscopy Category 1 Not Treated Within Recommended Time</w:t>
            </w:r>
          </w:p>
        </w:tc>
        <w:tc>
          <w:tcPr>
            <w:tcW w:w="0" w:type="auto"/>
            <w:vMerge/>
            <w:tcBorders>
              <w:left w:val="single" w:sz="6" w:space="0" w:color="CFD9DE"/>
              <w:bottom w:val="single" w:sz="6" w:space="0" w:color="CFD9DE"/>
              <w:right w:val="single" w:sz="6" w:space="0" w:color="CFD9DE"/>
            </w:tcBorders>
            <w:vAlign w:val="center"/>
            <w:hideMark/>
          </w:tcPr>
          <w:p w14:paraId="12BA4FD5" w14:textId="5B29C1DA" w:rsidR="007C3EBE" w:rsidRPr="00B35AB8" w:rsidRDefault="007C3EBE" w:rsidP="007E45D2">
            <w:pPr>
              <w:spacing w:line="259" w:lineRule="auto"/>
              <w:rPr>
                <w:sz w:val="21"/>
                <w:szCs w:val="21"/>
              </w:rPr>
            </w:pPr>
          </w:p>
        </w:tc>
        <w:tc>
          <w:tcPr>
            <w:tcW w:w="0" w:type="auto"/>
            <w:vMerge/>
            <w:tcBorders>
              <w:left w:val="single" w:sz="6" w:space="0" w:color="CFD9DE"/>
              <w:bottom w:val="single" w:sz="6" w:space="0" w:color="CFD9DE"/>
              <w:right w:val="single" w:sz="6" w:space="0" w:color="CFD9DE"/>
            </w:tcBorders>
            <w:vAlign w:val="center"/>
            <w:hideMark/>
          </w:tcPr>
          <w:p w14:paraId="10956364" w14:textId="219DE950" w:rsidR="007C3EBE" w:rsidRPr="00B35AB8" w:rsidRDefault="007C3EBE" w:rsidP="007E45D2">
            <w:pPr>
              <w:spacing w:line="259" w:lineRule="auto"/>
              <w:rPr>
                <w:rFonts w:eastAsia="Arial"/>
                <w:sz w:val="21"/>
                <w:szCs w:val="21"/>
              </w:rPr>
            </w:pPr>
          </w:p>
        </w:tc>
      </w:tr>
      <w:tr w:rsidR="005E1AA3" w:rsidRPr="00B35AB8" w14:paraId="28A89AC7"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3E424B3D" w14:textId="57CD75DE" w:rsidR="00CE4752" w:rsidRPr="00B35AB8" w:rsidRDefault="00CE4752" w:rsidP="007E45D2">
            <w:pPr>
              <w:spacing w:line="259" w:lineRule="auto"/>
              <w:rPr>
                <w:b/>
                <w:bCs/>
                <w:sz w:val="21"/>
                <w:szCs w:val="21"/>
              </w:rPr>
            </w:pPr>
            <w:r w:rsidRPr="00B35AB8">
              <w:rPr>
                <w:b/>
                <w:bCs/>
                <w:sz w:val="21"/>
                <w:szCs w:val="21"/>
              </w:rPr>
              <w:t>Non-compliance with National Safety and Quality Health Service Standards</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517537D3" w14:textId="77777777" w:rsidR="00CE4752" w:rsidRPr="00B35AB8" w:rsidRDefault="00CE4752" w:rsidP="00534667">
            <w:pPr>
              <w:rPr>
                <w:sz w:val="21"/>
                <w:szCs w:val="21"/>
              </w:rPr>
            </w:pPr>
            <w:r w:rsidRPr="00B35AB8">
              <w:rPr>
                <w:sz w:val="21"/>
                <w:szCs w:val="21"/>
              </w:rPr>
              <w:t xml:space="preserve">Notify the Department of Health </w:t>
            </w:r>
            <w:r w:rsidR="00EB4626" w:rsidRPr="00B35AB8">
              <w:rPr>
                <w:sz w:val="21"/>
                <w:szCs w:val="21"/>
              </w:rPr>
              <w:t xml:space="preserve">(Performance Lead) </w:t>
            </w:r>
            <w:r w:rsidR="00246035" w:rsidRPr="00B35AB8">
              <w:rPr>
                <w:sz w:val="21"/>
                <w:szCs w:val="21"/>
              </w:rPr>
              <w:t>within 24 hours</w:t>
            </w:r>
            <w:r w:rsidR="006C7EFC" w:rsidRPr="00B35AB8">
              <w:rPr>
                <w:sz w:val="21"/>
                <w:szCs w:val="21"/>
              </w:rPr>
              <w:t xml:space="preserve"> or becoming aware of one. </w:t>
            </w:r>
            <w:r w:rsidRPr="00B35AB8">
              <w:rPr>
                <w:sz w:val="21"/>
                <w:szCs w:val="21"/>
              </w:rPr>
              <w:t xml:space="preserve"> </w:t>
            </w:r>
          </w:p>
          <w:p w14:paraId="7E101BD5" w14:textId="29E98475" w:rsidR="00197700" w:rsidRPr="00B35AB8" w:rsidRDefault="00D65975" w:rsidP="00534667">
            <w:pPr>
              <w:rPr>
                <w:sz w:val="21"/>
                <w:szCs w:val="21"/>
              </w:rPr>
            </w:pPr>
            <w:r w:rsidRPr="00D65975">
              <w:rPr>
                <w:sz w:val="21"/>
                <w:szCs w:val="21"/>
              </w:rPr>
              <w:t xml:space="preserve">Health Service Support and Improvement contact </w:t>
            </w:r>
            <w:r w:rsidR="00197700" w:rsidRPr="00B35AB8">
              <w:rPr>
                <w:sz w:val="21"/>
                <w:szCs w:val="21"/>
              </w:rPr>
              <w:t>will coordinate with the Safer Care Victoria to provide support and assistance in responding to and addressing non-compliance.</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4B08B8DC" w14:textId="4437FDFB" w:rsidR="00CE4752" w:rsidRPr="00B35AB8" w:rsidRDefault="002C14F7" w:rsidP="007E45D2">
            <w:pPr>
              <w:spacing w:line="259" w:lineRule="auto"/>
              <w:rPr>
                <w:sz w:val="21"/>
                <w:szCs w:val="21"/>
              </w:rPr>
            </w:pPr>
            <w:r>
              <w:rPr>
                <w:sz w:val="21"/>
                <w:szCs w:val="21"/>
              </w:rPr>
              <w:t xml:space="preserve"> Health Service Support and Improvement</w:t>
            </w:r>
            <w:r w:rsidR="00014F71">
              <w:rPr>
                <w:sz w:val="21"/>
                <w:szCs w:val="21"/>
              </w:rPr>
              <w:t xml:space="preserve"> contact</w:t>
            </w:r>
          </w:p>
        </w:tc>
      </w:tr>
      <w:tr w:rsidR="005E1AA3" w:rsidRPr="00B35AB8" w14:paraId="628C1A19"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67468960" w14:textId="77777777" w:rsidR="00CE4752" w:rsidRPr="00B35AB8" w:rsidRDefault="00CE4752" w:rsidP="007E45D2">
            <w:pPr>
              <w:spacing w:line="259" w:lineRule="auto"/>
              <w:rPr>
                <w:b/>
                <w:bCs/>
                <w:sz w:val="21"/>
                <w:szCs w:val="21"/>
              </w:rPr>
            </w:pPr>
            <w:r w:rsidRPr="00B35AB8">
              <w:rPr>
                <w:b/>
                <w:bCs/>
                <w:sz w:val="21"/>
                <w:szCs w:val="21"/>
              </w:rPr>
              <w:t>Non-compliance with Aged Care Standards</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181113D9" w14:textId="16A2C87B" w:rsidR="00CE4752" w:rsidRPr="00B35AB8" w:rsidRDefault="00CE4752" w:rsidP="007E45D2">
            <w:pPr>
              <w:spacing w:line="259" w:lineRule="auto"/>
              <w:rPr>
                <w:sz w:val="21"/>
                <w:szCs w:val="21"/>
              </w:rPr>
            </w:pPr>
            <w:r w:rsidRPr="00B35AB8">
              <w:rPr>
                <w:sz w:val="21"/>
                <w:szCs w:val="21"/>
              </w:rPr>
              <w:t xml:space="preserve">Notify the </w:t>
            </w:r>
            <w:r w:rsidR="008A3F09" w:rsidRPr="008A3F09">
              <w:rPr>
                <w:sz w:val="21"/>
                <w:szCs w:val="21"/>
              </w:rPr>
              <w:t xml:space="preserve">Health Service Support and Improvement contact </w:t>
            </w:r>
            <w:r w:rsidRPr="00B35AB8">
              <w:rPr>
                <w:sz w:val="21"/>
                <w:szCs w:val="21"/>
              </w:rPr>
              <w:t xml:space="preserve">as soon as practicable. The </w:t>
            </w:r>
            <w:r w:rsidR="008A3F09" w:rsidRPr="008A3F09">
              <w:rPr>
                <w:sz w:val="21"/>
                <w:szCs w:val="21"/>
              </w:rPr>
              <w:t xml:space="preserve">Health Service Support and Improvement contact </w:t>
            </w:r>
            <w:r w:rsidRPr="00B35AB8">
              <w:rPr>
                <w:sz w:val="21"/>
                <w:szCs w:val="21"/>
              </w:rPr>
              <w:t xml:space="preserve">will coordinate with the Aged Care Team to provide support and assistance in responding to and addressing non-compliance. </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62333BDB" w14:textId="16FE6C27" w:rsidR="00CE4752" w:rsidRPr="00B35AB8" w:rsidRDefault="002C14F7" w:rsidP="007E45D2">
            <w:pPr>
              <w:spacing w:line="259" w:lineRule="auto"/>
              <w:rPr>
                <w:sz w:val="21"/>
                <w:szCs w:val="21"/>
              </w:rPr>
            </w:pPr>
            <w:r>
              <w:rPr>
                <w:sz w:val="21"/>
                <w:szCs w:val="21"/>
              </w:rPr>
              <w:t>Health Service Support and Improvement</w:t>
            </w:r>
            <w:r w:rsidR="00014F71">
              <w:rPr>
                <w:sz w:val="21"/>
                <w:szCs w:val="21"/>
              </w:rPr>
              <w:t xml:space="preserve"> contact</w:t>
            </w:r>
          </w:p>
        </w:tc>
      </w:tr>
    </w:tbl>
    <w:p w14:paraId="70D373FA" w14:textId="33D20D3F" w:rsidR="00542BC3" w:rsidRDefault="00CE4752" w:rsidP="00542BC3">
      <w:pPr>
        <w:pStyle w:val="DHHSbody"/>
        <w:rPr>
          <w:rFonts w:cs="Arial"/>
        </w:rPr>
      </w:pPr>
      <w:r w:rsidRPr="676BF8B5">
        <w:rPr>
          <w:rFonts w:cs="Arial"/>
        </w:rPr>
        <w:t xml:space="preserve"> </w:t>
      </w:r>
      <w:r w:rsidR="00542BC3" w:rsidRPr="676BF8B5">
        <w:rPr>
          <w:rFonts w:cs="Arial"/>
        </w:rPr>
        <w:t xml:space="preserve">‘Specific events’ breaches </w:t>
      </w:r>
      <w:r w:rsidR="00BE156B" w:rsidRPr="676BF8B5">
        <w:rPr>
          <w:rFonts w:cs="Arial"/>
        </w:rPr>
        <w:t>may</w:t>
      </w:r>
      <w:r w:rsidR="00542BC3" w:rsidRPr="676BF8B5">
        <w:rPr>
          <w:rFonts w:cs="Arial"/>
        </w:rPr>
        <w:t xml:space="preserve"> be included for discussion at performance meetings.</w:t>
      </w:r>
    </w:p>
    <w:p w14:paraId="08C1ECB7" w14:textId="77777777" w:rsidR="007C3EBE" w:rsidRDefault="007C3EBE" w:rsidP="00110A9D">
      <w:pPr>
        <w:pStyle w:val="Heading2"/>
        <w:numPr>
          <w:ilvl w:val="0"/>
          <w:numId w:val="0"/>
        </w:numPr>
        <w:ind w:left="1003" w:hanging="720"/>
        <w:rPr>
          <w:color w:val="auto"/>
        </w:rPr>
      </w:pPr>
    </w:p>
    <w:p w14:paraId="115DD7E6" w14:textId="77777777" w:rsidR="007C3EBE" w:rsidRDefault="007C3EBE" w:rsidP="007C3EBE"/>
    <w:p w14:paraId="52796A5B" w14:textId="77777777" w:rsidR="00993817" w:rsidRDefault="00993817" w:rsidP="00110A9D">
      <w:pPr>
        <w:pStyle w:val="Heading2"/>
        <w:numPr>
          <w:ilvl w:val="0"/>
          <w:numId w:val="0"/>
        </w:numPr>
        <w:ind w:left="1003" w:hanging="720"/>
        <w:rPr>
          <w:color w:val="auto"/>
        </w:rPr>
      </w:pPr>
    </w:p>
    <w:p w14:paraId="3F6E1CD5" w14:textId="54398D68" w:rsidR="00D109C8" w:rsidRPr="007E45D2" w:rsidRDefault="00110A9D" w:rsidP="00110A9D">
      <w:pPr>
        <w:pStyle w:val="Heading2"/>
        <w:numPr>
          <w:ilvl w:val="0"/>
          <w:numId w:val="0"/>
        </w:numPr>
        <w:ind w:left="1003" w:hanging="720"/>
        <w:rPr>
          <w:color w:val="auto"/>
        </w:rPr>
      </w:pPr>
      <w:bookmarkStart w:id="123" w:name="_Toc211343298"/>
      <w:r>
        <w:rPr>
          <w:color w:val="auto"/>
        </w:rPr>
        <w:t xml:space="preserve">7.2 </w:t>
      </w:r>
      <w:r w:rsidR="009A321B" w:rsidRPr="007E45D2">
        <w:rPr>
          <w:color w:val="auto"/>
        </w:rPr>
        <w:t xml:space="preserve">Reporting of </w:t>
      </w:r>
      <w:r w:rsidR="00C614D6" w:rsidRPr="007E45D2">
        <w:rPr>
          <w:color w:val="auto"/>
        </w:rPr>
        <w:t xml:space="preserve">temporary change to </w:t>
      </w:r>
      <w:r w:rsidR="00F34238" w:rsidRPr="007E45D2">
        <w:rPr>
          <w:color w:val="auto"/>
        </w:rPr>
        <w:t>capability level</w:t>
      </w:r>
      <w:bookmarkEnd w:id="123"/>
      <w:r w:rsidR="00C614D6" w:rsidRPr="007E45D2">
        <w:rPr>
          <w:color w:val="auto"/>
        </w:rPr>
        <w:t xml:space="preserve"> </w:t>
      </w:r>
    </w:p>
    <w:bookmarkEnd w:id="121"/>
    <w:p w14:paraId="16353B1C" w14:textId="1055DBED" w:rsidR="00DC3793" w:rsidRPr="00804137" w:rsidRDefault="00DC3793" w:rsidP="00DC3793">
      <w:pPr>
        <w:spacing w:line="259" w:lineRule="auto"/>
        <w:rPr>
          <w:sz w:val="21"/>
          <w:szCs w:val="21"/>
        </w:rPr>
      </w:pPr>
      <w:r w:rsidRPr="00804137">
        <w:rPr>
          <w:sz w:val="21"/>
          <w:szCs w:val="21"/>
        </w:rPr>
        <w:t xml:space="preserve">As outlined in the </w:t>
      </w:r>
      <w:r w:rsidRPr="00804137">
        <w:rPr>
          <w:i/>
          <w:iCs/>
          <w:sz w:val="21"/>
          <w:szCs w:val="21"/>
        </w:rPr>
        <w:t>Policy and Funding Guidelines</w:t>
      </w:r>
      <w:r w:rsidRPr="00804137">
        <w:rPr>
          <w:sz w:val="21"/>
          <w:szCs w:val="21"/>
        </w:rPr>
        <w:t xml:space="preserve"> and in alignment with the recommendations of the 2016 </w:t>
      </w:r>
      <w:r w:rsidRPr="00804137">
        <w:rPr>
          <w:i/>
          <w:iCs/>
          <w:sz w:val="21"/>
          <w:szCs w:val="21"/>
        </w:rPr>
        <w:t>Report of the Review of Hospital Safety and Quality Assurance in Victoria (Targeting Zero)</w:t>
      </w:r>
      <w:r w:rsidRPr="00804137">
        <w:rPr>
          <w:sz w:val="21"/>
          <w:szCs w:val="21"/>
        </w:rPr>
        <w:t xml:space="preserve"> and the </w:t>
      </w:r>
      <w:r w:rsidRPr="00804137">
        <w:rPr>
          <w:i/>
          <w:iCs/>
          <w:sz w:val="21"/>
          <w:szCs w:val="21"/>
        </w:rPr>
        <w:t>Statewide Design, Service and Infrastructure Plan for Victoria’s Health System 2017–2037</w:t>
      </w:r>
      <w:r w:rsidRPr="00804137">
        <w:rPr>
          <w:sz w:val="21"/>
          <w:szCs w:val="21"/>
        </w:rPr>
        <w:t xml:space="preserve"> (pages 90–91), the Department of Health is developing and implementing capability frameworks to ensure safe, high-quality healthcare delivery across Victoria. To support this initiative, </w:t>
      </w:r>
      <w:r w:rsidRPr="009D4B7C">
        <w:rPr>
          <w:sz w:val="21"/>
          <w:szCs w:val="21"/>
        </w:rPr>
        <w:t>health services</w:t>
      </w:r>
      <w:r w:rsidRPr="00804137">
        <w:rPr>
          <w:sz w:val="21"/>
          <w:szCs w:val="21"/>
        </w:rPr>
        <w:t xml:space="preserve"> are required to promptly report any temporary changes to capability levels, including diversions to the Department of Health.</w:t>
      </w:r>
    </w:p>
    <w:p w14:paraId="29500789" w14:textId="458AA2D6" w:rsidR="00DC3793" w:rsidRPr="00804137" w:rsidRDefault="00DC3793" w:rsidP="00DC3793">
      <w:pPr>
        <w:spacing w:line="259" w:lineRule="auto"/>
        <w:rPr>
          <w:sz w:val="21"/>
          <w:szCs w:val="21"/>
        </w:rPr>
      </w:pPr>
      <w:r w:rsidRPr="00804137">
        <w:rPr>
          <w:sz w:val="21"/>
          <w:szCs w:val="21"/>
        </w:rPr>
        <w:br/>
      </w:r>
      <w:r w:rsidRPr="009D4B7C">
        <w:rPr>
          <w:sz w:val="21"/>
          <w:szCs w:val="21"/>
        </w:rPr>
        <w:t>This</w:t>
      </w:r>
      <w:r w:rsidRPr="00804137">
        <w:rPr>
          <w:sz w:val="21"/>
          <w:szCs w:val="21"/>
        </w:rPr>
        <w:t xml:space="preserve"> applies to all temporary </w:t>
      </w:r>
      <w:r w:rsidRPr="009D4B7C">
        <w:rPr>
          <w:sz w:val="21"/>
          <w:szCs w:val="21"/>
        </w:rPr>
        <w:t>change</w:t>
      </w:r>
      <w:r w:rsidR="00F614EE">
        <w:rPr>
          <w:sz w:val="21"/>
          <w:szCs w:val="21"/>
        </w:rPr>
        <w:t>s</w:t>
      </w:r>
      <w:r w:rsidRPr="009D4B7C">
        <w:rPr>
          <w:sz w:val="21"/>
          <w:szCs w:val="21"/>
        </w:rPr>
        <w:t xml:space="preserve"> in capability (</w:t>
      </w:r>
      <w:r w:rsidRPr="00804137">
        <w:rPr>
          <w:sz w:val="21"/>
          <w:szCs w:val="21"/>
        </w:rPr>
        <w:t>diversions or bypasses</w:t>
      </w:r>
      <w:r w:rsidRPr="009D4B7C">
        <w:rPr>
          <w:sz w:val="21"/>
          <w:szCs w:val="21"/>
        </w:rPr>
        <w:t>)</w:t>
      </w:r>
      <w:r w:rsidRPr="00804137">
        <w:rPr>
          <w:sz w:val="21"/>
          <w:szCs w:val="21"/>
        </w:rPr>
        <w:t xml:space="preserve"> affecting </w:t>
      </w:r>
      <w:r w:rsidR="00A434D0">
        <w:rPr>
          <w:sz w:val="21"/>
          <w:szCs w:val="21"/>
        </w:rPr>
        <w:t xml:space="preserve">clinical service delivery. </w:t>
      </w:r>
      <w:r w:rsidRPr="00804137">
        <w:rPr>
          <w:sz w:val="21"/>
          <w:szCs w:val="21"/>
        </w:rPr>
        <w:br/>
      </w:r>
      <w:r w:rsidRPr="009D4B7C">
        <w:rPr>
          <w:sz w:val="21"/>
          <w:szCs w:val="21"/>
        </w:rPr>
        <w:t>Health services</w:t>
      </w:r>
      <w:r w:rsidRPr="00804137">
        <w:rPr>
          <w:sz w:val="21"/>
          <w:szCs w:val="21"/>
        </w:rPr>
        <w:t xml:space="preserve"> must notify the </w:t>
      </w:r>
      <w:r w:rsidRPr="009D4B7C">
        <w:rPr>
          <w:sz w:val="21"/>
          <w:szCs w:val="21"/>
        </w:rPr>
        <w:t>department</w:t>
      </w:r>
      <w:r w:rsidRPr="00804137">
        <w:rPr>
          <w:sz w:val="21"/>
          <w:szCs w:val="21"/>
        </w:rPr>
        <w:t xml:space="preserve"> of any temporary diversion or bypass upon becoming aware of the need for such a change</w:t>
      </w:r>
      <w:r w:rsidRPr="009D4B7C">
        <w:rPr>
          <w:sz w:val="21"/>
          <w:szCs w:val="21"/>
        </w:rPr>
        <w:t xml:space="preserve"> by </w:t>
      </w:r>
      <w:r w:rsidRPr="00110A9D">
        <w:rPr>
          <w:sz w:val="21"/>
          <w:szCs w:val="21"/>
        </w:rPr>
        <w:t xml:space="preserve">completing </w:t>
      </w:r>
      <w:r w:rsidRPr="00110A9D">
        <w:rPr>
          <w:i/>
          <w:iCs/>
          <w:sz w:val="21"/>
          <w:szCs w:val="21"/>
        </w:rPr>
        <w:t xml:space="preserve">Attachment </w:t>
      </w:r>
      <w:r w:rsidR="00FF0F90">
        <w:rPr>
          <w:i/>
          <w:iCs/>
          <w:sz w:val="21"/>
          <w:szCs w:val="21"/>
        </w:rPr>
        <w:t>2</w:t>
      </w:r>
      <w:r w:rsidRPr="00110A9D">
        <w:rPr>
          <w:i/>
          <w:iCs/>
          <w:sz w:val="21"/>
          <w:szCs w:val="21"/>
        </w:rPr>
        <w:t>: Temporary Capability Change Notification Template</w:t>
      </w:r>
      <w:r w:rsidRPr="00110A9D">
        <w:rPr>
          <w:sz w:val="21"/>
          <w:szCs w:val="21"/>
        </w:rPr>
        <w:t xml:space="preserve"> to</w:t>
      </w:r>
      <w:r w:rsidRPr="00804137">
        <w:rPr>
          <w:sz w:val="21"/>
          <w:szCs w:val="21"/>
        </w:rPr>
        <w:t xml:space="preserve"> document details of the diversion or bypass</w:t>
      </w:r>
      <w:r w:rsidR="0051624C">
        <w:rPr>
          <w:sz w:val="21"/>
          <w:szCs w:val="21"/>
        </w:rPr>
        <w:t xml:space="preserve">. </w:t>
      </w:r>
      <w:r w:rsidRPr="00804137">
        <w:rPr>
          <w:sz w:val="21"/>
          <w:szCs w:val="21"/>
        </w:rPr>
        <w:t xml:space="preserve">Submit the completed template to the </w:t>
      </w:r>
      <w:r w:rsidR="00014F71" w:rsidRPr="00804137">
        <w:rPr>
          <w:sz w:val="21"/>
          <w:szCs w:val="21"/>
        </w:rPr>
        <w:t xml:space="preserve">designated </w:t>
      </w:r>
      <w:r w:rsidR="00014F71">
        <w:rPr>
          <w:sz w:val="21"/>
          <w:szCs w:val="21"/>
        </w:rPr>
        <w:t>Health</w:t>
      </w:r>
      <w:r w:rsidR="002C14F7">
        <w:rPr>
          <w:sz w:val="21"/>
          <w:szCs w:val="21"/>
        </w:rPr>
        <w:t xml:space="preserve"> Service Support and Improvement</w:t>
      </w:r>
      <w:r w:rsidR="00014F71">
        <w:rPr>
          <w:sz w:val="21"/>
          <w:szCs w:val="21"/>
        </w:rPr>
        <w:t xml:space="preserve"> contact</w:t>
      </w:r>
      <w:r w:rsidR="008A4A09">
        <w:rPr>
          <w:sz w:val="21"/>
          <w:szCs w:val="21"/>
        </w:rPr>
        <w:t xml:space="preserve"> </w:t>
      </w:r>
      <w:r w:rsidRPr="00804137">
        <w:rPr>
          <w:sz w:val="21"/>
          <w:szCs w:val="21"/>
        </w:rPr>
        <w:t xml:space="preserve">for your </w:t>
      </w:r>
      <w:r w:rsidRPr="00D744A9">
        <w:rPr>
          <w:sz w:val="21"/>
          <w:szCs w:val="21"/>
        </w:rPr>
        <w:t xml:space="preserve">health service. </w:t>
      </w:r>
    </w:p>
    <w:p w14:paraId="7E3DE975" w14:textId="24C5450A" w:rsidR="00DC3793" w:rsidRDefault="00DC3793" w:rsidP="00DC3793">
      <w:pPr>
        <w:spacing w:line="259" w:lineRule="auto"/>
        <w:rPr>
          <w:sz w:val="21"/>
          <w:szCs w:val="21"/>
        </w:rPr>
      </w:pPr>
      <w:r w:rsidRPr="00804137">
        <w:rPr>
          <w:sz w:val="21"/>
          <w:szCs w:val="21"/>
        </w:rPr>
        <w:br/>
      </w:r>
      <w:r w:rsidR="00E03CA7" w:rsidRPr="00E03CA7">
        <w:rPr>
          <w:sz w:val="21"/>
          <w:szCs w:val="21"/>
        </w:rPr>
        <w:t xml:space="preserve">For submission of notifications or health service incident management queries please email </w:t>
      </w:r>
      <w:hyperlink r:id="rId37" w:tgtFrame="_blank" w:tooltip="mailto:hsim@health.vic.gov.au" w:history="1">
        <w:r w:rsidR="00E03CA7" w:rsidRPr="00E03CA7">
          <w:rPr>
            <w:rStyle w:val="Hyperlink"/>
            <w:sz w:val="21"/>
            <w:szCs w:val="21"/>
          </w:rPr>
          <w:t>hsim@health.vic.gov.au</w:t>
        </w:r>
      </w:hyperlink>
      <w:r w:rsidR="00E03CA7" w:rsidRPr="00E03CA7">
        <w:rPr>
          <w:sz w:val="21"/>
          <w:szCs w:val="21"/>
        </w:rPr>
        <w:t xml:space="preserve"> at the Dept of Health</w:t>
      </w:r>
      <w:r w:rsidR="008A5F10">
        <w:rPr>
          <w:sz w:val="21"/>
          <w:szCs w:val="21"/>
        </w:rPr>
        <w:t>.</w:t>
      </w:r>
    </w:p>
    <w:p w14:paraId="68ED4F55" w14:textId="77777777" w:rsidR="00EA431B" w:rsidRDefault="00EA431B" w:rsidP="00DC3793">
      <w:pPr>
        <w:spacing w:line="259" w:lineRule="auto"/>
        <w:rPr>
          <w:sz w:val="21"/>
          <w:szCs w:val="21"/>
        </w:rPr>
      </w:pPr>
    </w:p>
    <w:p w14:paraId="1BB3946A" w14:textId="6808D55C" w:rsidR="00EA431B" w:rsidRPr="00804137" w:rsidRDefault="00EA431B" w:rsidP="00DC3793">
      <w:pPr>
        <w:spacing w:line="259" w:lineRule="auto"/>
        <w:rPr>
          <w:sz w:val="21"/>
          <w:szCs w:val="21"/>
        </w:rPr>
      </w:pPr>
      <w:r>
        <w:rPr>
          <w:sz w:val="21"/>
          <w:szCs w:val="21"/>
        </w:rPr>
        <w:t xml:space="preserve">Note: </w:t>
      </w:r>
      <w:r w:rsidR="00C72074">
        <w:rPr>
          <w:sz w:val="21"/>
          <w:szCs w:val="21"/>
        </w:rPr>
        <w:t xml:space="preserve">Force Majeure has been replaced by Exceptional Events in the </w:t>
      </w:r>
      <w:r>
        <w:rPr>
          <w:sz w:val="21"/>
          <w:szCs w:val="21"/>
        </w:rPr>
        <w:t>Policy and Funding Guidelines</w:t>
      </w:r>
      <w:r w:rsidR="004731CA">
        <w:rPr>
          <w:sz w:val="21"/>
          <w:szCs w:val="21"/>
        </w:rPr>
        <w:t>.</w:t>
      </w:r>
    </w:p>
    <w:p w14:paraId="3327F6F8" w14:textId="459B8912" w:rsidR="009B6370" w:rsidRDefault="009B6370" w:rsidP="0078644C">
      <w:pPr>
        <w:pStyle w:val="DHHSbody"/>
        <w:rPr>
          <w:rFonts w:cs="Arial"/>
          <w:szCs w:val="21"/>
          <w:highlight w:val="yellow"/>
        </w:rPr>
      </w:pPr>
    </w:p>
    <w:p w14:paraId="600F1B3E" w14:textId="77777777" w:rsidR="00732C62" w:rsidRPr="00805064" w:rsidRDefault="00732C62" w:rsidP="00732C62">
      <w:pPr>
        <w:rPr>
          <w:highlight w:val="yellow"/>
        </w:rPr>
      </w:pPr>
    </w:p>
    <w:p w14:paraId="5E791424" w14:textId="77777777" w:rsidR="00732C62" w:rsidRPr="00805064" w:rsidRDefault="00732C62">
      <w:pPr>
        <w:spacing w:line="279" w:lineRule="auto"/>
        <w:rPr>
          <w:rFonts w:eastAsiaTheme="majorEastAsia" w:cstheme="majorBidi"/>
          <w:color w:val="0F4761" w:themeColor="accent1" w:themeShade="BF"/>
          <w:sz w:val="40"/>
          <w:szCs w:val="40"/>
          <w:highlight w:val="yellow"/>
        </w:rPr>
      </w:pPr>
      <w:bookmarkStart w:id="124" w:name="_Toc166959821"/>
      <w:bookmarkStart w:id="125" w:name="_Toc165619165"/>
      <w:r w:rsidRPr="00805064">
        <w:rPr>
          <w:highlight w:val="yellow"/>
        </w:rPr>
        <w:br w:type="page"/>
      </w:r>
    </w:p>
    <w:p w14:paraId="7EC5E942" w14:textId="71157010" w:rsidR="00732C62" w:rsidRPr="00E82B5A" w:rsidRDefault="00732C62" w:rsidP="0067294F">
      <w:pPr>
        <w:pStyle w:val="Heading1"/>
        <w:numPr>
          <w:ilvl w:val="0"/>
          <w:numId w:val="0"/>
        </w:numPr>
        <w:rPr>
          <w:color w:val="201547"/>
          <w:sz w:val="44"/>
          <w:szCs w:val="44"/>
        </w:rPr>
      </w:pPr>
      <w:bookmarkStart w:id="126" w:name="_Toc167215614"/>
      <w:bookmarkStart w:id="127" w:name="_Toc167215711"/>
      <w:bookmarkStart w:id="128" w:name="_Toc211343299"/>
      <w:r w:rsidRPr="00E82B5A">
        <w:rPr>
          <w:color w:val="201547"/>
          <w:sz w:val="44"/>
          <w:szCs w:val="44"/>
        </w:rPr>
        <w:lastRenderedPageBreak/>
        <w:t>Appendix 1: Coverage of the Framework</w:t>
      </w:r>
      <w:bookmarkEnd w:id="124"/>
      <w:bookmarkEnd w:id="126"/>
      <w:bookmarkEnd w:id="127"/>
      <w:bookmarkEnd w:id="128"/>
      <w:r w:rsidRPr="00E82B5A">
        <w:rPr>
          <w:color w:val="201547"/>
          <w:sz w:val="44"/>
          <w:szCs w:val="44"/>
        </w:rPr>
        <w:t xml:space="preserve"> </w:t>
      </w:r>
    </w:p>
    <w:p w14:paraId="258CB111" w14:textId="2CE33940" w:rsidR="008415A4" w:rsidRPr="00E82B5A" w:rsidRDefault="008415A4" w:rsidP="008415A4">
      <w:pPr>
        <w:pStyle w:val="DHHSbullet1"/>
        <w:numPr>
          <w:ilvl w:val="0"/>
          <w:numId w:val="0"/>
        </w:numPr>
        <w:rPr>
          <w:szCs w:val="21"/>
        </w:rPr>
      </w:pPr>
      <w:r w:rsidRPr="00E82B5A">
        <w:rPr>
          <w:szCs w:val="21"/>
        </w:rPr>
        <w:t xml:space="preserve">Victoria’s public hospitals and health services are independent legal entities established under the </w:t>
      </w:r>
      <w:r w:rsidR="004F5202" w:rsidRPr="004F5202">
        <w:rPr>
          <w:szCs w:val="21"/>
        </w:rPr>
        <w:t>Health Services Act 1988</w:t>
      </w:r>
      <w:r w:rsidR="00567295">
        <w:rPr>
          <w:szCs w:val="21"/>
        </w:rPr>
        <w:t xml:space="preserve"> (H</w:t>
      </w:r>
      <w:r w:rsidR="001F3183">
        <w:rPr>
          <w:szCs w:val="21"/>
        </w:rPr>
        <w:t>SA)</w:t>
      </w:r>
      <w:r w:rsidRPr="00E82B5A">
        <w:rPr>
          <w:i/>
          <w:iCs/>
          <w:szCs w:val="21"/>
        </w:rPr>
        <w:t xml:space="preserve">, </w:t>
      </w:r>
      <w:r w:rsidRPr="00E82B5A">
        <w:rPr>
          <w:i/>
          <w:szCs w:val="21"/>
        </w:rPr>
        <w:t>Ambulance Services Act</w:t>
      </w:r>
      <w:r w:rsidRPr="00E82B5A">
        <w:rPr>
          <w:i/>
          <w:iCs/>
          <w:szCs w:val="21"/>
        </w:rPr>
        <w:t xml:space="preserve"> 1986</w:t>
      </w:r>
      <w:r w:rsidR="0033792D">
        <w:rPr>
          <w:i/>
          <w:iCs/>
          <w:szCs w:val="21"/>
        </w:rPr>
        <w:t>(ASA)</w:t>
      </w:r>
      <w:r w:rsidRPr="00E82B5A">
        <w:rPr>
          <w:i/>
          <w:iCs/>
          <w:szCs w:val="21"/>
        </w:rPr>
        <w:t xml:space="preserve"> </w:t>
      </w:r>
      <w:r w:rsidRPr="00E82B5A">
        <w:rPr>
          <w:szCs w:val="21"/>
        </w:rPr>
        <w:t>and</w:t>
      </w:r>
      <w:r w:rsidR="00734F0C">
        <w:rPr>
          <w:szCs w:val="21"/>
        </w:rPr>
        <w:t xml:space="preserve"> </w:t>
      </w:r>
      <w:r w:rsidR="00734F0C" w:rsidRPr="00AE3B8A">
        <w:rPr>
          <w:rFonts w:cs="Arial"/>
          <w:i/>
          <w:iCs/>
          <w:szCs w:val="21"/>
        </w:rPr>
        <w:t>Mental Health and Wellbeing Act 2022</w:t>
      </w:r>
      <w:r w:rsidR="00734F0C" w:rsidRPr="00AE3B8A">
        <w:rPr>
          <w:rFonts w:cs="Arial"/>
          <w:szCs w:val="21"/>
        </w:rPr>
        <w:t xml:space="preserve"> (MHWA) </w:t>
      </w:r>
      <w:r w:rsidRPr="00E82B5A">
        <w:rPr>
          <w:szCs w:val="21"/>
        </w:rPr>
        <w:t>where applicable. They are governed by boards of directors, who are appointed by the Governor-in-Council on recommendation of the Minister for Health</w:t>
      </w:r>
      <w:r w:rsidR="003C376E" w:rsidRPr="00E82B5A">
        <w:rPr>
          <w:szCs w:val="21"/>
        </w:rPr>
        <w:t xml:space="preserve"> and Ambulance Services</w:t>
      </w:r>
      <w:r w:rsidRPr="00E82B5A">
        <w:rPr>
          <w:szCs w:val="21"/>
        </w:rPr>
        <w:t xml:space="preserve">. The board oversees the health service on behalf of the Minister for Health and </w:t>
      </w:r>
      <w:r w:rsidR="003C376E" w:rsidRPr="00E82B5A">
        <w:rPr>
          <w:szCs w:val="21"/>
        </w:rPr>
        <w:t xml:space="preserve">Ambulance Services </w:t>
      </w:r>
      <w:r w:rsidRPr="00E82B5A">
        <w:rPr>
          <w:szCs w:val="21"/>
        </w:rPr>
        <w:t>and in accordance with government policy and its legal obligations.</w:t>
      </w:r>
    </w:p>
    <w:p w14:paraId="54078E14" w14:textId="6598AA2E" w:rsidR="00732C62" w:rsidRPr="00E82B5A" w:rsidRDefault="00732C62" w:rsidP="00732C62">
      <w:pPr>
        <w:pStyle w:val="DHHSbody"/>
        <w:rPr>
          <w:szCs w:val="21"/>
        </w:rPr>
      </w:pPr>
      <w:r w:rsidRPr="00E82B5A">
        <w:rPr>
          <w:szCs w:val="21"/>
        </w:rPr>
        <w:t>The Framework captures all publicly funded health service providers including:</w:t>
      </w:r>
    </w:p>
    <w:p w14:paraId="7A74EC0A" w14:textId="5D915E2D" w:rsidR="004F5202" w:rsidRPr="00A37A92" w:rsidRDefault="00732C62">
      <w:pPr>
        <w:pStyle w:val="DHHSbullet1"/>
        <w:numPr>
          <w:ilvl w:val="0"/>
          <w:numId w:val="3"/>
        </w:numPr>
        <w:spacing w:after="40"/>
        <w:rPr>
          <w:szCs w:val="21"/>
        </w:rPr>
      </w:pPr>
      <w:r w:rsidRPr="004F5202">
        <w:rPr>
          <w:szCs w:val="21"/>
        </w:rPr>
        <w:t xml:space="preserve">metropolitan </w:t>
      </w:r>
      <w:r w:rsidR="00F75CD6" w:rsidRPr="004F5202">
        <w:rPr>
          <w:szCs w:val="21"/>
        </w:rPr>
        <w:t xml:space="preserve">and </w:t>
      </w:r>
      <w:r w:rsidRPr="004F5202">
        <w:rPr>
          <w:szCs w:val="21"/>
        </w:rPr>
        <w:t>regional health services</w:t>
      </w:r>
      <w:r w:rsidR="00DC7A9F" w:rsidRPr="004F5202">
        <w:rPr>
          <w:szCs w:val="21"/>
        </w:rPr>
        <w:t xml:space="preserve">, defined under the </w:t>
      </w:r>
      <w:r w:rsidR="00387E99">
        <w:rPr>
          <w:i/>
          <w:iCs/>
          <w:szCs w:val="21"/>
        </w:rPr>
        <w:t>HSA</w:t>
      </w:r>
      <w:r w:rsidR="00E82B5A" w:rsidRPr="004F5202">
        <w:rPr>
          <w:i/>
          <w:iCs/>
          <w:szCs w:val="21"/>
        </w:rPr>
        <w:t xml:space="preserve"> </w:t>
      </w:r>
      <w:r w:rsidR="00DC7A9F" w:rsidRPr="004F5202">
        <w:rPr>
          <w:szCs w:val="21"/>
        </w:rPr>
        <w:t xml:space="preserve">as ‘public health services’ </w:t>
      </w:r>
      <w:r w:rsidR="00852035" w:rsidRPr="004F5202">
        <w:rPr>
          <w:szCs w:val="21"/>
        </w:rPr>
        <w:t xml:space="preserve">Schedule 2 and </w:t>
      </w:r>
      <w:r w:rsidR="00EC0EA5" w:rsidRPr="00A37A92">
        <w:rPr>
          <w:szCs w:val="21"/>
        </w:rPr>
        <w:t xml:space="preserve">Schedule 5 </w:t>
      </w:r>
      <w:r w:rsidR="00EC0EA5" w:rsidRPr="00A37A92">
        <w:rPr>
          <w:i/>
          <w:iCs/>
          <w:szCs w:val="21"/>
        </w:rPr>
        <w:t xml:space="preserve">of the </w:t>
      </w:r>
      <w:r w:rsidR="004F5202" w:rsidRPr="00A37A92">
        <w:rPr>
          <w:i/>
          <w:iCs/>
          <w:szCs w:val="21"/>
        </w:rPr>
        <w:t xml:space="preserve">Health Services Act 1988 </w:t>
      </w:r>
    </w:p>
    <w:p w14:paraId="2437FA68" w14:textId="1E4A384A" w:rsidR="00732C62" w:rsidRPr="00A37A92" w:rsidRDefault="00732C62">
      <w:pPr>
        <w:pStyle w:val="DHHSbullet1"/>
        <w:numPr>
          <w:ilvl w:val="0"/>
          <w:numId w:val="3"/>
        </w:numPr>
        <w:spacing w:after="40"/>
        <w:rPr>
          <w:szCs w:val="21"/>
        </w:rPr>
      </w:pPr>
      <w:r w:rsidRPr="00A37A92">
        <w:rPr>
          <w:szCs w:val="21"/>
        </w:rPr>
        <w:t>subregional</w:t>
      </w:r>
      <w:r w:rsidR="00F75CD6" w:rsidRPr="00A37A92">
        <w:rPr>
          <w:szCs w:val="21"/>
        </w:rPr>
        <w:t xml:space="preserve">, </w:t>
      </w:r>
      <w:r w:rsidRPr="00A37A92">
        <w:rPr>
          <w:szCs w:val="21"/>
        </w:rPr>
        <w:t xml:space="preserve">local </w:t>
      </w:r>
      <w:r w:rsidR="00F75CD6" w:rsidRPr="00A37A92">
        <w:rPr>
          <w:szCs w:val="21"/>
        </w:rPr>
        <w:t xml:space="preserve">and </w:t>
      </w:r>
      <w:r w:rsidRPr="00A37A92">
        <w:rPr>
          <w:szCs w:val="21"/>
        </w:rPr>
        <w:t>small rural health services</w:t>
      </w:r>
      <w:r w:rsidR="002C5350" w:rsidRPr="00A37A92">
        <w:rPr>
          <w:szCs w:val="21"/>
        </w:rPr>
        <w:t xml:space="preserve">, </w:t>
      </w:r>
      <w:r w:rsidR="00F175F0" w:rsidRPr="00A37A92">
        <w:rPr>
          <w:szCs w:val="21"/>
        </w:rPr>
        <w:t xml:space="preserve">defined under the </w:t>
      </w:r>
      <w:r w:rsidR="00387E99">
        <w:rPr>
          <w:i/>
          <w:iCs/>
          <w:szCs w:val="21"/>
        </w:rPr>
        <w:t>HSA</w:t>
      </w:r>
      <w:r w:rsidR="00F175F0" w:rsidRPr="00A37A92">
        <w:rPr>
          <w:szCs w:val="21"/>
        </w:rPr>
        <w:t xml:space="preserve"> as </w:t>
      </w:r>
      <w:r w:rsidR="00BA554F" w:rsidRPr="00A37A92">
        <w:rPr>
          <w:szCs w:val="21"/>
        </w:rPr>
        <w:t xml:space="preserve">‘public hospitals’ </w:t>
      </w:r>
      <w:r w:rsidR="00974E7F" w:rsidRPr="00A37A92">
        <w:rPr>
          <w:szCs w:val="21"/>
        </w:rPr>
        <w:t xml:space="preserve">Schedule 1 </w:t>
      </w:r>
      <w:r w:rsidR="00A80BE8" w:rsidRPr="00A37A92">
        <w:rPr>
          <w:i/>
          <w:iCs/>
          <w:szCs w:val="21"/>
        </w:rPr>
        <w:t>(</w:t>
      </w:r>
      <w:r w:rsidR="00EF02C5" w:rsidRPr="00A37A92">
        <w:rPr>
          <w:szCs w:val="21"/>
        </w:rPr>
        <w:t>with the exception of Queen Elizabeth Centre and Tweddle Child and Family Health Service</w:t>
      </w:r>
      <w:r w:rsidR="00F4288C" w:rsidRPr="00A37A92">
        <w:rPr>
          <w:szCs w:val="21"/>
        </w:rPr>
        <w:t xml:space="preserve"> Section 40G</w:t>
      </w:r>
      <w:r w:rsidR="00B0570C" w:rsidRPr="00A37A92">
        <w:rPr>
          <w:szCs w:val="21"/>
        </w:rPr>
        <w:t xml:space="preserve">). </w:t>
      </w:r>
    </w:p>
    <w:p w14:paraId="128E1B69" w14:textId="42FED121" w:rsidR="00732C62" w:rsidRPr="00A37A92" w:rsidRDefault="00732C62" w:rsidP="00024206">
      <w:pPr>
        <w:pStyle w:val="DHHSbullet1"/>
        <w:numPr>
          <w:ilvl w:val="0"/>
          <w:numId w:val="3"/>
        </w:numPr>
        <w:spacing w:after="40"/>
        <w:rPr>
          <w:szCs w:val="21"/>
        </w:rPr>
      </w:pPr>
      <w:r w:rsidRPr="00A37A92">
        <w:rPr>
          <w:szCs w:val="21"/>
        </w:rPr>
        <w:t>multi-purpose services</w:t>
      </w:r>
      <w:r w:rsidR="008D4464" w:rsidRPr="00A37A92">
        <w:rPr>
          <w:szCs w:val="21"/>
        </w:rPr>
        <w:t xml:space="preserve"> – Schedule 1A</w:t>
      </w:r>
      <w:r w:rsidR="00974E7F" w:rsidRPr="00A37A92">
        <w:rPr>
          <w:szCs w:val="21"/>
        </w:rPr>
        <w:t xml:space="preserve"> </w:t>
      </w:r>
      <w:r w:rsidR="00974E7F" w:rsidRPr="00A37A92">
        <w:rPr>
          <w:i/>
          <w:iCs/>
          <w:szCs w:val="21"/>
        </w:rPr>
        <w:t>of the</w:t>
      </w:r>
      <w:r w:rsidR="008D4464" w:rsidRPr="00A37A92">
        <w:rPr>
          <w:i/>
          <w:iCs/>
          <w:szCs w:val="21"/>
        </w:rPr>
        <w:t xml:space="preserve"> </w:t>
      </w:r>
      <w:r w:rsidR="002B4870">
        <w:rPr>
          <w:i/>
          <w:iCs/>
          <w:szCs w:val="21"/>
        </w:rPr>
        <w:t>HSA</w:t>
      </w:r>
    </w:p>
    <w:p w14:paraId="70BE4463" w14:textId="77777777" w:rsidR="00732C62" w:rsidRPr="00A37A92" w:rsidRDefault="00732C62" w:rsidP="00024206">
      <w:pPr>
        <w:pStyle w:val="DHHSbullet1"/>
        <w:numPr>
          <w:ilvl w:val="0"/>
          <w:numId w:val="3"/>
        </w:numPr>
        <w:spacing w:after="40"/>
        <w:rPr>
          <w:szCs w:val="21"/>
        </w:rPr>
      </w:pPr>
      <w:r w:rsidRPr="00A37A92">
        <w:rPr>
          <w:szCs w:val="21"/>
        </w:rPr>
        <w:t>Ambulance Victoria</w:t>
      </w:r>
    </w:p>
    <w:p w14:paraId="4E3DF45E" w14:textId="032A6C27" w:rsidR="00732C62" w:rsidRPr="00AB45DB" w:rsidRDefault="00301712" w:rsidP="003E3FD5">
      <w:pPr>
        <w:pStyle w:val="DHHSbullet1"/>
        <w:numPr>
          <w:ilvl w:val="0"/>
          <w:numId w:val="3"/>
        </w:numPr>
        <w:spacing w:after="40"/>
        <w:rPr>
          <w:szCs w:val="21"/>
        </w:rPr>
      </w:pPr>
      <w:r w:rsidRPr="00AB45DB">
        <w:rPr>
          <w:szCs w:val="21"/>
        </w:rPr>
        <w:t>Oral Health Victoria</w:t>
      </w:r>
    </w:p>
    <w:p w14:paraId="39D4AC31" w14:textId="1D0AFDF9" w:rsidR="00732C62" w:rsidRDefault="00732C62" w:rsidP="00024206">
      <w:pPr>
        <w:pStyle w:val="ListParagraph"/>
        <w:numPr>
          <w:ilvl w:val="0"/>
          <w:numId w:val="3"/>
        </w:numPr>
        <w:spacing w:after="200" w:line="276" w:lineRule="auto"/>
        <w:contextualSpacing/>
        <w:rPr>
          <w:rFonts w:ascii="Arial" w:eastAsia="Times" w:hAnsi="Arial"/>
          <w:sz w:val="21"/>
          <w:szCs w:val="21"/>
        </w:rPr>
      </w:pPr>
      <w:r w:rsidRPr="00FF6CBA">
        <w:rPr>
          <w:rFonts w:ascii="Arial" w:eastAsia="Times" w:hAnsi="Arial"/>
          <w:sz w:val="21"/>
          <w:szCs w:val="21"/>
        </w:rPr>
        <w:t xml:space="preserve">the Victorian Institute of Forensic Mental Health (Forensicare) </w:t>
      </w:r>
      <w:r w:rsidR="00D7319C">
        <w:rPr>
          <w:rFonts w:ascii="Arial" w:eastAsia="Times" w:hAnsi="Arial"/>
          <w:sz w:val="21"/>
          <w:szCs w:val="21"/>
        </w:rPr>
        <w:t xml:space="preserve">and </w:t>
      </w:r>
    </w:p>
    <w:p w14:paraId="1B282598" w14:textId="4A995091" w:rsidR="00D7319C" w:rsidRPr="00FF6CBA" w:rsidRDefault="00D7319C" w:rsidP="00024206">
      <w:pPr>
        <w:pStyle w:val="ListParagraph"/>
        <w:numPr>
          <w:ilvl w:val="0"/>
          <w:numId w:val="3"/>
        </w:numPr>
        <w:spacing w:after="200" w:line="276" w:lineRule="auto"/>
        <w:contextualSpacing/>
        <w:rPr>
          <w:rFonts w:ascii="Arial" w:eastAsia="Times" w:hAnsi="Arial"/>
          <w:sz w:val="21"/>
          <w:szCs w:val="21"/>
        </w:rPr>
      </w:pPr>
      <w:r w:rsidRPr="00D7319C">
        <w:rPr>
          <w:rFonts w:ascii="Arial" w:eastAsia="Times" w:hAnsi="Arial"/>
          <w:sz w:val="21"/>
          <w:szCs w:val="21"/>
        </w:rPr>
        <w:t>Parkville Youth Mental Health and Wellbeing Service</w:t>
      </w:r>
    </w:p>
    <w:p w14:paraId="09C1F90A" w14:textId="75C0C4E9" w:rsidR="00732C62" w:rsidRPr="00AE3B8A" w:rsidRDefault="00DC7A9F" w:rsidP="626EE130">
      <w:pPr>
        <w:pStyle w:val="DHHSbodyafterbullets"/>
        <w:rPr>
          <w:rFonts w:ascii="Arial" w:hAnsi="Arial" w:cs="Arial"/>
          <w:sz w:val="21"/>
          <w:szCs w:val="21"/>
        </w:rPr>
      </w:pPr>
      <w:r w:rsidRPr="00AE3B8A">
        <w:rPr>
          <w:rFonts w:ascii="Arial" w:hAnsi="Arial" w:cs="Arial"/>
          <w:sz w:val="21"/>
          <w:szCs w:val="21"/>
        </w:rPr>
        <w:t>Public</w:t>
      </w:r>
      <w:r w:rsidR="00732C62" w:rsidRPr="00AE3B8A">
        <w:rPr>
          <w:rFonts w:ascii="Arial" w:hAnsi="Arial" w:cs="Arial"/>
          <w:sz w:val="21"/>
          <w:szCs w:val="21"/>
        </w:rPr>
        <w:t xml:space="preserve"> health services </w:t>
      </w:r>
      <w:r w:rsidRPr="00AE3B8A">
        <w:rPr>
          <w:rFonts w:ascii="Arial" w:hAnsi="Arial" w:cs="Arial"/>
          <w:sz w:val="21"/>
          <w:szCs w:val="21"/>
        </w:rPr>
        <w:t>and</w:t>
      </w:r>
      <w:r w:rsidR="00732C62" w:rsidRPr="00AE3B8A">
        <w:rPr>
          <w:rFonts w:ascii="Arial" w:hAnsi="Arial" w:cs="Arial"/>
          <w:sz w:val="21"/>
          <w:szCs w:val="21"/>
        </w:rPr>
        <w:t xml:space="preserve"> Dental Health Services Victoria are governed by boards of directors</w:t>
      </w:r>
      <w:r w:rsidR="008857B3" w:rsidRPr="00AE3B8A">
        <w:rPr>
          <w:rStyle w:val="FootnoteReference"/>
          <w:rFonts w:ascii="Arial" w:hAnsi="Arial" w:cs="Arial"/>
          <w:sz w:val="21"/>
          <w:szCs w:val="21"/>
        </w:rPr>
        <w:footnoteReference w:id="5"/>
      </w:r>
      <w:r w:rsidR="008857B3" w:rsidRPr="00AE3B8A">
        <w:rPr>
          <w:rFonts w:ascii="Arial" w:hAnsi="Arial" w:cs="Arial"/>
          <w:sz w:val="21"/>
          <w:szCs w:val="21"/>
        </w:rPr>
        <w:t>, as are p</w:t>
      </w:r>
      <w:r w:rsidR="00732C62" w:rsidRPr="00AE3B8A">
        <w:rPr>
          <w:rFonts w:ascii="Arial" w:hAnsi="Arial" w:cs="Arial"/>
          <w:sz w:val="21"/>
          <w:szCs w:val="21"/>
        </w:rPr>
        <w:t>ublic hospitals</w:t>
      </w:r>
      <w:r w:rsidR="008857B3" w:rsidRPr="00AE3B8A">
        <w:rPr>
          <w:rFonts w:ascii="Arial" w:hAnsi="Arial" w:cs="Arial"/>
          <w:sz w:val="21"/>
          <w:szCs w:val="21"/>
        </w:rPr>
        <w:t>.</w:t>
      </w:r>
      <w:r w:rsidR="008857B3" w:rsidRPr="00AE3B8A">
        <w:rPr>
          <w:rStyle w:val="FootnoteReference"/>
          <w:rFonts w:ascii="Arial" w:hAnsi="Arial" w:cs="Arial"/>
          <w:sz w:val="21"/>
          <w:szCs w:val="21"/>
        </w:rPr>
        <w:footnoteReference w:id="6"/>
      </w:r>
      <w:r w:rsidR="008857B3" w:rsidRPr="00AE3B8A">
        <w:rPr>
          <w:rFonts w:ascii="Arial" w:hAnsi="Arial" w:cs="Arial"/>
          <w:sz w:val="21"/>
          <w:szCs w:val="21"/>
        </w:rPr>
        <w:t xml:space="preserve"> </w:t>
      </w:r>
      <w:r w:rsidR="00732C62" w:rsidRPr="00AE3B8A">
        <w:rPr>
          <w:rFonts w:ascii="Arial" w:hAnsi="Arial" w:cs="Arial"/>
          <w:sz w:val="21"/>
          <w:szCs w:val="21"/>
        </w:rPr>
        <w:t xml:space="preserve">Multi-purpose services are established under Part 4A of the HSA and are governed by boards of directors as set out under section 115E of the HSA. They are subject to similar governance and performance policies as public hospitals but are not required to sign a </w:t>
      </w:r>
      <w:r w:rsidR="009D3B9B">
        <w:rPr>
          <w:rFonts w:ascii="Arial" w:hAnsi="Arial" w:cs="Arial"/>
          <w:sz w:val="21"/>
          <w:szCs w:val="21"/>
        </w:rPr>
        <w:t>S</w:t>
      </w:r>
      <w:r w:rsidR="0063685D">
        <w:rPr>
          <w:rFonts w:ascii="Arial" w:hAnsi="Arial" w:cs="Arial"/>
          <w:sz w:val="21"/>
          <w:szCs w:val="21"/>
        </w:rPr>
        <w:t>o</w:t>
      </w:r>
      <w:r w:rsidR="009D3B9B">
        <w:rPr>
          <w:rFonts w:ascii="Arial" w:hAnsi="Arial" w:cs="Arial"/>
          <w:sz w:val="21"/>
          <w:szCs w:val="21"/>
        </w:rPr>
        <w:t>P</w:t>
      </w:r>
      <w:r w:rsidR="00732C62" w:rsidRPr="00AE3B8A">
        <w:rPr>
          <w:rFonts w:ascii="Arial" w:hAnsi="Arial" w:cs="Arial"/>
          <w:sz w:val="21"/>
          <w:szCs w:val="21"/>
        </w:rPr>
        <w:t>.</w:t>
      </w:r>
    </w:p>
    <w:p w14:paraId="717BA76E" w14:textId="77777777" w:rsidR="00732C62" w:rsidRPr="00AE3B8A" w:rsidRDefault="00732C62" w:rsidP="00732C62">
      <w:pPr>
        <w:pStyle w:val="DHHSbody"/>
        <w:rPr>
          <w:rFonts w:cs="Arial"/>
          <w:szCs w:val="21"/>
        </w:rPr>
      </w:pPr>
      <w:r w:rsidRPr="00AE3B8A">
        <w:rPr>
          <w:rFonts w:cs="Arial"/>
          <w:szCs w:val="21"/>
        </w:rPr>
        <w:t>Three denominational hospitals, Calvary Health Care Bethlehem Limited, Mercy Public Hospitals Incorporated and St Vincent’s Hospital (Melbourne) Limited, are subject to similar performance and oversight provisions as public hospitals, as set out in Part 3 and Part 3A of the HSA.</w:t>
      </w:r>
    </w:p>
    <w:p w14:paraId="2FD32D02" w14:textId="77777777" w:rsidR="00732C62" w:rsidRPr="00AE3B8A" w:rsidRDefault="00732C62" w:rsidP="00732C62">
      <w:pPr>
        <w:pStyle w:val="DHHSbody"/>
        <w:rPr>
          <w:rFonts w:cs="Arial"/>
          <w:szCs w:val="21"/>
        </w:rPr>
      </w:pPr>
      <w:r w:rsidRPr="00AE3B8A">
        <w:rPr>
          <w:rFonts w:cs="Arial"/>
          <w:szCs w:val="21"/>
        </w:rPr>
        <w:t xml:space="preserve">Ambulance Victoria is established under section 23 of the </w:t>
      </w:r>
      <w:r w:rsidRPr="00AE3B8A">
        <w:rPr>
          <w:rFonts w:cs="Arial"/>
          <w:i/>
          <w:szCs w:val="21"/>
        </w:rPr>
        <w:t>Ambulance Services Act</w:t>
      </w:r>
      <w:r w:rsidRPr="00AE3B8A">
        <w:rPr>
          <w:rFonts w:cs="Arial"/>
          <w:i/>
          <w:iCs/>
          <w:szCs w:val="21"/>
        </w:rPr>
        <w:t xml:space="preserve"> 1986</w:t>
      </w:r>
      <w:r w:rsidRPr="00AE3B8A">
        <w:rPr>
          <w:rFonts w:cs="Arial"/>
          <w:szCs w:val="21"/>
        </w:rPr>
        <w:t xml:space="preserve"> (ASA) and is governed by a board of directors as set out under section 17 of the ASA.</w:t>
      </w:r>
    </w:p>
    <w:p w14:paraId="6A557231" w14:textId="185C5A7F" w:rsidR="00732C62" w:rsidRPr="00AE3B8A" w:rsidRDefault="00732C62" w:rsidP="00732C62">
      <w:pPr>
        <w:pStyle w:val="DHHSbody"/>
        <w:rPr>
          <w:rFonts w:cs="Arial"/>
          <w:szCs w:val="21"/>
        </w:rPr>
      </w:pPr>
      <w:r w:rsidRPr="00AE3B8A">
        <w:rPr>
          <w:rFonts w:cs="Arial"/>
          <w:szCs w:val="21"/>
        </w:rPr>
        <w:t xml:space="preserve">Forensicare is established under section 328 of the </w:t>
      </w:r>
      <w:r w:rsidRPr="00AE3B8A">
        <w:rPr>
          <w:rFonts w:cs="Arial"/>
          <w:i/>
          <w:iCs/>
          <w:szCs w:val="21"/>
        </w:rPr>
        <w:t>Mental Health Act 2014</w:t>
      </w:r>
      <w:r w:rsidRPr="00AE3B8A">
        <w:rPr>
          <w:rFonts w:cs="Arial"/>
          <w:szCs w:val="21"/>
        </w:rPr>
        <w:t xml:space="preserve"> which will transition to the </w:t>
      </w:r>
      <w:r w:rsidRPr="00AE3B8A">
        <w:rPr>
          <w:rFonts w:cs="Arial"/>
          <w:i/>
          <w:iCs/>
          <w:szCs w:val="21"/>
        </w:rPr>
        <w:t>Mental Health and Wellbeing Act 2022</w:t>
      </w:r>
      <w:r w:rsidRPr="00AE3B8A">
        <w:rPr>
          <w:rFonts w:cs="Arial"/>
          <w:szCs w:val="21"/>
        </w:rPr>
        <w:t xml:space="preserve"> (MHWA) on September 1 2023 under section 610. Forensicare is governed by a board of directors pursuant to provisions in the MHWA (Part 14.2).</w:t>
      </w:r>
    </w:p>
    <w:p w14:paraId="175494D5" w14:textId="27961784" w:rsidR="00AC4E3C" w:rsidRPr="00BE6D16" w:rsidRDefault="007C2FF0" w:rsidP="00BE6D16">
      <w:pPr>
        <w:rPr>
          <w:sz w:val="21"/>
          <w:szCs w:val="21"/>
        </w:rPr>
      </w:pPr>
      <w:r w:rsidRPr="007C2FF0">
        <w:rPr>
          <w:sz w:val="21"/>
          <w:szCs w:val="21"/>
        </w:rPr>
        <w:t xml:space="preserve">Parkville Youth Mental Health and Wellbeing Service is </w:t>
      </w:r>
      <w:r w:rsidR="00732C62" w:rsidRPr="007C2FF0">
        <w:rPr>
          <w:sz w:val="21"/>
          <w:szCs w:val="21"/>
        </w:rPr>
        <w:t xml:space="preserve">established under section 673 of the </w:t>
      </w:r>
      <w:r w:rsidR="00732C62" w:rsidRPr="007C2FF0">
        <w:rPr>
          <w:i/>
          <w:iCs/>
          <w:sz w:val="21"/>
          <w:szCs w:val="21"/>
        </w:rPr>
        <w:t>Mental Health and Wellbeing Act 2022</w:t>
      </w:r>
      <w:r w:rsidR="00732C62" w:rsidRPr="007C2FF0">
        <w:rPr>
          <w:sz w:val="21"/>
          <w:szCs w:val="21"/>
        </w:rPr>
        <w:t xml:space="preserve"> (MHWA) and governed by a board pursuant to provisions in the MHWA Part 16.1, Division 2). </w:t>
      </w:r>
      <w:bookmarkStart w:id="129" w:name="Figure1Description"/>
      <w:bookmarkEnd w:id="125"/>
    </w:p>
    <w:bookmarkEnd w:id="129"/>
    <w:p w14:paraId="52520795" w14:textId="5692D9C7" w:rsidR="00E47A86" w:rsidRPr="001850A4" w:rsidRDefault="00E47A86" w:rsidP="00E47A86">
      <w:pPr>
        <w:rPr>
          <w:sz w:val="21"/>
          <w:szCs w:val="21"/>
        </w:rPr>
      </w:pPr>
      <w:r w:rsidRPr="001850A4">
        <w:rPr>
          <w:sz w:val="21"/>
          <w:szCs w:val="21"/>
        </w:rPr>
        <w:t xml:space="preserve">Health Purchasing Victoria is established under section 129 of the HSA (Part 6 Division 1). Health Purchasing Victoria trading as HealthShare Victoria </w:t>
      </w:r>
      <w:r w:rsidR="00F372A6">
        <w:rPr>
          <w:sz w:val="21"/>
          <w:szCs w:val="21"/>
        </w:rPr>
        <w:t>(HSV)</w:t>
      </w:r>
      <w:r w:rsidR="00104B25">
        <w:rPr>
          <w:sz w:val="21"/>
          <w:szCs w:val="21"/>
        </w:rPr>
        <w:t xml:space="preserve"> </w:t>
      </w:r>
      <w:r w:rsidRPr="001850A4">
        <w:rPr>
          <w:sz w:val="21"/>
          <w:szCs w:val="21"/>
        </w:rPr>
        <w:t>is governed by a board of directors as set out under section 134D of the HSA (Part 6 Division 4).</w:t>
      </w:r>
      <w:r w:rsidR="001850A4" w:rsidRPr="001850A4">
        <w:rPr>
          <w:sz w:val="21"/>
          <w:szCs w:val="21"/>
        </w:rPr>
        <w:t xml:space="preserve"> </w:t>
      </w:r>
      <w:r w:rsidRPr="001850A4">
        <w:rPr>
          <w:sz w:val="21"/>
          <w:szCs w:val="21"/>
        </w:rPr>
        <w:t>HSV are not in scope</w:t>
      </w:r>
      <w:r w:rsidR="00047565">
        <w:rPr>
          <w:sz w:val="21"/>
          <w:szCs w:val="21"/>
        </w:rPr>
        <w:t xml:space="preserve"> </w:t>
      </w:r>
      <w:r w:rsidRPr="001850A4">
        <w:rPr>
          <w:sz w:val="21"/>
          <w:szCs w:val="21"/>
        </w:rPr>
        <w:t>as they are not a direct service delivery organisation but a statutory authority performing different</w:t>
      </w:r>
      <w:r w:rsidR="001850A4" w:rsidRPr="001850A4">
        <w:rPr>
          <w:sz w:val="21"/>
          <w:szCs w:val="21"/>
        </w:rPr>
        <w:t xml:space="preserve"> </w:t>
      </w:r>
      <w:r w:rsidRPr="001850A4">
        <w:rPr>
          <w:sz w:val="21"/>
          <w:szCs w:val="21"/>
        </w:rPr>
        <w:t>functions within the broader health system.</w:t>
      </w:r>
    </w:p>
    <w:p w14:paraId="5C634B57" w14:textId="77777777" w:rsidR="00F1562C" w:rsidRDefault="00F1562C">
      <w:pPr>
        <w:spacing w:line="279" w:lineRule="auto"/>
        <w:rPr>
          <w:rFonts w:eastAsiaTheme="majorEastAsia" w:cstheme="majorBidi"/>
          <w:color w:val="201547"/>
          <w:sz w:val="44"/>
          <w:szCs w:val="44"/>
        </w:rPr>
      </w:pPr>
      <w:r>
        <w:rPr>
          <w:color w:val="201547"/>
          <w:sz w:val="44"/>
          <w:szCs w:val="44"/>
        </w:rPr>
        <w:br w:type="page"/>
      </w:r>
    </w:p>
    <w:p w14:paraId="733CF018" w14:textId="1754141E" w:rsidR="00DC10B0" w:rsidRPr="004E245D" w:rsidRDefault="00DC10B0" w:rsidP="00DC10B0">
      <w:pPr>
        <w:pStyle w:val="Heading1"/>
        <w:numPr>
          <w:ilvl w:val="0"/>
          <w:numId w:val="0"/>
        </w:numPr>
        <w:rPr>
          <w:color w:val="201547"/>
          <w:sz w:val="44"/>
          <w:szCs w:val="44"/>
        </w:rPr>
      </w:pPr>
      <w:bookmarkStart w:id="130" w:name="_Toc211343300"/>
      <w:r w:rsidRPr="004E245D">
        <w:rPr>
          <w:color w:val="201547"/>
          <w:sz w:val="44"/>
          <w:szCs w:val="44"/>
        </w:rPr>
        <w:lastRenderedPageBreak/>
        <w:t xml:space="preserve">Appendix </w:t>
      </w:r>
      <w:r w:rsidR="00BE6D16">
        <w:rPr>
          <w:color w:val="201547"/>
          <w:sz w:val="44"/>
          <w:szCs w:val="44"/>
        </w:rPr>
        <w:t>2</w:t>
      </w:r>
      <w:r w:rsidRPr="004E245D">
        <w:rPr>
          <w:color w:val="201547"/>
          <w:sz w:val="44"/>
          <w:szCs w:val="44"/>
        </w:rPr>
        <w:t>: Statement of Priorities (</w:t>
      </w:r>
      <w:r w:rsidR="009D3B9B">
        <w:rPr>
          <w:color w:val="201547"/>
          <w:sz w:val="44"/>
          <w:szCs w:val="44"/>
        </w:rPr>
        <w:t>S</w:t>
      </w:r>
      <w:r w:rsidR="0063685D">
        <w:rPr>
          <w:color w:val="201547"/>
          <w:sz w:val="44"/>
          <w:szCs w:val="44"/>
        </w:rPr>
        <w:t>o</w:t>
      </w:r>
      <w:r w:rsidR="009D3B9B">
        <w:rPr>
          <w:color w:val="201547"/>
          <w:sz w:val="44"/>
          <w:szCs w:val="44"/>
        </w:rPr>
        <w:t>P</w:t>
      </w:r>
      <w:r w:rsidRPr="004E245D">
        <w:rPr>
          <w:color w:val="201547"/>
          <w:sz w:val="44"/>
          <w:szCs w:val="44"/>
        </w:rPr>
        <w:t>)</w:t>
      </w:r>
      <w:bookmarkEnd w:id="130"/>
      <w:r w:rsidRPr="004E245D">
        <w:rPr>
          <w:color w:val="201547"/>
          <w:sz w:val="44"/>
          <w:szCs w:val="44"/>
        </w:rPr>
        <w:t xml:space="preserve"> </w:t>
      </w:r>
    </w:p>
    <w:p w14:paraId="4A37C67D" w14:textId="77777777" w:rsidR="00110A9D" w:rsidRDefault="00110A9D" w:rsidP="00110A9D">
      <w:pPr>
        <w:pStyle w:val="DHHSbody"/>
      </w:pPr>
      <w:r w:rsidRPr="00805757">
        <w:t xml:space="preserve">The Statement of Priorities (SoP) is the legislated annual service delivery and accountability agreement between each Victorian public health service and the Minister for Health.  </w:t>
      </w:r>
    </w:p>
    <w:p w14:paraId="58C6887E" w14:textId="77777777" w:rsidR="00110A9D" w:rsidRPr="00031AFE" w:rsidRDefault="00110A9D" w:rsidP="00110A9D">
      <w:pPr>
        <w:pStyle w:val="DHHSbody"/>
      </w:pPr>
      <w:r w:rsidRPr="00031AFE">
        <w:t xml:space="preserve">The </w:t>
      </w:r>
      <w:r>
        <w:t>SoP</w:t>
      </w:r>
      <w:r w:rsidRPr="00031AFE">
        <w:t xml:space="preserve"> is designed to articulate a focused set of strategic performance priorities, rather than serve as a comprehensive performance framework. Health services are accountable for delivering against a defined set of core qualitative and quantitative strategic priorities outlined within the </w:t>
      </w:r>
      <w:r>
        <w:t>SoP</w:t>
      </w:r>
      <w:r w:rsidRPr="00031AFE">
        <w:t>. </w:t>
      </w:r>
    </w:p>
    <w:p w14:paraId="536F36DE" w14:textId="77777777" w:rsidR="00110A9D" w:rsidRPr="00031AFE" w:rsidRDefault="00110A9D" w:rsidP="00110A9D">
      <w:pPr>
        <w:pStyle w:val="DHHSbody"/>
      </w:pPr>
      <w:r w:rsidRPr="00031AFE">
        <w:t>To support performance oversight, the department applies data analytics and broader system intelligence—drawing on tools such as the Risk Assessment Tool, Monitor, and the PRISM benchmarking report—to assess performance, identify emerging risks, and inform decision-making </w:t>
      </w:r>
    </w:p>
    <w:p w14:paraId="6C98CE78" w14:textId="77777777" w:rsidR="00110A9D" w:rsidRPr="00031AFE" w:rsidRDefault="00110A9D" w:rsidP="00110A9D">
      <w:pPr>
        <w:pStyle w:val="DHHSbody"/>
      </w:pPr>
      <w:r w:rsidRPr="00031AFE">
        <w:t>This approach enables the department to monitor sector-wide trends while recognising that not all performance measures warrant elevation to core priority status. </w:t>
      </w:r>
    </w:p>
    <w:p w14:paraId="10D8B6D4" w14:textId="55DA8144" w:rsidR="00110A9D" w:rsidRDefault="00110A9D" w:rsidP="00110A9D">
      <w:pPr>
        <w:pStyle w:val="DHHSbody"/>
      </w:pPr>
      <w:r>
        <w:t xml:space="preserve">To ensure alignment with system-wide reform and performance accountability, core priorities from across the performance domains are elevated into the SoP and structured across four distinct parts: </w:t>
      </w:r>
    </w:p>
    <w:p w14:paraId="3885151B" w14:textId="700E5051" w:rsidR="00CB4EFE" w:rsidRDefault="00CB4EFE" w:rsidP="00F471B4">
      <w:pPr>
        <w:pStyle w:val="DHHSbody"/>
      </w:pPr>
      <w:r w:rsidRPr="1A7A66CB">
        <w:rPr>
          <w:b/>
          <w:bCs/>
        </w:rPr>
        <w:t xml:space="preserve">Part A – Strategic Priorities  </w:t>
      </w:r>
    </w:p>
    <w:p w14:paraId="327F9663" w14:textId="1D70AC56" w:rsidR="00FF4F94" w:rsidRDefault="00CB4EFE" w:rsidP="00FF4F94">
      <w:pPr>
        <w:pStyle w:val="DHHSbody"/>
      </w:pPr>
      <w:r>
        <w:t>This section outlines qualitative commitments aligned with the Department’s Strategic Plan and Ministerial directions. For 2025–26, S</w:t>
      </w:r>
      <w:r w:rsidR="0063685D">
        <w:t>o</w:t>
      </w:r>
      <w:r>
        <w:t xml:space="preserve">Ps are structured around five overarching strategic priorities that reflect the government’s highest health system objectives. These are articulated through mandatory goals and fixed deliverables that each health service must commit to achieving within the financial year. </w:t>
      </w:r>
    </w:p>
    <w:p w14:paraId="524467D3" w14:textId="0CEB2D5D" w:rsidR="00FF4F94" w:rsidRDefault="00FF4F94" w:rsidP="00FF4F94">
      <w:pPr>
        <w:pStyle w:val="DHHSbody"/>
      </w:pPr>
      <w:r>
        <w:t xml:space="preserve">Each mandatory goal contains a fixed number of set deliverables, with no scope for modification to the prescribed deliverable. Removal of the option to select and deliver on elective priorities. </w:t>
      </w:r>
    </w:p>
    <w:p w14:paraId="3D25ECE9" w14:textId="77777777" w:rsidR="00CB4EFE" w:rsidRDefault="00CB4EFE" w:rsidP="00CB4EFE">
      <w:pPr>
        <w:pStyle w:val="DHHSbody"/>
      </w:pPr>
      <w:r>
        <w:t xml:space="preserve">For health services with increased service capabilities, additional mandatory goals and deliverables may be specified to reflect areas of heightened strategic focus. This ensures that services with greater capacity contribute meaningfully to broader system improvements while remaining accountable to core expectations. This approach supports a differentiated performance model that recognises capability and scale and aligns effort with system-wide reform priorities. </w:t>
      </w:r>
    </w:p>
    <w:p w14:paraId="15CB48AA" w14:textId="77777777" w:rsidR="00C51CB8" w:rsidRPr="004E245D" w:rsidRDefault="00C51CB8" w:rsidP="00C51CB8">
      <w:pPr>
        <w:rPr>
          <w:sz w:val="21"/>
          <w:szCs w:val="21"/>
        </w:rPr>
      </w:pPr>
      <w:r w:rsidRPr="004E245D">
        <w:rPr>
          <w:sz w:val="21"/>
          <w:szCs w:val="21"/>
        </w:rPr>
        <w:t xml:space="preserve">The allocation of additional goals applies to services that meet the following criteria:  </w:t>
      </w:r>
    </w:p>
    <w:p w14:paraId="32AF4F2A" w14:textId="77777777" w:rsidR="00C51CB8" w:rsidRPr="0073765D" w:rsidRDefault="00C51CB8" w:rsidP="00C02D14">
      <w:pPr>
        <w:pStyle w:val="ListParagraph"/>
        <w:numPr>
          <w:ilvl w:val="0"/>
          <w:numId w:val="21"/>
        </w:numPr>
        <w:rPr>
          <w:rFonts w:ascii="Arial" w:hAnsi="Arial" w:cs="Arial"/>
          <w:sz w:val="21"/>
          <w:szCs w:val="21"/>
        </w:rPr>
      </w:pPr>
      <w:r w:rsidRPr="0073765D">
        <w:rPr>
          <w:rFonts w:ascii="Arial" w:hAnsi="Arial" w:cs="Arial"/>
          <w:sz w:val="21"/>
          <w:szCs w:val="21"/>
        </w:rPr>
        <w:t>Operate an Emergency Department (excluding Urgent Care Centres)</w:t>
      </w:r>
    </w:p>
    <w:p w14:paraId="0A7CDAF3" w14:textId="77777777" w:rsidR="00C51CB8" w:rsidRPr="0073765D" w:rsidRDefault="00C51CB8" w:rsidP="00C02D14">
      <w:pPr>
        <w:pStyle w:val="ListParagraph"/>
        <w:numPr>
          <w:ilvl w:val="0"/>
          <w:numId w:val="21"/>
        </w:numPr>
        <w:rPr>
          <w:rFonts w:ascii="Arial" w:hAnsi="Arial" w:cs="Arial"/>
          <w:sz w:val="21"/>
          <w:szCs w:val="21"/>
        </w:rPr>
      </w:pPr>
      <w:r w:rsidRPr="0073765D">
        <w:rPr>
          <w:rFonts w:ascii="Arial" w:hAnsi="Arial" w:cs="Arial"/>
          <w:sz w:val="21"/>
          <w:szCs w:val="21"/>
        </w:rPr>
        <w:t>Deliver Planned Surgery</w:t>
      </w:r>
    </w:p>
    <w:p w14:paraId="394CF7E6" w14:textId="73ADDD68" w:rsidR="003A26C2" w:rsidRPr="00855BD0" w:rsidRDefault="00C51CB8" w:rsidP="00C02D14">
      <w:pPr>
        <w:pStyle w:val="ListParagraph"/>
        <w:numPr>
          <w:ilvl w:val="0"/>
          <w:numId w:val="21"/>
        </w:numPr>
        <w:rPr>
          <w:rFonts w:ascii="Arial" w:hAnsi="Arial" w:cs="Arial"/>
          <w:sz w:val="21"/>
          <w:szCs w:val="21"/>
        </w:rPr>
      </w:pPr>
      <w:r w:rsidRPr="0073765D">
        <w:rPr>
          <w:rFonts w:ascii="Arial" w:hAnsi="Arial" w:cs="Arial"/>
          <w:sz w:val="21"/>
          <w:szCs w:val="21"/>
        </w:rPr>
        <w:t>Are a designated Area Mental Health Service</w:t>
      </w:r>
    </w:p>
    <w:p w14:paraId="1B0CC581" w14:textId="77777777" w:rsidR="003A26C2" w:rsidRDefault="003A26C2" w:rsidP="00CB4EFE">
      <w:pPr>
        <w:pStyle w:val="DHHSbody"/>
        <w:rPr>
          <w:b/>
          <w:bCs/>
        </w:rPr>
      </w:pPr>
    </w:p>
    <w:p w14:paraId="72FE7624" w14:textId="58CF12B0" w:rsidR="00CB4EFE" w:rsidRPr="00F75D1D" w:rsidRDefault="00CB4EFE" w:rsidP="00CB4EFE">
      <w:pPr>
        <w:pStyle w:val="DHHSbody"/>
        <w:rPr>
          <w:b/>
          <w:bCs/>
        </w:rPr>
      </w:pPr>
      <w:r w:rsidRPr="00F75D1D">
        <w:rPr>
          <w:b/>
          <w:bCs/>
        </w:rPr>
        <w:t>Part B – Performance Priorities</w:t>
      </w:r>
    </w:p>
    <w:p w14:paraId="27073891" w14:textId="77777777" w:rsidR="00CB4EFE" w:rsidRDefault="00CB4EFE" w:rsidP="00CB4EFE">
      <w:pPr>
        <w:pStyle w:val="DHHSbody"/>
      </w:pPr>
      <w:r>
        <w:t xml:space="preserve">This section sets out quantitative performance metrics across key domains such as financial sustainability, access, safety, and quality. Each metric includes a defined target that health services are expected to meet, forming the basis for performance monitoring and accountability. </w:t>
      </w:r>
    </w:p>
    <w:p w14:paraId="69EAFB71" w14:textId="548C6B26" w:rsidR="00E117DB" w:rsidRPr="00E117DB" w:rsidRDefault="00E117DB" w:rsidP="00E117DB">
      <w:pPr>
        <w:pStyle w:val="DHHSbody"/>
      </w:pPr>
      <w:r w:rsidRPr="00031AFE">
        <w:t xml:space="preserve">In line with this principle, the Department maintains a ‘one in, one out’ policy for managing the set of core priorities. </w:t>
      </w:r>
      <w:r w:rsidRPr="00CA3084">
        <w:rPr>
          <w:lang w:val="en-US"/>
        </w:rPr>
        <w:t>For 2025–26, the priorities have been consolidated into 32 key performance</w:t>
      </w:r>
      <w:r w:rsidR="00C0283C">
        <w:rPr>
          <w:lang w:val="en-US"/>
        </w:rPr>
        <w:t xml:space="preserve"> measures</w:t>
      </w:r>
      <w:r>
        <w:rPr>
          <w:lang w:val="en-US"/>
        </w:rPr>
        <w:t>.</w:t>
      </w:r>
      <w:r w:rsidRPr="00031AFE">
        <w:t xml:space="preserve"> As new measures are developed, they will either remain within PRISM or replace existing </w:t>
      </w:r>
      <w:r>
        <w:t>SoP</w:t>
      </w:r>
      <w:r w:rsidRPr="00031AFE">
        <w:t xml:space="preserve"> measures, ensuring the priority set remains focused and manageable. All measures </w:t>
      </w:r>
      <w:r>
        <w:t>are</w:t>
      </w:r>
      <w:r w:rsidRPr="00031AFE">
        <w:t xml:space="preserve"> reviewed annually to ensure alignment with contemporary issues and the </w:t>
      </w:r>
      <w:r w:rsidRPr="0072797D">
        <w:t>government’s highest strategic priorities.</w:t>
      </w:r>
      <w:r w:rsidRPr="00031AFE">
        <w:t> </w:t>
      </w:r>
    </w:p>
    <w:p w14:paraId="7D06F8C2" w14:textId="77777777" w:rsidR="0073765D" w:rsidRPr="00D15154" w:rsidRDefault="0073765D" w:rsidP="0073765D">
      <w:pPr>
        <w:rPr>
          <w:sz w:val="21"/>
          <w:szCs w:val="21"/>
        </w:rPr>
      </w:pPr>
      <w:r w:rsidRPr="00D15154">
        <w:rPr>
          <w:sz w:val="21"/>
          <w:szCs w:val="21"/>
        </w:rPr>
        <w:t>To support a more constructive and context-sensitive approach to performance monitoring, some targets in Part B of the SoPs have been reframed as improvement-focused rather than static benchmarks. This shift acknowledges the diverse operating environments of health services and aims to:</w:t>
      </w:r>
    </w:p>
    <w:p w14:paraId="0F82310D" w14:textId="77777777" w:rsidR="0073765D" w:rsidRPr="00D15154" w:rsidRDefault="0073765D" w:rsidP="00C02D14">
      <w:pPr>
        <w:pStyle w:val="ListParagraph"/>
        <w:numPr>
          <w:ilvl w:val="0"/>
          <w:numId w:val="22"/>
        </w:numPr>
        <w:rPr>
          <w:rFonts w:ascii="Arial" w:hAnsi="Arial" w:cs="Arial"/>
          <w:sz w:val="21"/>
          <w:szCs w:val="21"/>
        </w:rPr>
      </w:pPr>
      <w:r w:rsidRPr="00D15154">
        <w:rPr>
          <w:rFonts w:ascii="Arial" w:hAnsi="Arial" w:cs="Arial"/>
          <w:sz w:val="21"/>
          <w:szCs w:val="21"/>
        </w:rPr>
        <w:t>Encourage continuous improvement by setting tiered or service-specific trajectories based on current performance levels.</w:t>
      </w:r>
    </w:p>
    <w:p w14:paraId="10A07BE5" w14:textId="77777777" w:rsidR="0073765D" w:rsidRPr="00D15154" w:rsidRDefault="0073765D" w:rsidP="00C02D14">
      <w:pPr>
        <w:pStyle w:val="ListParagraph"/>
        <w:numPr>
          <w:ilvl w:val="0"/>
          <w:numId w:val="22"/>
        </w:numPr>
        <w:rPr>
          <w:rFonts w:ascii="Arial" w:hAnsi="Arial" w:cs="Arial"/>
          <w:sz w:val="21"/>
          <w:szCs w:val="21"/>
        </w:rPr>
      </w:pPr>
      <w:r w:rsidRPr="00D15154">
        <w:rPr>
          <w:rFonts w:ascii="Arial" w:hAnsi="Arial" w:cs="Arial"/>
          <w:sz w:val="21"/>
          <w:szCs w:val="21"/>
        </w:rPr>
        <w:lastRenderedPageBreak/>
        <w:t>Recognise local context and resource availability while still upholding minimum standards.</w:t>
      </w:r>
    </w:p>
    <w:p w14:paraId="77BDAE32" w14:textId="77777777" w:rsidR="0073765D" w:rsidRPr="00D15154" w:rsidRDefault="0073765D" w:rsidP="00C02D14">
      <w:pPr>
        <w:pStyle w:val="ListParagraph"/>
        <w:numPr>
          <w:ilvl w:val="0"/>
          <w:numId w:val="22"/>
        </w:numPr>
        <w:rPr>
          <w:rFonts w:ascii="Arial" w:hAnsi="Arial" w:cs="Arial"/>
          <w:sz w:val="21"/>
          <w:szCs w:val="21"/>
        </w:rPr>
      </w:pPr>
      <w:r w:rsidRPr="00D15154">
        <w:rPr>
          <w:rFonts w:ascii="Arial" w:hAnsi="Arial" w:cs="Arial"/>
          <w:sz w:val="21"/>
          <w:szCs w:val="21"/>
        </w:rPr>
        <w:t>Promote accountability and transparency through measurable, achievable progress expectations.</w:t>
      </w:r>
    </w:p>
    <w:p w14:paraId="58ECAB31" w14:textId="14D0BC0A" w:rsidR="0073765D" w:rsidRDefault="0073765D" w:rsidP="00C02D14">
      <w:pPr>
        <w:pStyle w:val="ListParagraph"/>
        <w:numPr>
          <w:ilvl w:val="0"/>
          <w:numId w:val="22"/>
        </w:numPr>
        <w:rPr>
          <w:rFonts w:ascii="Arial" w:hAnsi="Arial" w:cs="Arial"/>
          <w:sz w:val="21"/>
          <w:szCs w:val="21"/>
        </w:rPr>
      </w:pPr>
      <w:r w:rsidRPr="00D15154">
        <w:rPr>
          <w:rFonts w:ascii="Arial" w:hAnsi="Arial" w:cs="Arial"/>
          <w:sz w:val="21"/>
          <w:szCs w:val="21"/>
        </w:rPr>
        <w:t>Align with the department’s broader performance framework, which now emphasises dynamic, data-informed targets over uniform thresholds.</w:t>
      </w:r>
    </w:p>
    <w:p w14:paraId="492DE34A" w14:textId="77777777" w:rsidR="00DD3451" w:rsidRPr="00D15154" w:rsidRDefault="00DD3451" w:rsidP="00DD3451">
      <w:pPr>
        <w:pStyle w:val="ListParagraph"/>
        <w:rPr>
          <w:rFonts w:ascii="Arial" w:hAnsi="Arial" w:cs="Arial"/>
          <w:sz w:val="21"/>
          <w:szCs w:val="21"/>
        </w:rPr>
      </w:pPr>
    </w:p>
    <w:p w14:paraId="49ACE123" w14:textId="5C9AB98E" w:rsidR="0073765D" w:rsidRPr="00B1725E" w:rsidRDefault="0073765D" w:rsidP="00B1725E">
      <w:pPr>
        <w:rPr>
          <w:sz w:val="21"/>
          <w:szCs w:val="21"/>
        </w:rPr>
      </w:pPr>
      <w:r w:rsidRPr="00D15154">
        <w:rPr>
          <w:sz w:val="21"/>
          <w:szCs w:val="21"/>
        </w:rPr>
        <w:t>Other measures that contribute to the broader analysis of performance</w:t>
      </w:r>
      <w:r w:rsidRPr="004E245D">
        <w:rPr>
          <w:sz w:val="21"/>
          <w:szCs w:val="21"/>
        </w:rPr>
        <w:t xml:space="preserve"> will continue to be monitored as part of risk management and will be reported to health services through the PRISM report</w:t>
      </w:r>
      <w:r w:rsidR="00D334FC">
        <w:rPr>
          <w:sz w:val="21"/>
          <w:szCs w:val="21"/>
        </w:rPr>
        <w:t>.</w:t>
      </w:r>
    </w:p>
    <w:p w14:paraId="5B11E552" w14:textId="77777777" w:rsidR="00CB4EFE" w:rsidRPr="00F75D1D" w:rsidRDefault="00CB4EFE" w:rsidP="00CB4EFE">
      <w:pPr>
        <w:pStyle w:val="DHHSbody"/>
        <w:rPr>
          <w:b/>
          <w:bCs/>
        </w:rPr>
      </w:pPr>
      <w:r w:rsidRPr="00F75D1D">
        <w:rPr>
          <w:b/>
          <w:bCs/>
        </w:rPr>
        <w:t xml:space="preserve">Part C – Activity and Funding: </w:t>
      </w:r>
    </w:p>
    <w:p w14:paraId="5897620A" w14:textId="77777777" w:rsidR="00CB4EFE" w:rsidRDefault="00CB4EFE" w:rsidP="00CB4EFE">
      <w:pPr>
        <w:pStyle w:val="DHHSbody"/>
      </w:pPr>
      <w:r>
        <w:t xml:space="preserve">This section details the agreed service activity levels and associated funding for the financial year. It ensures that service delivery expectations are appropriately resourced and aligned with statewide planning and funding frameworks. </w:t>
      </w:r>
    </w:p>
    <w:p w14:paraId="4298FF03" w14:textId="77777777" w:rsidR="00CB4EFE" w:rsidRPr="00F75D1D" w:rsidRDefault="00CB4EFE" w:rsidP="00CB4EFE">
      <w:pPr>
        <w:pStyle w:val="DHHSbody"/>
        <w:rPr>
          <w:b/>
          <w:bCs/>
        </w:rPr>
      </w:pPr>
      <w:r w:rsidRPr="00F75D1D">
        <w:rPr>
          <w:b/>
          <w:bCs/>
        </w:rPr>
        <w:t xml:space="preserve">Part D – Service Agreement under the National Health Reform Agreement: </w:t>
      </w:r>
    </w:p>
    <w:p w14:paraId="027BE6B7" w14:textId="77777777" w:rsidR="00CB4EFE" w:rsidRDefault="00CB4EFE" w:rsidP="00CB4EFE">
      <w:pPr>
        <w:pStyle w:val="DHHSbody"/>
      </w:pPr>
      <w:r>
        <w:t xml:space="preserve">This section constitutes the formal service agreement between each health service and the State of Victoria for the purposes of the National Health Reform Agreement. Funding in this section is updated annually based on revised activity levels determined through the National Health Funding Pool. </w:t>
      </w:r>
    </w:p>
    <w:p w14:paraId="664EBF0A" w14:textId="49C8BF56" w:rsidR="00CB4EFE" w:rsidRDefault="00CB4EFE" w:rsidP="00CB4EFE">
      <w:pPr>
        <w:pStyle w:val="DHHSbody"/>
      </w:pPr>
      <w:r>
        <w:t>Health services are required to publicly report their performance against all components of the S</w:t>
      </w:r>
      <w:r w:rsidR="0063685D">
        <w:t>o</w:t>
      </w:r>
      <w:r>
        <w:t xml:space="preserve">P through their annual reports, which are tabled in the Victorian Parliament each financial year. This process ensures transparency, reinforces accountability, and supports continuous improvement across the public health system. </w:t>
      </w:r>
    </w:p>
    <w:p w14:paraId="5D3D904D" w14:textId="66EBDCD9" w:rsidR="0088415B" w:rsidRPr="0088415B" w:rsidRDefault="0088415B" w:rsidP="0088415B">
      <w:pPr>
        <w:pStyle w:val="DHHSbody"/>
        <w:rPr>
          <w:b/>
          <w:bCs/>
        </w:rPr>
      </w:pPr>
      <w:r w:rsidRPr="0088415B">
        <w:rPr>
          <w:b/>
          <w:bCs/>
        </w:rPr>
        <w:t xml:space="preserve">Performance Domains </w:t>
      </w:r>
    </w:p>
    <w:p w14:paraId="57299CEC" w14:textId="4BFDA8B2" w:rsidR="0088415B" w:rsidRPr="00031AFE" w:rsidRDefault="0088415B" w:rsidP="0088415B">
      <w:pPr>
        <w:pStyle w:val="DHHSbody"/>
      </w:pPr>
      <w:r w:rsidRPr="00031AFE">
        <w:t xml:space="preserve">While Parts A and B of the </w:t>
      </w:r>
      <w:r>
        <w:t>SoP</w:t>
      </w:r>
      <w:r w:rsidRPr="00031AFE">
        <w:t xml:space="preserve"> outline the annual high-level strategic performance priorities, health services remain fully accountable for performance across all areas defined by the four domains of: </w:t>
      </w:r>
    </w:p>
    <w:p w14:paraId="7275E778" w14:textId="77777777" w:rsidR="0088415B" w:rsidRPr="00031AFE" w:rsidRDefault="0088415B" w:rsidP="00C02D14">
      <w:pPr>
        <w:pStyle w:val="DHHSbody"/>
        <w:numPr>
          <w:ilvl w:val="0"/>
          <w:numId w:val="13"/>
        </w:numPr>
      </w:pPr>
      <w:r w:rsidRPr="00031AFE">
        <w:t>High quality and safe care </w:t>
      </w:r>
    </w:p>
    <w:p w14:paraId="303DC95A" w14:textId="77777777" w:rsidR="0088415B" w:rsidRPr="00031AFE" w:rsidRDefault="0088415B" w:rsidP="00C02D14">
      <w:pPr>
        <w:pStyle w:val="DHHSbody"/>
        <w:numPr>
          <w:ilvl w:val="0"/>
          <w:numId w:val="13"/>
        </w:numPr>
      </w:pPr>
      <w:r w:rsidRPr="00031AFE">
        <w:t>Strong governance leadership and culture </w:t>
      </w:r>
    </w:p>
    <w:p w14:paraId="4D6244C1" w14:textId="77777777" w:rsidR="0088415B" w:rsidRPr="00031AFE" w:rsidRDefault="0088415B" w:rsidP="00C02D14">
      <w:pPr>
        <w:pStyle w:val="DHHSbody"/>
        <w:numPr>
          <w:ilvl w:val="0"/>
          <w:numId w:val="13"/>
        </w:numPr>
      </w:pPr>
      <w:r w:rsidRPr="00031AFE">
        <w:t>Timely access to care </w:t>
      </w:r>
    </w:p>
    <w:p w14:paraId="4DF48FC2" w14:textId="77777777" w:rsidR="0088415B" w:rsidRPr="00031AFE" w:rsidRDefault="0088415B" w:rsidP="00C02D14">
      <w:pPr>
        <w:pStyle w:val="DHHSbody"/>
        <w:numPr>
          <w:ilvl w:val="0"/>
          <w:numId w:val="13"/>
        </w:numPr>
      </w:pPr>
      <w:r w:rsidRPr="00031AFE">
        <w:t>Effective financial and asset management </w:t>
      </w:r>
    </w:p>
    <w:p w14:paraId="244A9BE6" w14:textId="77777777" w:rsidR="00E4096D" w:rsidRDefault="00E4096D">
      <w:pPr>
        <w:spacing w:line="279" w:lineRule="auto"/>
        <w:rPr>
          <w:rFonts w:eastAsiaTheme="majorEastAsia" w:cstheme="majorBidi"/>
          <w:color w:val="201547"/>
          <w:sz w:val="44"/>
          <w:szCs w:val="44"/>
        </w:rPr>
      </w:pPr>
      <w:r>
        <w:rPr>
          <w:color w:val="201547"/>
          <w:sz w:val="44"/>
          <w:szCs w:val="44"/>
        </w:rPr>
        <w:br w:type="page"/>
      </w:r>
    </w:p>
    <w:p w14:paraId="6E8184E2" w14:textId="48F97000" w:rsidR="00072D94" w:rsidRDefault="00072D94" w:rsidP="00072D94">
      <w:pPr>
        <w:pStyle w:val="Heading1"/>
        <w:numPr>
          <w:ilvl w:val="0"/>
          <w:numId w:val="0"/>
        </w:numPr>
        <w:rPr>
          <w:color w:val="201547"/>
          <w:sz w:val="44"/>
          <w:szCs w:val="44"/>
        </w:rPr>
      </w:pPr>
      <w:bookmarkStart w:id="131" w:name="_Toc211343301"/>
      <w:bookmarkStart w:id="132" w:name="_Hlk200546600"/>
      <w:r w:rsidRPr="004E245D">
        <w:rPr>
          <w:color w:val="201547"/>
          <w:sz w:val="44"/>
          <w:szCs w:val="44"/>
        </w:rPr>
        <w:lastRenderedPageBreak/>
        <w:t xml:space="preserve">Appendix </w:t>
      </w:r>
      <w:r>
        <w:rPr>
          <w:color w:val="201547"/>
          <w:sz w:val="44"/>
          <w:szCs w:val="44"/>
        </w:rPr>
        <w:t>3</w:t>
      </w:r>
      <w:r w:rsidRPr="004E245D">
        <w:rPr>
          <w:color w:val="201547"/>
          <w:sz w:val="44"/>
          <w:szCs w:val="44"/>
        </w:rPr>
        <w:t xml:space="preserve">: </w:t>
      </w:r>
      <w:r w:rsidR="00845027">
        <w:rPr>
          <w:color w:val="201547"/>
          <w:sz w:val="44"/>
          <w:szCs w:val="44"/>
        </w:rPr>
        <w:t>I</w:t>
      </w:r>
      <w:r w:rsidR="00845027" w:rsidRPr="00845027">
        <w:rPr>
          <w:color w:val="201547"/>
          <w:sz w:val="44"/>
          <w:szCs w:val="44"/>
        </w:rPr>
        <w:t>nitiatives to support performance improvement</w:t>
      </w:r>
      <w:bookmarkEnd w:id="131"/>
    </w:p>
    <w:tbl>
      <w:tblPr>
        <w:tblStyle w:val="Highlighttable"/>
        <w:tblW w:w="9649" w:type="dxa"/>
        <w:shd w:val="clear" w:color="auto" w:fill="C1E4F5" w:themeFill="accent1" w:themeFillTint="33"/>
        <w:tblLook w:val="0600" w:firstRow="0" w:lastRow="0" w:firstColumn="0" w:lastColumn="0" w:noHBand="1" w:noVBand="1"/>
      </w:tblPr>
      <w:tblGrid>
        <w:gridCol w:w="9649"/>
      </w:tblGrid>
      <w:tr w:rsidR="00072D94" w:rsidRPr="00805064" w14:paraId="4937B9DC" w14:textId="77777777" w:rsidTr="00076A38">
        <w:trPr>
          <w:trHeight w:val="513"/>
        </w:trPr>
        <w:tc>
          <w:tcPr>
            <w:tcW w:w="9649" w:type="dxa"/>
            <w:shd w:val="clear" w:color="auto" w:fill="C1E4F5" w:themeFill="accent1" w:themeFillTint="33"/>
          </w:tcPr>
          <w:bookmarkEnd w:id="132"/>
          <w:p w14:paraId="6B629ADC" w14:textId="6C58CE92" w:rsidR="00C342A4" w:rsidRPr="00C342A4" w:rsidRDefault="00072D94" w:rsidP="007E45D2">
            <w:pPr>
              <w:pStyle w:val="DHHSbody"/>
              <w:spacing w:line="240" w:lineRule="auto"/>
              <w:rPr>
                <w:b/>
                <w:bCs/>
              </w:rPr>
            </w:pPr>
            <w:r w:rsidRPr="004E245D">
              <w:rPr>
                <w:color w:val="201547"/>
                <w:sz w:val="44"/>
                <w:szCs w:val="44"/>
              </w:rPr>
              <w:t xml:space="preserve"> </w:t>
            </w:r>
            <w:r w:rsidR="00C342A4" w:rsidRPr="00C342A4">
              <w:rPr>
                <w:b/>
                <w:bCs/>
                <w:color w:val="53565A"/>
                <w:sz w:val="24"/>
                <w:szCs w:val="24"/>
              </w:rPr>
              <w:t xml:space="preserve">Box </w:t>
            </w:r>
            <w:r w:rsidR="00C342A4" w:rsidRPr="00C342A4">
              <w:rPr>
                <w:b/>
                <w:bCs/>
                <w:color w:val="53565A"/>
                <w:sz w:val="24"/>
                <w:szCs w:val="24"/>
              </w:rPr>
              <w:fldChar w:fldCharType="begin"/>
            </w:r>
            <w:r w:rsidR="00C342A4" w:rsidRPr="00C342A4">
              <w:rPr>
                <w:b/>
                <w:bCs/>
                <w:color w:val="53565A"/>
                <w:sz w:val="24"/>
                <w:szCs w:val="24"/>
              </w:rPr>
              <w:instrText xml:space="preserve"> SEQ Box \* ARABIC </w:instrText>
            </w:r>
            <w:r w:rsidR="00C342A4" w:rsidRPr="00C342A4">
              <w:rPr>
                <w:b/>
                <w:bCs/>
                <w:color w:val="53565A"/>
                <w:sz w:val="24"/>
                <w:szCs w:val="24"/>
              </w:rPr>
              <w:fldChar w:fldCharType="separate"/>
            </w:r>
            <w:r w:rsidR="00D87DE1">
              <w:rPr>
                <w:b/>
                <w:bCs/>
                <w:noProof/>
                <w:color w:val="53565A"/>
                <w:sz w:val="24"/>
                <w:szCs w:val="24"/>
              </w:rPr>
              <w:t>1</w:t>
            </w:r>
            <w:r w:rsidR="00C342A4" w:rsidRPr="00C342A4">
              <w:rPr>
                <w:b/>
                <w:bCs/>
                <w:color w:val="53565A"/>
                <w:sz w:val="24"/>
                <w:szCs w:val="24"/>
              </w:rPr>
              <w:fldChar w:fldCharType="end"/>
            </w:r>
            <w:r w:rsidR="00C342A4" w:rsidRPr="00C342A4">
              <w:rPr>
                <w:b/>
                <w:bCs/>
                <w:color w:val="53565A"/>
                <w:sz w:val="24"/>
                <w:szCs w:val="24"/>
              </w:rPr>
              <w:t>: Improving timely access to emergency care</w:t>
            </w:r>
          </w:p>
          <w:p w14:paraId="4D23D87F" w14:textId="0BBCF729" w:rsidR="00072D94" w:rsidRDefault="00072D94" w:rsidP="007E45D2">
            <w:pPr>
              <w:pStyle w:val="DHHSbody"/>
              <w:spacing w:line="240" w:lineRule="auto"/>
            </w:pPr>
            <w:r w:rsidRPr="00E737F5">
              <w:t xml:space="preserve">Through the Timely Emergency Care Collaborative, the department is working in partnership with the Institute for Healthcare </w:t>
            </w:r>
            <w:r>
              <w:t>(IHI)</w:t>
            </w:r>
            <w:r w:rsidRPr="00E737F5">
              <w:t xml:space="preserve"> improvement as well as health services and Ambulance Victoria </w:t>
            </w:r>
            <w:r>
              <w:t xml:space="preserve">(AV) </w:t>
            </w:r>
            <w:r w:rsidRPr="00E737F5">
              <w:t>to reduce length of stay in emergency departments</w:t>
            </w:r>
            <w:r>
              <w:t>.</w:t>
            </w:r>
          </w:p>
          <w:p w14:paraId="73356C8E" w14:textId="77777777" w:rsidR="00072D94" w:rsidRDefault="00072D94" w:rsidP="007E45D2">
            <w:pPr>
              <w:pStyle w:val="DHHSbody"/>
              <w:spacing w:line="240" w:lineRule="auto"/>
            </w:pPr>
            <w:r>
              <w:t>The Collaborative was formally established in November 2022 in response to feedback from health services that improvements in access to emergency care could be gained by focussing on whole of hospital patient flow (rather than ambulance and ED alone) and providing health services with the opportunity to come together to discuss what could be done.</w:t>
            </w:r>
          </w:p>
          <w:p w14:paraId="63927D6B" w14:textId="77777777" w:rsidR="00072D94" w:rsidRDefault="00072D94" w:rsidP="007E45D2">
            <w:pPr>
              <w:pStyle w:val="DHHSbody"/>
              <w:spacing w:line="240" w:lineRule="auto"/>
            </w:pPr>
            <w:r>
              <w:t xml:space="preserve">The work takes a whole-of-system approach to </w:t>
            </w:r>
            <w:r w:rsidRPr="00230450">
              <w:t xml:space="preserve">improving experiences for patients and staff as well as </w:t>
            </w:r>
            <w:r>
              <w:t>uplifting performance through continuous improvement. Aspects of this relevant to the PMF include:</w:t>
            </w:r>
          </w:p>
          <w:p w14:paraId="05E25933" w14:textId="15DE3F4F" w:rsidR="00072D94" w:rsidRDefault="004072C8" w:rsidP="00072D94">
            <w:pPr>
              <w:pStyle w:val="DHHSbody"/>
              <w:numPr>
                <w:ilvl w:val="0"/>
                <w:numId w:val="10"/>
              </w:numPr>
              <w:spacing w:line="240" w:lineRule="auto"/>
            </w:pPr>
            <w:r w:rsidRPr="004072C8">
              <w:rPr>
                <w:b/>
              </w:rPr>
              <w:t>Planning and Strategy</w:t>
            </w:r>
            <w:r w:rsidR="00072D94">
              <w:t>: working with the sector to map the</w:t>
            </w:r>
            <w:r w:rsidR="00072D94" w:rsidRPr="009F58A1">
              <w:t xml:space="preserve"> drivers </w:t>
            </w:r>
            <w:r w:rsidR="00072D94">
              <w:t>of performance across</w:t>
            </w:r>
            <w:r w:rsidR="00072D94" w:rsidRPr="009F58A1">
              <w:t xml:space="preserve"> the system</w:t>
            </w:r>
            <w:r w:rsidR="00072D94">
              <w:t xml:space="preserve"> – not just within emergency departments. This stage focussed on working with health services </w:t>
            </w:r>
            <w:r w:rsidR="00072D94" w:rsidRPr="005E2690">
              <w:t>to develop a whole of project driver diagram as well as identifying and prioritising improvement ideas. In parallel</w:t>
            </w:r>
            <w:r w:rsidR="00072D94">
              <w:t xml:space="preserve">: </w:t>
            </w:r>
          </w:p>
          <w:p w14:paraId="5784BF82" w14:textId="77777777" w:rsidR="00072D94" w:rsidRDefault="00072D94" w:rsidP="00072D94">
            <w:pPr>
              <w:pStyle w:val="DHHSbody"/>
              <w:numPr>
                <w:ilvl w:val="1"/>
                <w:numId w:val="10"/>
              </w:numPr>
              <w:spacing w:line="240" w:lineRule="auto"/>
            </w:pPr>
            <w:r w:rsidRPr="005E2690">
              <w:t xml:space="preserve">An aim statement was developed to set the overarching improvement goal for the project. Health services also developed local aim statements with locally tailored improvement goals aligned to the overarching project aim statement.  </w:t>
            </w:r>
          </w:p>
          <w:p w14:paraId="1AB3D118" w14:textId="77777777" w:rsidR="00072D94" w:rsidRDefault="00072D94" w:rsidP="00072D94">
            <w:pPr>
              <w:pStyle w:val="DHHSbody"/>
              <w:numPr>
                <w:ilvl w:val="1"/>
                <w:numId w:val="10"/>
              </w:numPr>
              <w:spacing w:line="240" w:lineRule="auto"/>
            </w:pPr>
            <w:r>
              <w:t xml:space="preserve">Measures were developed around the key drivers of emergency performance – the factors that are most likely to shift the dial </w:t>
            </w:r>
            <w:r w:rsidRPr="007B6962">
              <w:t>and impact on patient outcomes and staff experiences</w:t>
            </w:r>
            <w:r>
              <w:t xml:space="preserve">. From 2024-25, some of them will replace older measures in the SoP to ensure that </w:t>
            </w:r>
            <w:r w:rsidRPr="00A10169">
              <w:t>measures are meaningful and encourage health services to focus on improving flow across hospitals to reduce pressure on ED</w:t>
            </w:r>
            <w:r>
              <w:t xml:space="preserve">. Superseded measures will continue to be captured through PRISM and other government reporting.  </w:t>
            </w:r>
          </w:p>
          <w:p w14:paraId="7F694AA6" w14:textId="2A8FFD5F" w:rsidR="00072D94" w:rsidRDefault="004072C8" w:rsidP="00072D94">
            <w:pPr>
              <w:pStyle w:val="DHHSbody"/>
              <w:numPr>
                <w:ilvl w:val="0"/>
                <w:numId w:val="10"/>
              </w:numPr>
              <w:spacing w:line="240" w:lineRule="auto"/>
            </w:pPr>
            <w:r w:rsidRPr="004D1C37">
              <w:rPr>
                <w:b/>
                <w:bCs/>
              </w:rPr>
              <w:t>Continuous Improvement</w:t>
            </w:r>
            <w:r w:rsidR="00072D94">
              <w:t>: This stage involved implementation of the measurement and improvement strategies, including through:</w:t>
            </w:r>
          </w:p>
          <w:p w14:paraId="0561C6B5" w14:textId="77777777" w:rsidR="00072D94" w:rsidRDefault="00072D94" w:rsidP="00072D94">
            <w:pPr>
              <w:pStyle w:val="DHHSbody"/>
              <w:numPr>
                <w:ilvl w:val="1"/>
                <w:numId w:val="10"/>
              </w:numPr>
              <w:spacing w:line="240" w:lineRule="auto"/>
            </w:pPr>
            <w:r>
              <w:t>Clinician led development of improvement ideas</w:t>
            </w:r>
          </w:p>
          <w:p w14:paraId="1310BFBC" w14:textId="77777777" w:rsidR="00072D94" w:rsidRDefault="00072D94" w:rsidP="00072D94">
            <w:pPr>
              <w:pStyle w:val="DHHSbody"/>
              <w:numPr>
                <w:ilvl w:val="1"/>
                <w:numId w:val="10"/>
              </w:numPr>
              <w:spacing w:line="240" w:lineRule="auto"/>
            </w:pPr>
            <w:r>
              <w:t xml:space="preserve">Regular testing and refinement of improvement ideas within health services </w:t>
            </w:r>
          </w:p>
          <w:p w14:paraId="049848B2" w14:textId="77777777" w:rsidR="00072D94" w:rsidRDefault="00072D94" w:rsidP="00072D94">
            <w:pPr>
              <w:pStyle w:val="DHHSbody"/>
              <w:numPr>
                <w:ilvl w:val="1"/>
                <w:numId w:val="10"/>
              </w:numPr>
              <w:spacing w:line="240" w:lineRule="auto"/>
            </w:pPr>
            <w:r>
              <w:t>Regular reporting of progress, trends and drivers through run charts</w:t>
            </w:r>
          </w:p>
          <w:p w14:paraId="61298D62" w14:textId="77777777" w:rsidR="00072D94" w:rsidRDefault="00072D94" w:rsidP="00072D94">
            <w:pPr>
              <w:pStyle w:val="DHHSbody"/>
              <w:numPr>
                <w:ilvl w:val="1"/>
                <w:numId w:val="10"/>
              </w:numPr>
              <w:spacing w:line="240" w:lineRule="auto"/>
            </w:pPr>
            <w:r>
              <w:t>Accessing expert advice on improvement science in partnership with IHI</w:t>
            </w:r>
          </w:p>
          <w:p w14:paraId="1221D5B3" w14:textId="77777777" w:rsidR="00072D94" w:rsidRDefault="00072D94" w:rsidP="00072D94">
            <w:pPr>
              <w:pStyle w:val="DHHSbody"/>
              <w:numPr>
                <w:ilvl w:val="1"/>
                <w:numId w:val="10"/>
              </w:numPr>
              <w:spacing w:line="240" w:lineRule="auto"/>
            </w:pPr>
            <w:r>
              <w:t>Sharing existing and new strategies and expertise to avoid having to reinvent the wheel.</w:t>
            </w:r>
          </w:p>
          <w:p w14:paraId="370FF97D" w14:textId="77777777" w:rsidR="00072D94" w:rsidRDefault="00072D94" w:rsidP="00072D94">
            <w:pPr>
              <w:pStyle w:val="DHHSbody"/>
              <w:numPr>
                <w:ilvl w:val="0"/>
                <w:numId w:val="10"/>
              </w:numPr>
              <w:spacing w:line="240" w:lineRule="auto"/>
            </w:pPr>
            <w:r w:rsidRPr="008470BF">
              <w:rPr>
                <w:b/>
              </w:rPr>
              <w:t>Accountability</w:t>
            </w:r>
            <w:r>
              <w:t>: this stage involving a new approach to both assessing and responding to health service performance. In particular:</w:t>
            </w:r>
          </w:p>
          <w:p w14:paraId="7AE2F27E" w14:textId="6004E09C" w:rsidR="00072D94" w:rsidRDefault="00072D94" w:rsidP="00072D94">
            <w:pPr>
              <w:pStyle w:val="DHHSbody"/>
              <w:numPr>
                <w:ilvl w:val="1"/>
                <w:numId w:val="10"/>
              </w:numPr>
              <w:spacing w:line="240" w:lineRule="auto"/>
            </w:pPr>
            <w:r>
              <w:t>B</w:t>
            </w:r>
            <w:r w:rsidRPr="006500C4">
              <w:t>ecause</w:t>
            </w:r>
            <w:r>
              <w:rPr>
                <w:b/>
              </w:rPr>
              <w:t xml:space="preserve"> </w:t>
            </w:r>
            <w:r>
              <w:t xml:space="preserve">participating health services were actively working on improvement, there was a significantly reduced need for performance deterioration </w:t>
            </w:r>
            <w:r w:rsidRPr="00B340E6">
              <w:t>related to accessing emergency care</w:t>
            </w:r>
            <w:r>
              <w:t xml:space="preserve"> to be raised during formal meetings. For the most part performance was either already </w:t>
            </w:r>
            <w:r w:rsidR="00507F67">
              <w:t>improving or</w:t>
            </w:r>
            <w:r>
              <w:t xml:space="preserve"> agreed improvement strategies were already in place and could be simply noted.  </w:t>
            </w:r>
          </w:p>
          <w:p w14:paraId="6F7DD3EA" w14:textId="77777777" w:rsidR="00072D94" w:rsidRPr="008470BF" w:rsidRDefault="00072D94" w:rsidP="00072D94">
            <w:pPr>
              <w:pStyle w:val="DHHSbody"/>
              <w:numPr>
                <w:ilvl w:val="1"/>
                <w:numId w:val="10"/>
              </w:numPr>
              <w:spacing w:line="240" w:lineRule="auto"/>
            </w:pPr>
            <w:r>
              <w:t xml:space="preserve">Accountability measurement itself was redesigned, focussing on continuous improvement in performance </w:t>
            </w:r>
            <w:r w:rsidRPr="00B340E6">
              <w:t>based on past health service performance</w:t>
            </w:r>
            <w:r>
              <w:t xml:space="preserve">. From 2024-25, SoP targets are designed around annual improvement on prior year performance, except where expectations have already been met (in which case the expectation is of sustained improvement), or for indicators where there can be zero tolerance of underperformance (for example, 24-hour breaches in ED). </w:t>
            </w:r>
          </w:p>
        </w:tc>
      </w:tr>
      <w:tr w:rsidR="00204EE8" w:rsidRPr="00805064" w14:paraId="112FC3D4" w14:textId="77777777" w:rsidTr="00076A38">
        <w:tc>
          <w:tcPr>
            <w:tcW w:w="9649" w:type="dxa"/>
            <w:shd w:val="clear" w:color="auto" w:fill="C1E4F5" w:themeFill="accent1" w:themeFillTint="33"/>
          </w:tcPr>
          <w:p w14:paraId="7078685D" w14:textId="2ED4C52B" w:rsidR="00204EE8" w:rsidRPr="00D15E4F" w:rsidRDefault="00204EE8" w:rsidP="00204EE8">
            <w:pPr>
              <w:pStyle w:val="Heading4"/>
              <w:rPr>
                <w:color w:val="53565A"/>
                <w:sz w:val="24"/>
                <w:szCs w:val="24"/>
              </w:rPr>
            </w:pPr>
            <w:r w:rsidRPr="00D15E4F">
              <w:rPr>
                <w:color w:val="53565A"/>
                <w:sz w:val="24"/>
                <w:szCs w:val="24"/>
              </w:rPr>
              <w:lastRenderedPageBreak/>
              <w:t xml:space="preserve">Box </w:t>
            </w:r>
            <w:r w:rsidRPr="00D15E4F">
              <w:rPr>
                <w:color w:val="53565A"/>
                <w:sz w:val="24"/>
                <w:szCs w:val="24"/>
              </w:rPr>
              <w:fldChar w:fldCharType="begin"/>
            </w:r>
            <w:r w:rsidRPr="00D15E4F">
              <w:rPr>
                <w:color w:val="53565A"/>
                <w:sz w:val="24"/>
                <w:szCs w:val="24"/>
              </w:rPr>
              <w:instrText xml:space="preserve"> SEQ Box \* ARABIC </w:instrText>
            </w:r>
            <w:r w:rsidRPr="00D15E4F">
              <w:rPr>
                <w:color w:val="53565A"/>
                <w:sz w:val="24"/>
                <w:szCs w:val="24"/>
              </w:rPr>
              <w:fldChar w:fldCharType="separate"/>
            </w:r>
            <w:r w:rsidR="00D87DE1">
              <w:rPr>
                <w:noProof/>
                <w:color w:val="53565A"/>
                <w:sz w:val="24"/>
                <w:szCs w:val="24"/>
              </w:rPr>
              <w:t>2</w:t>
            </w:r>
            <w:r w:rsidRPr="00D15E4F">
              <w:rPr>
                <w:color w:val="53565A"/>
                <w:sz w:val="24"/>
                <w:szCs w:val="24"/>
              </w:rPr>
              <w:fldChar w:fldCharType="end"/>
            </w:r>
            <w:r w:rsidRPr="00D15E4F">
              <w:rPr>
                <w:color w:val="53565A"/>
                <w:sz w:val="24"/>
                <w:szCs w:val="24"/>
              </w:rPr>
              <w:t xml:space="preserve">: examples of underlying risk factors the department considers in risk monitoring </w:t>
            </w:r>
          </w:p>
          <w:tbl>
            <w:tblPr>
              <w:tblStyle w:val="Highlighttable"/>
              <w:tblW w:w="9299" w:type="dxa"/>
              <w:shd w:val="clear" w:color="auto" w:fill="DBE5F1"/>
              <w:tblLook w:val="0600" w:firstRow="0" w:lastRow="0" w:firstColumn="0" w:lastColumn="0" w:noHBand="1" w:noVBand="1"/>
            </w:tblPr>
            <w:tblGrid>
              <w:gridCol w:w="4649"/>
              <w:gridCol w:w="4650"/>
            </w:tblGrid>
            <w:tr w:rsidR="00204EE8" w:rsidRPr="0033345C" w14:paraId="551454FF" w14:textId="77777777" w:rsidTr="00076A38">
              <w:trPr>
                <w:trHeight w:val="673"/>
              </w:trPr>
              <w:tc>
                <w:tcPr>
                  <w:tcW w:w="4649" w:type="dxa"/>
                  <w:shd w:val="clear" w:color="auto" w:fill="DBE5F1"/>
                </w:tcPr>
                <w:p w14:paraId="5648BB82" w14:textId="77777777" w:rsidR="00204EE8" w:rsidRPr="004D766B" w:rsidRDefault="00204EE8" w:rsidP="00204EE8">
                  <w:pPr>
                    <w:pStyle w:val="DHHSbullet1"/>
                  </w:pPr>
                  <w:r w:rsidRPr="004D766B">
                    <w:t xml:space="preserve">workforce </w:t>
                  </w:r>
                  <w:r>
                    <w:t>supply</w:t>
                  </w:r>
                  <w:r w:rsidRPr="004D766B">
                    <w:t>, capacity</w:t>
                  </w:r>
                  <w:r>
                    <w:t xml:space="preserve">, </w:t>
                  </w:r>
                  <w:r w:rsidRPr="004D766B">
                    <w:t>capability</w:t>
                  </w:r>
                  <w:r>
                    <w:t xml:space="preserve"> and sustainability</w:t>
                  </w:r>
                </w:p>
                <w:p w14:paraId="3F4E50A7" w14:textId="77777777" w:rsidR="00204EE8" w:rsidRPr="004D766B" w:rsidRDefault="00204EE8" w:rsidP="00204EE8">
                  <w:pPr>
                    <w:pStyle w:val="DHHSbullet1"/>
                  </w:pPr>
                  <w:r w:rsidRPr="004D766B">
                    <w:t>ability to respond to community needs</w:t>
                  </w:r>
                </w:p>
                <w:p w14:paraId="3A78FC1F" w14:textId="77777777" w:rsidR="00204EE8" w:rsidRDefault="00204EE8" w:rsidP="00204EE8">
                  <w:pPr>
                    <w:pStyle w:val="DHHSbullet1"/>
                  </w:pPr>
                  <w:r w:rsidRPr="004D766B">
                    <w:t xml:space="preserve">clinical </w:t>
                  </w:r>
                  <w:r>
                    <w:t>governance co-</w:t>
                  </w:r>
                  <w:r w:rsidRPr="004D766B">
                    <w:t>leadership</w:t>
                  </w:r>
                  <w:r>
                    <w:t xml:space="preserve"> by board and executive</w:t>
                  </w:r>
                </w:p>
                <w:p w14:paraId="4E6D08DA" w14:textId="77777777" w:rsidR="00204EE8" w:rsidRPr="004D766B" w:rsidRDefault="00204EE8" w:rsidP="00204EE8">
                  <w:pPr>
                    <w:pStyle w:val="DHHSbullet1"/>
                  </w:pPr>
                  <w:r w:rsidRPr="004D766B">
                    <w:t>management of complex care or changes in capability</w:t>
                  </w:r>
                </w:p>
                <w:p w14:paraId="47F979FF" w14:textId="77777777" w:rsidR="00204EE8" w:rsidRPr="004D766B" w:rsidRDefault="00204EE8" w:rsidP="00204EE8">
                  <w:pPr>
                    <w:pStyle w:val="DHHSbullet1"/>
                  </w:pPr>
                  <w:r w:rsidRPr="004D766B">
                    <w:t xml:space="preserve">board </w:t>
                  </w:r>
                  <w:r>
                    <w:t xml:space="preserve">corporate </w:t>
                  </w:r>
                  <w:r w:rsidRPr="004D766B">
                    <w:t>governance</w:t>
                  </w:r>
                </w:p>
                <w:p w14:paraId="48CA0D91" w14:textId="77777777" w:rsidR="00204EE8" w:rsidRPr="004D766B" w:rsidRDefault="00204EE8" w:rsidP="00204EE8">
                  <w:pPr>
                    <w:pStyle w:val="DHHSbullet1"/>
                  </w:pPr>
                  <w:r>
                    <w:t xml:space="preserve">executive and managerial </w:t>
                  </w:r>
                  <w:r w:rsidRPr="004D766B">
                    <w:t>leadership</w:t>
                  </w:r>
                  <w:r>
                    <w:t xml:space="preserve"> behaviour and capability</w:t>
                  </w:r>
                </w:p>
              </w:tc>
              <w:tc>
                <w:tcPr>
                  <w:tcW w:w="4650" w:type="dxa"/>
                  <w:shd w:val="clear" w:color="auto" w:fill="DBE5F1"/>
                </w:tcPr>
                <w:p w14:paraId="0A775D07" w14:textId="77777777" w:rsidR="00204EE8" w:rsidRPr="004D766B" w:rsidRDefault="00204EE8" w:rsidP="00204EE8">
                  <w:pPr>
                    <w:pStyle w:val="DHHSbullet1"/>
                  </w:pPr>
                  <w:r>
                    <w:t xml:space="preserve">safety </w:t>
                  </w:r>
                  <w:r w:rsidRPr="004D766B">
                    <w:t>culture</w:t>
                  </w:r>
                </w:p>
                <w:p w14:paraId="203897DB" w14:textId="77777777" w:rsidR="00204EE8" w:rsidRPr="004D766B" w:rsidRDefault="00204EE8" w:rsidP="00204EE8">
                  <w:pPr>
                    <w:pStyle w:val="DHHSbullet1"/>
                  </w:pPr>
                  <w:r w:rsidRPr="004D766B">
                    <w:t>service sustainability</w:t>
                  </w:r>
                </w:p>
                <w:p w14:paraId="36267CE2" w14:textId="77777777" w:rsidR="00204EE8" w:rsidRPr="004D766B" w:rsidRDefault="00204EE8" w:rsidP="00204EE8">
                  <w:pPr>
                    <w:pStyle w:val="DHHSbullet1"/>
                  </w:pPr>
                  <w:r w:rsidRPr="004D766B">
                    <w:t>financial performance</w:t>
                  </w:r>
                </w:p>
                <w:p w14:paraId="7D91B926" w14:textId="77777777" w:rsidR="00204EE8" w:rsidRPr="004D766B" w:rsidRDefault="00204EE8" w:rsidP="00204EE8">
                  <w:pPr>
                    <w:pStyle w:val="DHHSbullet1"/>
                  </w:pPr>
                  <w:r w:rsidRPr="004D766B">
                    <w:t>delivery of new services or models of care</w:t>
                  </w:r>
                </w:p>
                <w:p w14:paraId="5A78D8D8" w14:textId="77777777" w:rsidR="00204EE8" w:rsidRDefault="00204EE8" w:rsidP="00204EE8">
                  <w:pPr>
                    <w:pStyle w:val="DHHSbullet1"/>
                  </w:pPr>
                  <w:r w:rsidRPr="004D766B">
                    <w:t xml:space="preserve">complexity of the patient cohort </w:t>
                  </w:r>
                </w:p>
                <w:p w14:paraId="6923C1FD" w14:textId="77777777" w:rsidR="00204EE8" w:rsidRPr="004D766B" w:rsidRDefault="00204EE8" w:rsidP="00204EE8">
                  <w:pPr>
                    <w:pStyle w:val="DHHSbullet1"/>
                  </w:pPr>
                  <w:r w:rsidRPr="004D766B">
                    <w:t>competing strategic priorities</w:t>
                  </w:r>
                </w:p>
                <w:p w14:paraId="1BD5F9DA" w14:textId="77777777" w:rsidR="00204EE8" w:rsidRDefault="00204EE8" w:rsidP="00204EE8">
                  <w:pPr>
                    <w:pStyle w:val="DHHSbullet1"/>
                  </w:pPr>
                  <w:r w:rsidRPr="004D766B">
                    <w:t xml:space="preserve">major capital projects </w:t>
                  </w:r>
                </w:p>
                <w:p w14:paraId="7ADEEC18" w14:textId="77777777" w:rsidR="00204EE8" w:rsidRPr="00633E25" w:rsidRDefault="00204EE8" w:rsidP="00204EE8">
                  <w:pPr>
                    <w:pStyle w:val="DHHSbullet1"/>
                  </w:pPr>
                  <w:bookmarkStart w:id="133" w:name="_Hlk167966249"/>
                  <w:r>
                    <w:t>major asset failure incidents</w:t>
                  </w:r>
                  <w:bookmarkEnd w:id="133"/>
                </w:p>
              </w:tc>
            </w:tr>
          </w:tbl>
          <w:p w14:paraId="080D9348" w14:textId="745AC7A2" w:rsidR="00204EE8" w:rsidRPr="00D15E4F" w:rsidRDefault="00204EE8" w:rsidP="00204EE8">
            <w:pPr>
              <w:pStyle w:val="Heading4"/>
              <w:rPr>
                <w:color w:val="53565A"/>
                <w:sz w:val="24"/>
                <w:szCs w:val="24"/>
              </w:rPr>
            </w:pPr>
            <w:bookmarkStart w:id="134" w:name="_Ref167046021"/>
            <w:r w:rsidRPr="00D15E4F">
              <w:rPr>
                <w:color w:val="53565A"/>
                <w:sz w:val="24"/>
                <w:szCs w:val="24"/>
              </w:rPr>
              <w:t xml:space="preserve">Box </w:t>
            </w:r>
            <w:r w:rsidRPr="00D15E4F">
              <w:rPr>
                <w:color w:val="53565A"/>
                <w:sz w:val="24"/>
                <w:szCs w:val="24"/>
              </w:rPr>
              <w:fldChar w:fldCharType="begin"/>
            </w:r>
            <w:r w:rsidRPr="00D15E4F">
              <w:rPr>
                <w:color w:val="53565A"/>
                <w:sz w:val="24"/>
                <w:szCs w:val="24"/>
              </w:rPr>
              <w:instrText xml:space="preserve"> SEQ Box \* ARABIC </w:instrText>
            </w:r>
            <w:r w:rsidRPr="00D15E4F">
              <w:rPr>
                <w:color w:val="53565A"/>
                <w:sz w:val="24"/>
                <w:szCs w:val="24"/>
              </w:rPr>
              <w:fldChar w:fldCharType="separate"/>
            </w:r>
            <w:r w:rsidR="00D87DE1">
              <w:rPr>
                <w:noProof/>
                <w:color w:val="53565A"/>
                <w:sz w:val="24"/>
                <w:szCs w:val="24"/>
              </w:rPr>
              <w:t>3</w:t>
            </w:r>
            <w:r w:rsidRPr="00D15E4F">
              <w:rPr>
                <w:color w:val="53565A"/>
                <w:sz w:val="24"/>
                <w:szCs w:val="24"/>
              </w:rPr>
              <w:fldChar w:fldCharType="end"/>
            </w:r>
            <w:bookmarkEnd w:id="134"/>
            <w:r w:rsidRPr="00D15E4F">
              <w:rPr>
                <w:color w:val="53565A"/>
                <w:sz w:val="24"/>
                <w:szCs w:val="24"/>
              </w:rPr>
              <w:t xml:space="preserve">: examples of how underlying risk factors can impact performance </w:t>
            </w:r>
          </w:p>
          <w:tbl>
            <w:tblPr>
              <w:tblStyle w:val="Highlighttable"/>
              <w:tblW w:w="9299" w:type="dxa"/>
              <w:shd w:val="clear" w:color="auto" w:fill="DBE5F1"/>
              <w:tblLook w:val="0600" w:firstRow="0" w:lastRow="0" w:firstColumn="0" w:lastColumn="0" w:noHBand="1" w:noVBand="1"/>
            </w:tblPr>
            <w:tblGrid>
              <w:gridCol w:w="9299"/>
            </w:tblGrid>
            <w:tr w:rsidR="00204EE8" w:rsidRPr="0033345C" w14:paraId="7C5A2664" w14:textId="77777777" w:rsidTr="00076A38">
              <w:tc>
                <w:tcPr>
                  <w:tcW w:w="9299" w:type="dxa"/>
                  <w:shd w:val="clear" w:color="auto" w:fill="DBE5F1"/>
                </w:tcPr>
                <w:p w14:paraId="0BD7E011" w14:textId="77777777" w:rsidR="00204EE8" w:rsidRPr="00322E3A" w:rsidRDefault="00204EE8" w:rsidP="00204EE8">
                  <w:pPr>
                    <w:spacing w:after="120" w:line="270" w:lineRule="atLeast"/>
                    <w:rPr>
                      <w:rFonts w:eastAsia="Times" w:cs="Times New Roman"/>
                      <w:b/>
                      <w:sz w:val="21"/>
                      <w:szCs w:val="21"/>
                      <w:lang w:eastAsia="en-US"/>
                    </w:rPr>
                  </w:pPr>
                  <w:r w:rsidRPr="00322E3A">
                    <w:rPr>
                      <w:rFonts w:eastAsia="Times" w:cs="Times New Roman"/>
                      <w:b/>
                      <w:sz w:val="21"/>
                      <w:szCs w:val="21"/>
                      <w:lang w:eastAsia="en-US"/>
                    </w:rPr>
                    <w:t>Geographical impacts</w:t>
                  </w:r>
                </w:p>
                <w:p w14:paraId="73BB9469" w14:textId="77777777" w:rsidR="00204EE8" w:rsidRPr="00322E3A" w:rsidRDefault="00204EE8" w:rsidP="00204EE8">
                  <w:pPr>
                    <w:spacing w:after="120" w:line="270" w:lineRule="atLeast"/>
                    <w:rPr>
                      <w:rFonts w:eastAsia="Times" w:cs="Times New Roman"/>
                      <w:sz w:val="21"/>
                      <w:szCs w:val="21"/>
                      <w:lang w:eastAsia="en-US"/>
                    </w:rPr>
                  </w:pPr>
                  <w:r w:rsidRPr="00322E3A">
                    <w:rPr>
                      <w:rFonts w:eastAsia="Times" w:cs="Times New Roman"/>
                      <w:sz w:val="21"/>
                      <w:szCs w:val="21"/>
                      <w:lang w:eastAsia="en-US"/>
                    </w:rPr>
                    <w:t>Health services in rural areas face significant challenges in attracting and retaining skilled staff as well as board directors. There may also be a higher risk of professional isolation for practitioners with limited career options, no back-up cover and no succession planning. Management may find it difficult to manage contracts or performance of clinicians who are difficult to replace.</w:t>
                  </w:r>
                </w:p>
                <w:p w14:paraId="7E396EBC" w14:textId="77777777" w:rsidR="00204EE8" w:rsidRPr="00322E3A" w:rsidRDefault="00204EE8" w:rsidP="00204EE8">
                  <w:pPr>
                    <w:spacing w:after="120" w:line="270" w:lineRule="atLeast"/>
                    <w:rPr>
                      <w:rFonts w:eastAsia="Times" w:cs="Times New Roman"/>
                      <w:sz w:val="21"/>
                      <w:szCs w:val="21"/>
                      <w:lang w:eastAsia="en-US"/>
                    </w:rPr>
                  </w:pPr>
                  <w:r w:rsidRPr="00322E3A">
                    <w:rPr>
                      <w:rFonts w:eastAsia="Times" w:cs="Times New Roman"/>
                      <w:sz w:val="21"/>
                      <w:szCs w:val="21"/>
                      <w:lang w:eastAsia="en-US"/>
                    </w:rPr>
                    <w:t>Recognising these challenges provides a better appreciation of the contextual environment various health services operate in, the impact this has on service delivery, and the type of strategies required by the department (at a system level) and the health service (at a local level) to support improved performance.</w:t>
                  </w:r>
                </w:p>
              </w:tc>
            </w:tr>
            <w:tr w:rsidR="00204EE8" w:rsidRPr="0033345C" w14:paraId="440A727B" w14:textId="77777777" w:rsidTr="00076A38">
              <w:tc>
                <w:tcPr>
                  <w:tcW w:w="9299" w:type="dxa"/>
                  <w:shd w:val="clear" w:color="auto" w:fill="DBE5F1"/>
                </w:tcPr>
                <w:p w14:paraId="297FD386" w14:textId="77777777" w:rsidR="00204EE8" w:rsidRPr="00322E3A" w:rsidRDefault="00204EE8" w:rsidP="00204EE8">
                  <w:pPr>
                    <w:keepNext/>
                    <w:keepLines/>
                    <w:suppressAutoHyphens/>
                    <w:spacing w:before="160" w:after="60" w:line="240" w:lineRule="atLeast"/>
                    <w:outlineLvl w:val="4"/>
                    <w:rPr>
                      <w:rFonts w:eastAsia="MS Mincho" w:cs="Times New Roman"/>
                      <w:b/>
                      <w:bCs/>
                      <w:sz w:val="21"/>
                      <w:szCs w:val="21"/>
                      <w:lang w:eastAsia="en-US"/>
                    </w:rPr>
                  </w:pPr>
                  <w:r w:rsidRPr="011C3384">
                    <w:rPr>
                      <w:rFonts w:eastAsia="MS Mincho" w:cs="Times New Roman"/>
                      <w:b/>
                      <w:bCs/>
                      <w:sz w:val="21"/>
                      <w:szCs w:val="21"/>
                      <w:lang w:eastAsia="en-US"/>
                    </w:rPr>
                    <w:t>Culture</w:t>
                  </w:r>
                </w:p>
                <w:p w14:paraId="27E285A3" w14:textId="77777777" w:rsidR="00204EE8" w:rsidRPr="00322E3A" w:rsidRDefault="00204EE8" w:rsidP="00204EE8">
                  <w:pPr>
                    <w:spacing w:after="120" w:line="270" w:lineRule="atLeast"/>
                    <w:rPr>
                      <w:rFonts w:eastAsia="Times" w:cs="Times New Roman"/>
                      <w:sz w:val="21"/>
                      <w:szCs w:val="21"/>
                      <w:lang w:eastAsia="en-US"/>
                    </w:rPr>
                  </w:pPr>
                  <w:r>
                    <w:rPr>
                      <w:rFonts w:eastAsia="Times" w:cs="Times New Roman"/>
                      <w:sz w:val="21"/>
                      <w:szCs w:val="21"/>
                      <w:lang w:eastAsia="en-US"/>
                    </w:rPr>
                    <w:t>O</w:t>
                  </w:r>
                  <w:r w:rsidRPr="00322E3A">
                    <w:rPr>
                      <w:rFonts w:eastAsia="Times" w:cs="Times New Roman"/>
                      <w:sz w:val="21"/>
                      <w:szCs w:val="21"/>
                      <w:lang w:eastAsia="en-US"/>
                    </w:rPr>
                    <w:t>rganisational culture can significantly impact patient safety</w:t>
                  </w:r>
                  <w:r>
                    <w:rPr>
                      <w:rFonts w:eastAsia="Times" w:cs="Times New Roman"/>
                      <w:sz w:val="21"/>
                      <w:szCs w:val="21"/>
                      <w:lang w:eastAsia="en-US"/>
                    </w:rPr>
                    <w:t>.</w:t>
                  </w:r>
                  <w:r w:rsidRPr="00322E3A">
                    <w:rPr>
                      <w:rFonts w:eastAsia="Times" w:cs="Times New Roman"/>
                      <w:sz w:val="21"/>
                      <w:szCs w:val="21"/>
                      <w:lang w:eastAsia="en-US"/>
                    </w:rPr>
                    <w:t xml:space="preserve"> </w:t>
                  </w:r>
                  <w:r>
                    <w:rPr>
                      <w:rFonts w:eastAsia="Times" w:cs="Times New Roman"/>
                      <w:sz w:val="21"/>
                      <w:szCs w:val="21"/>
                      <w:lang w:eastAsia="en-US"/>
                    </w:rPr>
                    <w:t>Poor</w:t>
                  </w:r>
                  <w:r w:rsidRPr="00322E3A">
                    <w:rPr>
                      <w:rFonts w:eastAsia="Times" w:cs="Times New Roman"/>
                      <w:sz w:val="21"/>
                      <w:szCs w:val="21"/>
                      <w:lang w:eastAsia="en-US"/>
                    </w:rPr>
                    <w:t xml:space="preserve"> culture is directly linked to </w:t>
                  </w:r>
                  <w:r>
                    <w:rPr>
                      <w:rFonts w:eastAsia="Times" w:cs="Times New Roman"/>
                      <w:sz w:val="21"/>
                      <w:szCs w:val="21"/>
                      <w:lang w:eastAsia="en-US"/>
                    </w:rPr>
                    <w:t xml:space="preserve">reduced engagement and collaboration and increased </w:t>
                  </w:r>
                  <w:r w:rsidRPr="00322E3A">
                    <w:rPr>
                      <w:rFonts w:eastAsia="Times" w:cs="Times New Roman"/>
                      <w:sz w:val="21"/>
                      <w:szCs w:val="21"/>
                      <w:lang w:eastAsia="en-US"/>
                    </w:rPr>
                    <w:t xml:space="preserve">communication breakdown, which are lead indicators of harm and </w:t>
                  </w:r>
                  <w:r>
                    <w:rPr>
                      <w:rFonts w:eastAsia="Times" w:cs="Times New Roman"/>
                      <w:sz w:val="21"/>
                      <w:szCs w:val="21"/>
                      <w:lang w:eastAsia="en-US"/>
                    </w:rPr>
                    <w:t>adverse</w:t>
                  </w:r>
                  <w:r w:rsidRPr="00322E3A" w:rsidDel="00223E9D">
                    <w:rPr>
                      <w:rFonts w:eastAsia="Times" w:cs="Times New Roman"/>
                      <w:sz w:val="21"/>
                      <w:szCs w:val="21"/>
                      <w:lang w:eastAsia="en-US"/>
                    </w:rPr>
                    <w:t xml:space="preserve"> </w:t>
                  </w:r>
                  <w:r w:rsidRPr="00322E3A">
                    <w:rPr>
                      <w:rFonts w:eastAsia="Times" w:cs="Times New Roman"/>
                      <w:sz w:val="21"/>
                      <w:szCs w:val="21"/>
                      <w:lang w:eastAsia="en-US"/>
                    </w:rPr>
                    <w:t xml:space="preserve">patient outcomes. Ineffective governance and </w:t>
                  </w:r>
                  <w:r>
                    <w:rPr>
                      <w:rFonts w:eastAsia="Times" w:cs="Times New Roman"/>
                      <w:sz w:val="21"/>
                      <w:szCs w:val="21"/>
                      <w:lang w:eastAsia="en-US"/>
                    </w:rPr>
                    <w:t>unacceptable</w:t>
                  </w:r>
                  <w:r w:rsidRPr="00322E3A">
                    <w:rPr>
                      <w:rFonts w:eastAsia="Times" w:cs="Times New Roman"/>
                      <w:sz w:val="21"/>
                      <w:szCs w:val="21"/>
                      <w:lang w:eastAsia="en-US"/>
                    </w:rPr>
                    <w:t xml:space="preserve"> leadership </w:t>
                  </w:r>
                  <w:r>
                    <w:rPr>
                      <w:rFonts w:eastAsia="Times" w:cs="Times New Roman"/>
                      <w:sz w:val="21"/>
                      <w:szCs w:val="21"/>
                      <w:lang w:eastAsia="en-US"/>
                    </w:rPr>
                    <w:t xml:space="preserve">behaviour </w:t>
                  </w:r>
                  <w:r w:rsidRPr="00322E3A">
                    <w:rPr>
                      <w:rFonts w:eastAsia="Times" w:cs="Times New Roman"/>
                      <w:sz w:val="21"/>
                      <w:szCs w:val="21"/>
                      <w:lang w:eastAsia="en-US"/>
                    </w:rPr>
                    <w:t xml:space="preserve">further compound the risk </w:t>
                  </w:r>
                  <w:r>
                    <w:rPr>
                      <w:rFonts w:eastAsia="Times" w:cs="Times New Roman"/>
                      <w:sz w:val="21"/>
                      <w:szCs w:val="21"/>
                      <w:lang w:eastAsia="en-US"/>
                    </w:rPr>
                    <w:t xml:space="preserve">as this causes </w:t>
                  </w:r>
                  <w:r w:rsidRPr="00322E3A">
                    <w:rPr>
                      <w:rFonts w:eastAsia="Times" w:cs="Times New Roman"/>
                      <w:sz w:val="21"/>
                      <w:szCs w:val="21"/>
                      <w:lang w:eastAsia="en-US"/>
                    </w:rPr>
                    <w:t>failure to identify and remediate issues early and successfully.</w:t>
                  </w:r>
                </w:p>
                <w:p w14:paraId="382D7C68" w14:textId="77777777" w:rsidR="00204EE8" w:rsidRPr="00322E3A" w:rsidRDefault="00204EE8" w:rsidP="00204EE8">
                  <w:pPr>
                    <w:spacing w:after="120" w:line="270" w:lineRule="atLeast"/>
                    <w:rPr>
                      <w:rFonts w:eastAsia="Times" w:cs="Times New Roman"/>
                      <w:sz w:val="21"/>
                      <w:szCs w:val="21"/>
                      <w:lang w:eastAsia="en-US"/>
                    </w:rPr>
                  </w:pPr>
                  <w:r w:rsidRPr="00322E3A">
                    <w:rPr>
                      <w:rFonts w:eastAsia="Times" w:cs="Times New Roman"/>
                      <w:sz w:val="21"/>
                      <w:szCs w:val="21"/>
                      <w:lang w:eastAsia="en-US"/>
                    </w:rPr>
                    <w:t xml:space="preserve">Monitoring </w:t>
                  </w:r>
                  <w:r>
                    <w:rPr>
                      <w:rFonts w:eastAsia="Times" w:cs="Times New Roman"/>
                      <w:sz w:val="21"/>
                      <w:szCs w:val="21"/>
                      <w:lang w:eastAsia="en-US"/>
                    </w:rPr>
                    <w:t>organisational</w:t>
                  </w:r>
                  <w:r w:rsidRPr="00322E3A">
                    <w:rPr>
                      <w:rFonts w:eastAsia="Times" w:cs="Times New Roman"/>
                      <w:sz w:val="21"/>
                      <w:szCs w:val="21"/>
                      <w:lang w:eastAsia="en-US"/>
                    </w:rPr>
                    <w:t xml:space="preserve"> culture allows for early identification of risks to patient safety before they begin manifesting in patient outcomes. </w:t>
                  </w:r>
                  <w:r>
                    <w:rPr>
                      <w:rFonts w:eastAsia="Times" w:cs="Times New Roman"/>
                      <w:sz w:val="21"/>
                      <w:szCs w:val="21"/>
                      <w:lang w:eastAsia="en-US"/>
                    </w:rPr>
                    <w:t xml:space="preserve">Organisational culture </w:t>
                  </w:r>
                  <w:r w:rsidRPr="00322E3A">
                    <w:rPr>
                      <w:rFonts w:eastAsia="Times" w:cs="Times New Roman"/>
                      <w:sz w:val="21"/>
                      <w:szCs w:val="21"/>
                      <w:lang w:eastAsia="en-US"/>
                    </w:rPr>
                    <w:t>informed by data from the People Matter Survey</w:t>
                  </w:r>
                  <w:r>
                    <w:rPr>
                      <w:rFonts w:eastAsia="Times" w:cs="Times New Roman"/>
                      <w:sz w:val="21"/>
                      <w:szCs w:val="21"/>
                      <w:lang w:eastAsia="en-US"/>
                    </w:rPr>
                    <w:t>,</w:t>
                  </w:r>
                  <w:r w:rsidRPr="00322E3A">
                    <w:rPr>
                      <w:rFonts w:eastAsia="Times" w:cs="Times New Roman"/>
                      <w:sz w:val="21"/>
                      <w:szCs w:val="21"/>
                      <w:lang w:eastAsia="en-US"/>
                    </w:rPr>
                    <w:t xml:space="preserve"> as well as </w:t>
                  </w:r>
                  <w:r>
                    <w:rPr>
                      <w:rFonts w:eastAsia="Times" w:cs="Times New Roman"/>
                      <w:sz w:val="21"/>
                      <w:szCs w:val="21"/>
                      <w:lang w:eastAsia="en-US"/>
                    </w:rPr>
                    <w:t xml:space="preserve">consumer </w:t>
                  </w:r>
                  <w:r w:rsidRPr="00322E3A">
                    <w:rPr>
                      <w:rFonts w:eastAsia="Times" w:cs="Times New Roman"/>
                      <w:sz w:val="21"/>
                      <w:szCs w:val="21"/>
                      <w:lang w:eastAsia="en-US"/>
                    </w:rPr>
                    <w:t>feedback from the Health Complaints Commissioner and SCV</w:t>
                  </w:r>
                  <w:r>
                    <w:rPr>
                      <w:rFonts w:eastAsia="Times" w:cs="Times New Roman"/>
                      <w:sz w:val="21"/>
                      <w:szCs w:val="21"/>
                      <w:lang w:eastAsia="en-US"/>
                    </w:rPr>
                    <w:t xml:space="preserve"> and monitoring of Sentinel Event and VHIMS reporting</w:t>
                  </w:r>
                  <w:r w:rsidRPr="00322E3A">
                    <w:rPr>
                      <w:rFonts w:eastAsia="Times" w:cs="Times New Roman"/>
                      <w:sz w:val="21"/>
                      <w:szCs w:val="21"/>
                      <w:lang w:eastAsia="en-US"/>
                    </w:rPr>
                    <w:t xml:space="preserve">. </w:t>
                  </w:r>
                  <w:r>
                    <w:rPr>
                      <w:rFonts w:eastAsia="Times" w:cs="Times New Roman"/>
                      <w:sz w:val="21"/>
                      <w:szCs w:val="21"/>
                      <w:lang w:eastAsia="en-US"/>
                    </w:rPr>
                    <w:t xml:space="preserve">Health services are encouraged to monitor their organisational culture through local measures in addition to those in the Performance Monitoring Framework. More information on how best to do this can be found in SCV’s Victorian Safety Culture Guide. </w:t>
                  </w:r>
                </w:p>
              </w:tc>
            </w:tr>
          </w:tbl>
          <w:p w14:paraId="212485DA" w14:textId="77777777" w:rsidR="00204EE8" w:rsidRPr="00E737F5" w:rsidRDefault="00204EE8" w:rsidP="007E45D2">
            <w:pPr>
              <w:pStyle w:val="DHHSbody"/>
              <w:spacing w:line="240" w:lineRule="auto"/>
            </w:pPr>
          </w:p>
        </w:tc>
      </w:tr>
    </w:tbl>
    <w:p w14:paraId="0C72CA1C" w14:textId="77777777" w:rsidR="00906437" w:rsidRDefault="00906437" w:rsidP="00742060">
      <w:pPr>
        <w:pStyle w:val="Heading1"/>
        <w:numPr>
          <w:ilvl w:val="0"/>
          <w:numId w:val="0"/>
        </w:numPr>
        <w:rPr>
          <w:color w:val="201547"/>
          <w:sz w:val="44"/>
          <w:szCs w:val="44"/>
        </w:rPr>
        <w:sectPr w:rsidR="00906437" w:rsidSect="00FE0939">
          <w:pgSz w:w="12240" w:h="15840"/>
          <w:pgMar w:top="567" w:right="851" w:bottom="567" w:left="851" w:header="720" w:footer="720" w:gutter="0"/>
          <w:cols w:space="720"/>
          <w:docGrid w:linePitch="360"/>
        </w:sectPr>
      </w:pPr>
    </w:p>
    <w:p w14:paraId="5C833FE6" w14:textId="17995621" w:rsidR="00906437" w:rsidRPr="00243D81" w:rsidRDefault="00742060" w:rsidP="00243D81">
      <w:pPr>
        <w:pStyle w:val="Heading1"/>
        <w:numPr>
          <w:ilvl w:val="0"/>
          <w:numId w:val="0"/>
        </w:numPr>
        <w:rPr>
          <w:color w:val="201547"/>
          <w:sz w:val="44"/>
          <w:szCs w:val="44"/>
        </w:rPr>
      </w:pPr>
      <w:bookmarkStart w:id="135" w:name="_Toc211343302"/>
      <w:r w:rsidRPr="00742060">
        <w:rPr>
          <w:color w:val="201547"/>
          <w:sz w:val="44"/>
          <w:szCs w:val="44"/>
        </w:rPr>
        <w:lastRenderedPageBreak/>
        <w:t xml:space="preserve">Appendix </w:t>
      </w:r>
      <w:r w:rsidR="006E35F9">
        <w:rPr>
          <w:color w:val="201547"/>
          <w:sz w:val="44"/>
          <w:szCs w:val="44"/>
        </w:rPr>
        <w:t>4</w:t>
      </w:r>
      <w:r w:rsidR="00BE6D16">
        <w:rPr>
          <w:color w:val="201547"/>
          <w:sz w:val="44"/>
          <w:szCs w:val="44"/>
        </w:rPr>
        <w:t>:</w:t>
      </w:r>
      <w:r w:rsidRPr="00742060">
        <w:rPr>
          <w:color w:val="201547"/>
          <w:sz w:val="44"/>
          <w:szCs w:val="44"/>
        </w:rPr>
        <w:t xml:space="preserve"> </w:t>
      </w:r>
      <w:r>
        <w:rPr>
          <w:color w:val="201547"/>
          <w:sz w:val="44"/>
          <w:szCs w:val="44"/>
        </w:rPr>
        <w:t xml:space="preserve">Performance Tier </w:t>
      </w:r>
      <w:r w:rsidRPr="00742060">
        <w:rPr>
          <w:color w:val="201547"/>
          <w:sz w:val="44"/>
          <w:szCs w:val="44"/>
        </w:rPr>
        <w:t>Criteria</w:t>
      </w:r>
      <w:bookmarkEnd w:id="135"/>
      <w:r w:rsidRPr="00742060">
        <w:rPr>
          <w:color w:val="201547"/>
          <w:sz w:val="44"/>
          <w:szCs w:val="44"/>
        </w:rPr>
        <w:t xml:space="preserve"> </w:t>
      </w:r>
    </w:p>
    <w:tbl>
      <w:tblPr>
        <w:tblW w:w="5000" w:type="pct"/>
        <w:tblCellMar>
          <w:left w:w="0" w:type="dxa"/>
          <w:right w:w="0" w:type="dxa"/>
        </w:tblCellMar>
        <w:tblLook w:val="0420" w:firstRow="1" w:lastRow="0" w:firstColumn="0" w:lastColumn="0" w:noHBand="0" w:noVBand="1"/>
      </w:tblPr>
      <w:tblGrid>
        <w:gridCol w:w="1782"/>
        <w:gridCol w:w="6568"/>
        <w:gridCol w:w="4021"/>
        <w:gridCol w:w="2315"/>
      </w:tblGrid>
      <w:tr w:rsidR="00906437" w:rsidRPr="00243D81" w14:paraId="127DEDBE" w14:textId="77777777" w:rsidTr="00076A38">
        <w:trPr>
          <w:trHeight w:val="401"/>
          <w:tblHeader/>
        </w:trPr>
        <w:tc>
          <w:tcPr>
            <w:tcW w:w="607" w:type="pct"/>
            <w:tcBorders>
              <w:top w:val="single" w:sz="8" w:space="0" w:color="FFFFFF"/>
              <w:left w:val="single" w:sz="8" w:space="0" w:color="FFFFFF"/>
              <w:bottom w:val="single" w:sz="6" w:space="0" w:color="4BACC6"/>
              <w:right w:val="single" w:sz="8" w:space="0" w:color="FFFFFF"/>
            </w:tcBorders>
            <w:shd w:val="clear" w:color="auto" w:fill="F2F2F2"/>
            <w:tcMar>
              <w:top w:w="57" w:type="dxa"/>
              <w:left w:w="144" w:type="dxa"/>
              <w:bottom w:w="57" w:type="dxa"/>
              <w:right w:w="144" w:type="dxa"/>
            </w:tcMar>
            <w:hideMark/>
          </w:tcPr>
          <w:p w14:paraId="323742EE" w14:textId="77777777" w:rsidR="00906437" w:rsidRPr="00243D81" w:rsidRDefault="00906437" w:rsidP="007E45D2">
            <w:pPr>
              <w:pStyle w:val="Heading4"/>
              <w:rPr>
                <w:rFonts w:eastAsia="Times New Roman" w:cs="Times New Roman"/>
                <w:color w:val="53565A"/>
                <w:sz w:val="21"/>
                <w:szCs w:val="20"/>
                <w:lang w:val="en-AU" w:eastAsia="en-US"/>
              </w:rPr>
            </w:pPr>
            <w:r w:rsidRPr="00243D81">
              <w:rPr>
                <w:rFonts w:eastAsia="Times New Roman" w:cs="Times New Roman"/>
                <w:color w:val="53565A"/>
                <w:sz w:val="21"/>
                <w:szCs w:val="20"/>
                <w:lang w:val="en-AU" w:eastAsia="en-US"/>
              </w:rPr>
              <w:t>Tier</w:t>
            </w:r>
          </w:p>
        </w:tc>
        <w:tc>
          <w:tcPr>
            <w:tcW w:w="2236" w:type="pct"/>
            <w:tcBorders>
              <w:top w:val="single" w:sz="8" w:space="0" w:color="FFFFFF"/>
              <w:left w:val="single" w:sz="8" w:space="0" w:color="FFFFFF"/>
              <w:bottom w:val="single" w:sz="6" w:space="0" w:color="4BACC6"/>
              <w:right w:val="single" w:sz="8" w:space="0" w:color="FFFFFF"/>
            </w:tcBorders>
            <w:shd w:val="clear" w:color="auto" w:fill="F2F2F2"/>
            <w:tcMar>
              <w:top w:w="57" w:type="dxa"/>
              <w:left w:w="144" w:type="dxa"/>
              <w:bottom w:w="57" w:type="dxa"/>
              <w:right w:w="144" w:type="dxa"/>
            </w:tcMar>
            <w:hideMark/>
          </w:tcPr>
          <w:p w14:paraId="0D0F7F47" w14:textId="77777777" w:rsidR="00906437" w:rsidRPr="00243D81" w:rsidRDefault="00906437" w:rsidP="007E45D2">
            <w:pPr>
              <w:pStyle w:val="Heading4"/>
              <w:rPr>
                <w:rFonts w:eastAsia="Times New Roman" w:cs="Times New Roman"/>
                <w:color w:val="53565A"/>
                <w:sz w:val="21"/>
                <w:szCs w:val="20"/>
                <w:lang w:val="en-AU" w:eastAsia="en-US"/>
              </w:rPr>
            </w:pPr>
            <w:r w:rsidRPr="00243D81">
              <w:rPr>
                <w:rFonts w:eastAsia="Times New Roman" w:cs="Times New Roman"/>
                <w:color w:val="53565A"/>
                <w:sz w:val="21"/>
                <w:szCs w:val="20"/>
                <w:lang w:val="en-AU" w:eastAsia="en-US"/>
              </w:rPr>
              <w:t>Performance</w:t>
            </w:r>
          </w:p>
        </w:tc>
        <w:tc>
          <w:tcPr>
            <w:tcW w:w="1369" w:type="pct"/>
            <w:tcBorders>
              <w:top w:val="single" w:sz="8" w:space="0" w:color="FFFFFF"/>
              <w:left w:val="single" w:sz="8" w:space="0" w:color="FFFFFF"/>
              <w:bottom w:val="single" w:sz="6" w:space="0" w:color="4BACC6"/>
              <w:right w:val="single" w:sz="8" w:space="0" w:color="FFFFFF"/>
            </w:tcBorders>
            <w:shd w:val="clear" w:color="auto" w:fill="F2F2F2"/>
            <w:tcMar>
              <w:top w:w="57" w:type="dxa"/>
              <w:left w:w="144" w:type="dxa"/>
              <w:bottom w:w="57" w:type="dxa"/>
              <w:right w:w="144" w:type="dxa"/>
            </w:tcMar>
            <w:hideMark/>
          </w:tcPr>
          <w:p w14:paraId="26927FF7" w14:textId="77777777" w:rsidR="00906437" w:rsidRPr="00243D81" w:rsidRDefault="00906437" w:rsidP="007E45D2">
            <w:pPr>
              <w:pStyle w:val="Heading4"/>
              <w:rPr>
                <w:rFonts w:eastAsia="Times New Roman" w:cs="Times New Roman"/>
                <w:color w:val="53565A"/>
                <w:sz w:val="21"/>
                <w:szCs w:val="20"/>
                <w:lang w:val="en-AU" w:eastAsia="en-US"/>
              </w:rPr>
            </w:pPr>
            <w:r w:rsidRPr="00243D81">
              <w:rPr>
                <w:rFonts w:eastAsia="Times New Roman" w:cs="Times New Roman"/>
                <w:color w:val="53565A"/>
                <w:sz w:val="21"/>
                <w:szCs w:val="20"/>
                <w:lang w:val="en-AU" w:eastAsia="en-US"/>
              </w:rPr>
              <w:t>Improvement</w:t>
            </w:r>
          </w:p>
        </w:tc>
        <w:tc>
          <w:tcPr>
            <w:tcW w:w="787" w:type="pct"/>
            <w:tcBorders>
              <w:top w:val="single" w:sz="8" w:space="0" w:color="FFFFFF"/>
              <w:left w:val="single" w:sz="8" w:space="0" w:color="FFFFFF"/>
              <w:bottom w:val="single" w:sz="6" w:space="0" w:color="4BACC6"/>
              <w:right w:val="single" w:sz="8" w:space="0" w:color="FFFFFF"/>
            </w:tcBorders>
            <w:shd w:val="clear" w:color="auto" w:fill="F2F2F2"/>
            <w:tcMar>
              <w:top w:w="57" w:type="dxa"/>
              <w:left w:w="144" w:type="dxa"/>
              <w:bottom w:w="57" w:type="dxa"/>
              <w:right w:w="144" w:type="dxa"/>
            </w:tcMar>
            <w:hideMark/>
          </w:tcPr>
          <w:p w14:paraId="5D43F0E8" w14:textId="77777777" w:rsidR="00906437" w:rsidRPr="00243D81" w:rsidRDefault="00906437" w:rsidP="007E45D2">
            <w:pPr>
              <w:pStyle w:val="Heading4"/>
              <w:rPr>
                <w:rFonts w:eastAsia="Times New Roman" w:cs="Times New Roman"/>
                <w:color w:val="53565A"/>
                <w:sz w:val="21"/>
                <w:szCs w:val="20"/>
                <w:lang w:val="en-AU" w:eastAsia="en-US"/>
              </w:rPr>
            </w:pPr>
            <w:r w:rsidRPr="00243D81">
              <w:rPr>
                <w:rFonts w:eastAsia="Times New Roman" w:cs="Times New Roman"/>
                <w:color w:val="53565A"/>
                <w:sz w:val="21"/>
                <w:szCs w:val="20"/>
                <w:lang w:val="en-AU" w:eastAsia="en-US"/>
              </w:rPr>
              <w:t>System collaboration</w:t>
            </w:r>
          </w:p>
        </w:tc>
      </w:tr>
      <w:tr w:rsidR="00906437" w:rsidRPr="00243D81" w14:paraId="4E8C6770" w14:textId="77777777" w:rsidTr="00076A38">
        <w:trPr>
          <w:cantSplit/>
          <w:trHeight w:val="2476"/>
        </w:trPr>
        <w:tc>
          <w:tcPr>
            <w:tcW w:w="607" w:type="pct"/>
            <w:tcBorders>
              <w:top w:val="single" w:sz="6" w:space="0" w:color="4BACC6"/>
              <w:left w:val="single" w:sz="8" w:space="0" w:color="FFFFFF"/>
              <w:bottom w:val="single" w:sz="6" w:space="0" w:color="4BACC6"/>
              <w:right w:val="single" w:sz="8" w:space="0" w:color="FFFFFF"/>
            </w:tcBorders>
            <w:shd w:val="clear" w:color="auto" w:fill="EAF5F8"/>
            <w:tcMar>
              <w:top w:w="57" w:type="dxa"/>
              <w:left w:w="144" w:type="dxa"/>
              <w:bottom w:w="57" w:type="dxa"/>
              <w:right w:w="144" w:type="dxa"/>
            </w:tcMar>
            <w:hideMark/>
          </w:tcPr>
          <w:p w14:paraId="0416565D"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i/>
                <w:kern w:val="24"/>
                <w:sz w:val="21"/>
                <w:szCs w:val="21"/>
                <w:lang w:val="en-AU" w:eastAsia="en-AU"/>
              </w:rPr>
              <w:t>Enhanced autonomy</w:t>
            </w:r>
          </w:p>
          <w:p w14:paraId="67FBD412" w14:textId="77777777" w:rsidR="00906437" w:rsidRPr="00243D81" w:rsidRDefault="00906437" w:rsidP="007E45D2">
            <w:pPr>
              <w:spacing w:after="120" w:line="240" w:lineRule="auto"/>
              <w:rPr>
                <w:rFonts w:eastAsia="Times New Roman"/>
                <w:b/>
                <w:sz w:val="21"/>
                <w:szCs w:val="21"/>
                <w:lang w:val="en-AU" w:eastAsia="en-AU"/>
              </w:rPr>
            </w:pPr>
            <w:r w:rsidRPr="00243D81">
              <w:rPr>
                <w:rFonts w:eastAsia="Times New Roman"/>
                <w:b/>
                <w:kern w:val="24"/>
                <w:sz w:val="21"/>
                <w:szCs w:val="21"/>
                <w:u w:val="single"/>
                <w:lang w:val="en-AU" w:eastAsia="en-AU"/>
              </w:rPr>
              <w:t>All</w:t>
            </w:r>
            <w:r w:rsidRPr="00243D81">
              <w:rPr>
                <w:rFonts w:eastAsia="Times New Roman"/>
                <w:b/>
                <w:kern w:val="24"/>
                <w:sz w:val="21"/>
                <w:szCs w:val="21"/>
                <w:lang w:val="en-AU" w:eastAsia="en-AU"/>
              </w:rPr>
              <w:t xml:space="preserve"> of:</w:t>
            </w:r>
            <w:r w:rsidRPr="00243D81">
              <w:rPr>
                <w:rFonts w:eastAsia="Times New Roman"/>
                <w:b/>
                <w:i/>
                <w:kern w:val="24"/>
                <w:sz w:val="21"/>
                <w:szCs w:val="21"/>
                <w:lang w:val="en-AU" w:eastAsia="en-AU"/>
              </w:rPr>
              <w:t> </w:t>
            </w:r>
          </w:p>
        </w:tc>
        <w:tc>
          <w:tcPr>
            <w:tcW w:w="2236"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4303AFC6" w14:textId="67CB1CD2" w:rsidR="00906437" w:rsidRPr="00243D81" w:rsidRDefault="00E97292" w:rsidP="007E45D2">
            <w:pPr>
              <w:spacing w:after="120"/>
              <w:rPr>
                <w:rFonts w:eastAsia="Times New Roman"/>
                <w:lang w:val="en-AU" w:eastAsia="en-AU"/>
              </w:rPr>
            </w:pPr>
            <w:r>
              <w:rPr>
                <w:rFonts w:eastAsia="Times New Roman"/>
                <w:b/>
                <w:kern w:val="24"/>
                <w:lang w:val="en-AU" w:eastAsia="en-AU"/>
              </w:rPr>
              <w:t>Consistently</w:t>
            </w:r>
            <w:r w:rsidR="00906437" w:rsidRPr="00243D81">
              <w:rPr>
                <w:rFonts w:eastAsia="Times New Roman"/>
                <w:kern w:val="24"/>
                <w:lang w:val="en-AU" w:eastAsia="en-AU"/>
              </w:rPr>
              <w:t xml:space="preserve"> high performing across core performance domains, including:</w:t>
            </w:r>
          </w:p>
          <w:p w14:paraId="7F7B14B8" w14:textId="77777777" w:rsidR="00906437" w:rsidRPr="00243D81" w:rsidRDefault="00906437" w:rsidP="00906437">
            <w:pPr>
              <w:numPr>
                <w:ilvl w:val="0"/>
                <w:numId w:val="4"/>
              </w:numPr>
              <w:spacing w:after="120"/>
              <w:ind w:left="357" w:hanging="357"/>
              <w:rPr>
                <w:rFonts w:eastAsia="Times New Roman"/>
                <w:lang w:val="en-AU" w:eastAsia="en-AU"/>
              </w:rPr>
            </w:pPr>
            <w:r w:rsidRPr="00243D81">
              <w:rPr>
                <w:rFonts w:eastAsia="Times New Roman"/>
                <w:b/>
                <w:kern w:val="24"/>
                <w:lang w:val="en-AU" w:eastAsia="en-AU"/>
              </w:rPr>
              <w:t>Meeting core government expectations</w:t>
            </w:r>
            <w:r w:rsidRPr="00243D81">
              <w:rPr>
                <w:rFonts w:eastAsia="Times New Roman"/>
                <w:kern w:val="24"/>
                <w:u w:val="single"/>
                <w:lang w:val="en-AU" w:eastAsia="en-AU"/>
              </w:rPr>
              <w:t xml:space="preserve"> </w:t>
            </w:r>
            <w:r w:rsidRPr="00243D81">
              <w:rPr>
                <w:rFonts w:eastAsia="Times New Roman"/>
                <w:kern w:val="24"/>
                <w:lang w:val="en-AU" w:eastAsia="en-AU"/>
              </w:rPr>
              <w:t xml:space="preserve">– with balanced operating results (actual finances are breakeven or better), good if not outstanding </w:t>
            </w:r>
            <w:r w:rsidRPr="00243D81">
              <w:rPr>
                <w:rFonts w:eastAsia="Times New Roman"/>
                <w:kern w:val="24"/>
                <w:lang w:eastAsia="en-AU"/>
              </w:rPr>
              <w:t>overall safety and quality (including cultural safety)</w:t>
            </w:r>
            <w:r w:rsidRPr="00243D81">
              <w:rPr>
                <w:rFonts w:eastAsia="Times New Roman"/>
                <w:kern w:val="24"/>
                <w:lang w:val="en-AU" w:eastAsia="en-AU"/>
              </w:rPr>
              <w:t>, and achieving statewide standards for emergency and planned surgery access</w:t>
            </w:r>
          </w:p>
          <w:p w14:paraId="2FD6D639" w14:textId="77777777" w:rsidR="00906437" w:rsidRPr="00243D81" w:rsidRDefault="00906437" w:rsidP="00906437">
            <w:pPr>
              <w:numPr>
                <w:ilvl w:val="0"/>
                <w:numId w:val="4"/>
              </w:numPr>
              <w:spacing w:after="120"/>
              <w:ind w:left="357" w:hanging="357"/>
              <w:rPr>
                <w:rFonts w:eastAsia="Times New Roman"/>
                <w:lang w:val="en-AU" w:eastAsia="en-AU"/>
              </w:rPr>
            </w:pPr>
            <w:r w:rsidRPr="00243D81">
              <w:rPr>
                <w:rFonts w:eastAsia="Times New Roman"/>
                <w:b/>
                <w:kern w:val="24"/>
                <w:lang w:val="en-AU" w:eastAsia="en-AU"/>
              </w:rPr>
              <w:t>Achieving or exceeding local targets</w:t>
            </w:r>
            <w:r w:rsidRPr="00243D81">
              <w:rPr>
                <w:rFonts w:eastAsia="Times New Roman"/>
                <w:kern w:val="24"/>
                <w:u w:val="single"/>
                <w:lang w:val="en-AU" w:eastAsia="en-AU"/>
              </w:rPr>
              <w:t xml:space="preserve"> </w:t>
            </w:r>
            <w:r w:rsidRPr="00243D81">
              <w:rPr>
                <w:rFonts w:eastAsia="Times New Roman"/>
                <w:kern w:val="24"/>
                <w:lang w:val="en-AU" w:eastAsia="en-AU"/>
              </w:rPr>
              <w:t>– generally meeting or exceeding locally specific and contextually relevant improvement targets agreed with DH</w:t>
            </w:r>
          </w:p>
          <w:p w14:paraId="5FE51A74" w14:textId="77777777" w:rsidR="00906437" w:rsidRPr="00243D81" w:rsidRDefault="00906437" w:rsidP="00906437">
            <w:pPr>
              <w:numPr>
                <w:ilvl w:val="0"/>
                <w:numId w:val="4"/>
              </w:numPr>
              <w:spacing w:after="120"/>
              <w:ind w:left="357" w:hanging="357"/>
              <w:rPr>
                <w:rFonts w:eastAsia="Times New Roman"/>
                <w:lang w:val="en-AU" w:eastAsia="en-AU"/>
              </w:rPr>
            </w:pPr>
            <w:r w:rsidRPr="00243D81">
              <w:rPr>
                <w:rFonts w:eastAsia="Times New Roman"/>
                <w:b/>
                <w:kern w:val="24"/>
                <w:lang w:val="en-AU" w:eastAsia="en-AU"/>
              </w:rPr>
              <w:t>Strong relative performance</w:t>
            </w:r>
            <w:r w:rsidRPr="00243D81">
              <w:rPr>
                <w:rFonts w:eastAsia="Times New Roman"/>
                <w:i/>
                <w:kern w:val="24"/>
                <w:lang w:val="en-AU" w:eastAsia="en-AU"/>
              </w:rPr>
              <w:t xml:space="preserve"> </w:t>
            </w:r>
            <w:r w:rsidRPr="00243D81">
              <w:rPr>
                <w:rFonts w:eastAsia="Times New Roman"/>
                <w:kern w:val="24"/>
                <w:lang w:val="en-AU" w:eastAsia="en-AU"/>
              </w:rPr>
              <w:t>– results on priority metrics are typically among the top of peer group, and in the top quartile statewide (where relevant) or nationally (for specialist services, on specific metrics) </w:t>
            </w:r>
          </w:p>
        </w:tc>
        <w:tc>
          <w:tcPr>
            <w:tcW w:w="1369"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7334B47F" w14:textId="77777777" w:rsidR="00906437" w:rsidRPr="00243D81" w:rsidRDefault="00906437" w:rsidP="007E45D2">
            <w:pPr>
              <w:spacing w:after="120"/>
              <w:rPr>
                <w:rFonts w:eastAsia="Times New Roman"/>
                <w:lang w:val="en-AU" w:eastAsia="en-AU"/>
              </w:rPr>
            </w:pPr>
            <w:r w:rsidRPr="00243D81">
              <w:rPr>
                <w:rFonts w:eastAsia="Times New Roman"/>
                <w:b/>
                <w:color w:val="000000"/>
                <w:kern w:val="24"/>
                <w:lang w:val="en-AU" w:eastAsia="en-AU"/>
              </w:rPr>
              <w:t>Continuous and sustained improvement</w:t>
            </w:r>
            <w:r w:rsidRPr="00243D81">
              <w:rPr>
                <w:rFonts w:eastAsia="Times New Roman"/>
                <w:color w:val="000000"/>
                <w:kern w:val="24"/>
                <w:lang w:val="en-AU" w:eastAsia="en-AU"/>
              </w:rPr>
              <w:t>: innovating to redefine and maintain excellence:</w:t>
            </w:r>
          </w:p>
          <w:p w14:paraId="47FD5C9B" w14:textId="77777777" w:rsidR="00906437" w:rsidRPr="00243D81" w:rsidRDefault="00906437" w:rsidP="00906437">
            <w:pPr>
              <w:numPr>
                <w:ilvl w:val="0"/>
                <w:numId w:val="5"/>
              </w:numPr>
              <w:spacing w:after="120"/>
              <w:ind w:left="357" w:hanging="357"/>
              <w:rPr>
                <w:rFonts w:eastAsia="Times New Roman"/>
                <w:lang w:val="en-AU" w:eastAsia="en-AU"/>
              </w:rPr>
            </w:pPr>
            <w:r w:rsidRPr="00243D81">
              <w:rPr>
                <w:rFonts w:eastAsia="Times New Roman"/>
                <w:color w:val="000000"/>
                <w:kern w:val="24"/>
                <w:lang w:val="en-AU" w:eastAsia="en-AU"/>
              </w:rPr>
              <w:t>demonstrated ability to sustain improvement</w:t>
            </w:r>
          </w:p>
          <w:p w14:paraId="5DD67282" w14:textId="77777777" w:rsidR="00906437" w:rsidRPr="00243D81" w:rsidRDefault="00906437" w:rsidP="00906437">
            <w:pPr>
              <w:numPr>
                <w:ilvl w:val="0"/>
                <w:numId w:val="5"/>
              </w:numPr>
              <w:spacing w:after="120"/>
              <w:ind w:left="357" w:hanging="357"/>
              <w:rPr>
                <w:rFonts w:eastAsia="Times New Roman"/>
                <w:lang w:val="en-AU" w:eastAsia="en-AU"/>
              </w:rPr>
            </w:pPr>
            <w:r w:rsidRPr="00243D81">
              <w:rPr>
                <w:rFonts w:eastAsia="Times New Roman"/>
                <w:color w:val="000000"/>
                <w:kern w:val="24"/>
                <w:lang w:val="en-AU" w:eastAsia="en-AU"/>
              </w:rPr>
              <w:t>evidence</w:t>
            </w:r>
            <w:r w:rsidRPr="00243D81">
              <w:rPr>
                <w:rFonts w:eastAsia="Times New Roman"/>
                <w:color w:val="000000"/>
                <w:kern w:val="24"/>
                <w:lang w:eastAsia="en-AU"/>
              </w:rPr>
              <w:t xml:space="preserve"> of established improvement capability and capacity, and active engagement in local / regional / statewide improvement efforts</w:t>
            </w:r>
          </w:p>
          <w:p w14:paraId="06F3DB05" w14:textId="77777777" w:rsidR="00906437" w:rsidRPr="00243D81" w:rsidRDefault="00906437" w:rsidP="00906437">
            <w:pPr>
              <w:numPr>
                <w:ilvl w:val="0"/>
                <w:numId w:val="5"/>
              </w:numPr>
              <w:spacing w:after="120"/>
              <w:ind w:left="357" w:hanging="357"/>
              <w:rPr>
                <w:rFonts w:eastAsia="Times New Roman"/>
                <w:lang w:val="en-AU" w:eastAsia="en-AU"/>
              </w:rPr>
            </w:pPr>
            <w:r w:rsidRPr="00243D81">
              <w:rPr>
                <w:rFonts w:eastAsia="Times New Roman"/>
                <w:color w:val="000000"/>
                <w:kern w:val="24"/>
                <w:lang w:eastAsia="en-AU"/>
              </w:rPr>
              <w:t>ongoing innovation, with willingness to experiment, fail fast, learn and move on, with long term progress on priority metrics</w:t>
            </w:r>
          </w:p>
        </w:tc>
        <w:tc>
          <w:tcPr>
            <w:tcW w:w="787"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5425F09C" w14:textId="77777777" w:rsidR="00906437" w:rsidRPr="00243D81" w:rsidRDefault="00906437" w:rsidP="007E45D2">
            <w:pPr>
              <w:spacing w:after="120"/>
              <w:rPr>
                <w:rFonts w:eastAsia="Times New Roman"/>
                <w:lang w:val="en-AU" w:eastAsia="en-AU"/>
              </w:rPr>
            </w:pPr>
            <w:r w:rsidRPr="00243D81">
              <w:rPr>
                <w:rFonts w:eastAsia="Times New Roman"/>
                <w:b/>
                <w:color w:val="000000"/>
                <w:kern w:val="24"/>
                <w:lang w:val="en-AU" w:eastAsia="en-AU"/>
              </w:rPr>
              <w:t xml:space="preserve">Effective leadership: </w:t>
            </w:r>
            <w:r w:rsidRPr="00243D81">
              <w:rPr>
                <w:rFonts w:eastAsia="Times New Roman"/>
                <w:color w:val="000000"/>
                <w:kern w:val="24"/>
                <w:lang w:eastAsia="en-AU"/>
              </w:rPr>
              <w:t>plays an active and effective leadership role in working with system partners to support and drive place-based, regional and statewide priorities </w:t>
            </w:r>
          </w:p>
        </w:tc>
      </w:tr>
      <w:tr w:rsidR="00906437" w:rsidRPr="00243D81" w14:paraId="527B1B94" w14:textId="77777777" w:rsidTr="00076A38">
        <w:trPr>
          <w:cantSplit/>
          <w:trHeight w:val="2099"/>
        </w:trPr>
        <w:tc>
          <w:tcPr>
            <w:tcW w:w="607" w:type="pct"/>
            <w:tcBorders>
              <w:top w:val="single" w:sz="6" w:space="0" w:color="4BACC6"/>
              <w:left w:val="single" w:sz="8" w:space="0" w:color="FFFFFF"/>
              <w:bottom w:val="single" w:sz="6" w:space="0" w:color="4BACC6"/>
              <w:right w:val="single" w:sz="8" w:space="0" w:color="FFFFFF"/>
            </w:tcBorders>
            <w:shd w:val="clear" w:color="auto" w:fill="D8ECF2"/>
            <w:tcMar>
              <w:top w:w="57" w:type="dxa"/>
              <w:left w:w="144" w:type="dxa"/>
              <w:bottom w:w="57" w:type="dxa"/>
              <w:right w:w="144" w:type="dxa"/>
            </w:tcMar>
            <w:hideMark/>
          </w:tcPr>
          <w:p w14:paraId="7B691A90"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i/>
                <w:kern w:val="24"/>
                <w:sz w:val="21"/>
                <w:szCs w:val="21"/>
                <w:lang w:val="en-AU" w:eastAsia="en-AU"/>
              </w:rPr>
              <w:t>Standard oversight</w:t>
            </w:r>
          </w:p>
          <w:p w14:paraId="0A2CEF37" w14:textId="77777777" w:rsidR="00906437" w:rsidRPr="00243D81" w:rsidRDefault="00906437" w:rsidP="007E45D2">
            <w:pPr>
              <w:spacing w:after="120" w:line="240" w:lineRule="auto"/>
              <w:rPr>
                <w:rFonts w:eastAsia="Times New Roman"/>
                <w:b/>
                <w:sz w:val="21"/>
                <w:szCs w:val="21"/>
                <w:lang w:val="en-AU" w:eastAsia="en-AU"/>
              </w:rPr>
            </w:pPr>
            <w:r w:rsidRPr="00243D81">
              <w:rPr>
                <w:rFonts w:eastAsia="Times New Roman"/>
                <w:b/>
                <w:kern w:val="24"/>
                <w:sz w:val="21"/>
                <w:szCs w:val="21"/>
                <w:u w:val="single"/>
                <w:lang w:val="en-AU" w:eastAsia="en-AU"/>
              </w:rPr>
              <w:t>All</w:t>
            </w:r>
            <w:r w:rsidRPr="00243D81">
              <w:rPr>
                <w:rFonts w:eastAsia="Times New Roman"/>
                <w:b/>
                <w:kern w:val="24"/>
                <w:sz w:val="21"/>
                <w:szCs w:val="21"/>
                <w:lang w:val="en-AU" w:eastAsia="en-AU"/>
              </w:rPr>
              <w:t xml:space="preserve"> of:</w:t>
            </w:r>
            <w:r w:rsidRPr="00243D81">
              <w:rPr>
                <w:rFonts w:eastAsia="Times New Roman"/>
                <w:b/>
                <w:i/>
                <w:kern w:val="24"/>
                <w:sz w:val="21"/>
                <w:szCs w:val="21"/>
                <w:lang w:val="en-AU" w:eastAsia="en-AU"/>
              </w:rPr>
              <w:t> </w:t>
            </w:r>
          </w:p>
        </w:tc>
        <w:tc>
          <w:tcPr>
            <w:tcW w:w="2236"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78E1CFD8" w14:textId="77777777" w:rsidR="00906437" w:rsidRPr="00243D81" w:rsidRDefault="00906437" w:rsidP="007E45D2">
            <w:pPr>
              <w:spacing w:after="120"/>
              <w:rPr>
                <w:rFonts w:eastAsia="Times New Roman"/>
                <w:lang w:val="en-AU" w:eastAsia="en-AU"/>
              </w:rPr>
            </w:pPr>
            <w:r w:rsidRPr="00243D81">
              <w:rPr>
                <w:rFonts w:eastAsia="Times New Roman"/>
                <w:b/>
                <w:kern w:val="24"/>
                <w:lang w:eastAsia="en-AU"/>
              </w:rPr>
              <w:t xml:space="preserve">Overall achievement: </w:t>
            </w:r>
            <w:r w:rsidRPr="00243D81">
              <w:rPr>
                <w:rFonts w:eastAsia="Times New Roman"/>
                <w:kern w:val="24"/>
                <w:lang w:eastAsia="en-AU"/>
              </w:rPr>
              <w:t>short of enhanced autonomy criteria, but operating within acceptable parameters:</w:t>
            </w:r>
          </w:p>
          <w:p w14:paraId="09EF7A86" w14:textId="77777777" w:rsidR="00906437" w:rsidRPr="00243D81" w:rsidRDefault="00906437" w:rsidP="00906437">
            <w:pPr>
              <w:numPr>
                <w:ilvl w:val="0"/>
                <w:numId w:val="6"/>
              </w:numPr>
              <w:spacing w:after="120"/>
              <w:ind w:left="357" w:hanging="357"/>
              <w:rPr>
                <w:rFonts w:eastAsia="Times New Roman"/>
                <w:lang w:val="en-AU" w:eastAsia="en-AU"/>
              </w:rPr>
            </w:pPr>
            <w:r w:rsidRPr="00243D81">
              <w:rPr>
                <w:rFonts w:eastAsia="Times New Roman"/>
                <w:b/>
                <w:kern w:val="24"/>
                <w:lang w:eastAsia="en-AU"/>
              </w:rPr>
              <w:t xml:space="preserve">Squarely focused on </w:t>
            </w:r>
            <w:r w:rsidRPr="00FF35F1">
              <w:rPr>
                <w:rFonts w:eastAsia="Times New Roman"/>
                <w:b/>
                <w:kern w:val="24"/>
                <w:lang w:eastAsia="en-AU"/>
              </w:rPr>
              <w:t>government priorities</w:t>
            </w:r>
            <w:r w:rsidRPr="00243D81">
              <w:rPr>
                <w:rFonts w:eastAsia="Times New Roman"/>
                <w:kern w:val="24"/>
                <w:lang w:eastAsia="en-AU"/>
              </w:rPr>
              <w:t xml:space="preserve"> – either on track, or with credible plans in progress that will result in balanced operating results, a positive overall safety and quality assessment (including cultural safety), and local standards met for emergency and planned surgery access</w:t>
            </w:r>
          </w:p>
          <w:p w14:paraId="433C0D45" w14:textId="77777777" w:rsidR="00906437" w:rsidRPr="00243D81" w:rsidRDefault="00906437" w:rsidP="00906437">
            <w:pPr>
              <w:numPr>
                <w:ilvl w:val="0"/>
                <w:numId w:val="6"/>
              </w:numPr>
              <w:spacing w:after="120"/>
              <w:ind w:left="357" w:hanging="357"/>
              <w:rPr>
                <w:rFonts w:eastAsia="Times New Roman"/>
                <w:lang w:val="en-AU" w:eastAsia="en-AU"/>
              </w:rPr>
            </w:pPr>
            <w:r w:rsidRPr="00243D81">
              <w:rPr>
                <w:rFonts w:eastAsia="Times New Roman"/>
                <w:b/>
                <w:kern w:val="24"/>
                <w:lang w:eastAsia="en-AU"/>
              </w:rPr>
              <w:t>Acceptable local performance</w:t>
            </w:r>
            <w:r w:rsidRPr="00243D81">
              <w:rPr>
                <w:rFonts w:eastAsia="Times New Roman"/>
                <w:kern w:val="24"/>
                <w:lang w:eastAsia="en-AU"/>
              </w:rPr>
              <w:t xml:space="preserve"> – meeting or on track to meet most locally specific and contextually relevant targets agreed with DH, with credible plans underway to remediate areas of challenge (see overleaf)</w:t>
            </w:r>
          </w:p>
        </w:tc>
        <w:tc>
          <w:tcPr>
            <w:tcW w:w="1369"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71D5D872" w14:textId="77777777" w:rsidR="00906437" w:rsidRPr="00243D81" w:rsidRDefault="00906437" w:rsidP="007E45D2">
            <w:pPr>
              <w:spacing w:after="120"/>
              <w:rPr>
                <w:rFonts w:eastAsia="Times New Roman"/>
                <w:lang w:val="en-AU" w:eastAsia="en-AU"/>
              </w:rPr>
            </w:pPr>
            <w:r w:rsidRPr="00243D81">
              <w:rPr>
                <w:rFonts w:eastAsia="Times New Roman"/>
                <w:b/>
                <w:color w:val="000000"/>
                <w:kern w:val="24"/>
                <w:lang w:eastAsia="en-AU"/>
              </w:rPr>
              <w:t xml:space="preserve">Improvement underway: </w:t>
            </w:r>
            <w:r w:rsidRPr="00243D81">
              <w:rPr>
                <w:rFonts w:eastAsia="Times New Roman"/>
                <w:color w:val="000000"/>
                <w:kern w:val="24"/>
                <w:lang w:eastAsia="en-AU"/>
              </w:rPr>
              <w:t>credible plans underway to address specific identified areas of challenge, with evidence of effective follow through of actions, and holistic improvement demonstrated within an acceptable timeframe. </w:t>
            </w:r>
          </w:p>
        </w:tc>
        <w:tc>
          <w:tcPr>
            <w:tcW w:w="787"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33DD7916" w14:textId="77777777" w:rsidR="00906437" w:rsidRPr="00243D81" w:rsidRDefault="00906437" w:rsidP="007E45D2">
            <w:pPr>
              <w:spacing w:after="120"/>
              <w:rPr>
                <w:rFonts w:eastAsia="Times New Roman"/>
                <w:lang w:val="en-AU" w:eastAsia="en-AU"/>
              </w:rPr>
            </w:pPr>
            <w:r w:rsidRPr="00243D81">
              <w:rPr>
                <w:rFonts w:eastAsia="Times New Roman"/>
                <w:b/>
                <w:color w:val="000000"/>
                <w:kern w:val="24"/>
                <w:lang w:eastAsia="en-AU"/>
              </w:rPr>
              <w:t xml:space="preserve">Active collaboration: </w:t>
            </w:r>
            <w:r w:rsidRPr="00243D81">
              <w:rPr>
                <w:rFonts w:eastAsia="Times New Roman"/>
                <w:color w:val="000000"/>
                <w:kern w:val="24"/>
                <w:lang w:eastAsia="en-AU"/>
              </w:rPr>
              <w:t>positively contributes to and actively supports efforts with system partners to progress place-based, regional and statewide priorities </w:t>
            </w:r>
          </w:p>
        </w:tc>
      </w:tr>
      <w:tr w:rsidR="00906437" w:rsidRPr="00243D81" w14:paraId="487E244F" w14:textId="77777777" w:rsidTr="00076A38">
        <w:trPr>
          <w:cantSplit/>
          <w:trHeight w:val="3058"/>
        </w:trPr>
        <w:tc>
          <w:tcPr>
            <w:tcW w:w="607" w:type="pct"/>
            <w:tcBorders>
              <w:top w:val="single" w:sz="6" w:space="0" w:color="4BACC6"/>
              <w:left w:val="single" w:sz="8" w:space="0" w:color="FFFFFF"/>
              <w:bottom w:val="single" w:sz="6" w:space="0" w:color="4BACC6"/>
              <w:right w:val="single" w:sz="8" w:space="0" w:color="FFFFFF"/>
            </w:tcBorders>
            <w:shd w:val="clear" w:color="auto" w:fill="C8E3EB"/>
            <w:tcMar>
              <w:top w:w="57" w:type="dxa"/>
              <w:left w:w="144" w:type="dxa"/>
              <w:bottom w:w="57" w:type="dxa"/>
              <w:right w:w="144" w:type="dxa"/>
            </w:tcMar>
            <w:hideMark/>
          </w:tcPr>
          <w:p w14:paraId="57DDEDC2"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i/>
                <w:kern w:val="24"/>
                <w:sz w:val="21"/>
                <w:szCs w:val="21"/>
                <w:lang w:val="en-AU" w:eastAsia="en-AU"/>
              </w:rPr>
              <w:lastRenderedPageBreak/>
              <w:t>Performance support</w:t>
            </w:r>
          </w:p>
          <w:p w14:paraId="77F70204" w14:textId="77777777" w:rsidR="00906437" w:rsidRPr="00243D81" w:rsidRDefault="00906437" w:rsidP="007E45D2">
            <w:pPr>
              <w:spacing w:after="120" w:line="240" w:lineRule="auto"/>
              <w:rPr>
                <w:rFonts w:eastAsia="Times New Roman"/>
                <w:b/>
                <w:sz w:val="21"/>
                <w:szCs w:val="21"/>
                <w:lang w:val="en-AU" w:eastAsia="en-AU"/>
              </w:rPr>
            </w:pPr>
            <w:r w:rsidRPr="00243D81">
              <w:rPr>
                <w:rFonts w:eastAsia="Times New Roman"/>
                <w:b/>
                <w:kern w:val="24"/>
                <w:sz w:val="21"/>
                <w:szCs w:val="21"/>
                <w:lang w:val="en-AU" w:eastAsia="en-AU"/>
              </w:rPr>
              <w:t>Any of: </w:t>
            </w:r>
          </w:p>
        </w:tc>
        <w:tc>
          <w:tcPr>
            <w:tcW w:w="2236"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5A154BC9" w14:textId="77777777" w:rsidR="00906437" w:rsidRPr="00243D81" w:rsidRDefault="00906437" w:rsidP="007E45D2">
            <w:pPr>
              <w:spacing w:after="120"/>
              <w:rPr>
                <w:rFonts w:eastAsia="Times New Roman"/>
                <w:lang w:val="en-AU" w:eastAsia="en-AU"/>
              </w:rPr>
            </w:pPr>
            <w:r w:rsidRPr="00243D81">
              <w:rPr>
                <w:rFonts w:eastAsia="Times New Roman"/>
                <w:b/>
                <w:kern w:val="24"/>
                <w:lang w:eastAsia="en-AU"/>
              </w:rPr>
              <w:t>Significant support needs in one or more domains</w:t>
            </w:r>
            <w:r w:rsidRPr="00243D81">
              <w:rPr>
                <w:rFonts w:eastAsia="Times New Roman"/>
                <w:kern w:val="24"/>
                <w:lang w:eastAsia="en-AU"/>
              </w:rPr>
              <w:t>, demonstrated through any of: </w:t>
            </w:r>
          </w:p>
          <w:p w14:paraId="095ABFAD" w14:textId="77777777" w:rsidR="00607F32" w:rsidRPr="00607F32" w:rsidRDefault="00607F32" w:rsidP="00906437">
            <w:pPr>
              <w:numPr>
                <w:ilvl w:val="0"/>
                <w:numId w:val="7"/>
              </w:numPr>
              <w:spacing w:after="120"/>
              <w:ind w:left="357" w:hanging="357"/>
              <w:rPr>
                <w:rFonts w:eastAsia="Times New Roman"/>
                <w:bCs/>
                <w:lang w:val="en-AU" w:eastAsia="en-AU"/>
              </w:rPr>
            </w:pPr>
            <w:r w:rsidRPr="00607F32">
              <w:rPr>
                <w:rFonts w:eastAsia="Times New Roman"/>
                <w:b/>
                <w:kern w:val="24"/>
                <w:lang w:eastAsia="en-AU"/>
              </w:rPr>
              <w:t xml:space="preserve">Not meeting core government priorities –  </w:t>
            </w:r>
            <w:r w:rsidRPr="00607F32">
              <w:rPr>
                <w:rFonts w:eastAsia="Times New Roman"/>
                <w:bCs/>
                <w:kern w:val="24"/>
                <w:lang w:eastAsia="en-AU"/>
              </w:rPr>
              <w:t>not achieving target, requiring  robust plans, to achieve core government priorities – including any of: an actual or forecast deficit, OR overall safety and quality (including cultural safety) requiring systemic improvement, OR significantly off-target for local emergency and planned surgery access measures</w:t>
            </w:r>
          </w:p>
          <w:p w14:paraId="46D29500" w14:textId="7725C9EB" w:rsidR="00906437" w:rsidRPr="00243D81" w:rsidRDefault="00607F32" w:rsidP="00906437">
            <w:pPr>
              <w:numPr>
                <w:ilvl w:val="0"/>
                <w:numId w:val="7"/>
              </w:numPr>
              <w:spacing w:after="120"/>
              <w:ind w:left="357" w:hanging="357"/>
              <w:rPr>
                <w:rFonts w:eastAsia="Times New Roman"/>
                <w:lang w:val="en-AU" w:eastAsia="en-AU"/>
              </w:rPr>
            </w:pPr>
            <w:r>
              <w:rPr>
                <w:rFonts w:eastAsia="Times New Roman"/>
                <w:b/>
                <w:kern w:val="24"/>
                <w:lang w:eastAsia="en-AU"/>
              </w:rPr>
              <w:t>Inadequate</w:t>
            </w:r>
            <w:r w:rsidR="00906437" w:rsidRPr="00243D81">
              <w:rPr>
                <w:rFonts w:eastAsia="Times New Roman"/>
                <w:b/>
                <w:kern w:val="24"/>
                <w:lang w:eastAsia="en-AU"/>
              </w:rPr>
              <w:t xml:space="preserve"> local performance</w:t>
            </w:r>
            <w:r w:rsidR="00906437" w:rsidRPr="00243D81">
              <w:rPr>
                <w:rFonts w:eastAsia="Times New Roman"/>
                <w:kern w:val="24"/>
                <w:lang w:eastAsia="en-AU"/>
              </w:rPr>
              <w:t xml:space="preserve"> – not meeting and not on track to meet multiple locally specific and contextually relevant targets agreed with DH, with a dramatic deterioration or sustained poor performance against local targets</w:t>
            </w:r>
          </w:p>
          <w:p w14:paraId="17AB0C86" w14:textId="77777777" w:rsidR="00906437" w:rsidRPr="00243D81" w:rsidRDefault="00906437" w:rsidP="00906437">
            <w:pPr>
              <w:numPr>
                <w:ilvl w:val="0"/>
                <w:numId w:val="7"/>
              </w:numPr>
              <w:spacing w:after="120"/>
              <w:ind w:left="357" w:hanging="357"/>
              <w:rPr>
                <w:rFonts w:eastAsia="Times New Roman"/>
                <w:lang w:val="en-AU" w:eastAsia="en-AU"/>
              </w:rPr>
            </w:pPr>
            <w:r w:rsidRPr="00243D81">
              <w:rPr>
                <w:rFonts w:eastAsia="Times New Roman"/>
                <w:b/>
                <w:kern w:val="24"/>
                <w:lang w:eastAsia="en-AU"/>
              </w:rPr>
              <w:t>Poor relative performance</w:t>
            </w:r>
            <w:r w:rsidRPr="00243D81">
              <w:rPr>
                <w:rFonts w:eastAsia="Times New Roman"/>
                <w:kern w:val="24"/>
                <w:lang w:eastAsia="en-AU"/>
              </w:rPr>
              <w:t xml:space="preserve"> – multiple core metrics in bottom quartile of peer group / statewide (where relevant) or nationally (for specialist services, on specific metrics)</w:t>
            </w:r>
          </w:p>
          <w:p w14:paraId="180C3D42" w14:textId="77777777" w:rsidR="00906437" w:rsidRPr="00243D81" w:rsidRDefault="00906437" w:rsidP="00906437">
            <w:pPr>
              <w:numPr>
                <w:ilvl w:val="0"/>
                <w:numId w:val="7"/>
              </w:numPr>
              <w:spacing w:after="120"/>
              <w:ind w:left="357" w:hanging="357"/>
              <w:rPr>
                <w:rFonts w:eastAsia="Times New Roman"/>
                <w:lang w:val="en-AU" w:eastAsia="en-AU"/>
              </w:rPr>
            </w:pPr>
            <w:r w:rsidRPr="00243D81">
              <w:rPr>
                <w:rFonts w:eastAsia="Times New Roman"/>
                <w:kern w:val="24"/>
                <w:lang w:eastAsia="en-AU"/>
              </w:rPr>
              <w:t>Significant underlying risk factors present OR significant outstanding concerns from intelligence analysis </w:t>
            </w:r>
          </w:p>
        </w:tc>
        <w:tc>
          <w:tcPr>
            <w:tcW w:w="1369"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2896D8E1" w14:textId="05DE4B9E" w:rsidR="00906437" w:rsidRPr="00243D81" w:rsidRDefault="00565EEC" w:rsidP="007E45D2">
            <w:pPr>
              <w:spacing w:after="120"/>
              <w:rPr>
                <w:rFonts w:eastAsia="Times New Roman"/>
                <w:lang w:val="en-AU" w:eastAsia="en-AU"/>
              </w:rPr>
            </w:pPr>
            <w:r w:rsidRPr="00243D81">
              <w:rPr>
                <w:rFonts w:eastAsia="Times New Roman"/>
                <w:b/>
                <w:kern w:val="24"/>
                <w:lang w:eastAsia="en-AU"/>
              </w:rPr>
              <w:t xml:space="preserve">Improvement </w:t>
            </w:r>
            <w:r w:rsidR="00421656">
              <w:rPr>
                <w:rFonts w:eastAsia="Times New Roman"/>
                <w:b/>
                <w:kern w:val="24"/>
                <w:lang w:eastAsia="en-AU"/>
              </w:rPr>
              <w:t>required</w:t>
            </w:r>
            <w:r w:rsidRPr="00243D81">
              <w:rPr>
                <w:rFonts w:eastAsia="Times New Roman"/>
                <w:b/>
                <w:kern w:val="24"/>
                <w:lang w:eastAsia="en-AU"/>
              </w:rPr>
              <w:t xml:space="preserve">: </w:t>
            </w:r>
            <w:r w:rsidRPr="00243D81">
              <w:rPr>
                <w:rFonts w:eastAsia="Times New Roman"/>
                <w:kern w:val="24"/>
                <w:lang w:eastAsia="en-AU"/>
              </w:rPr>
              <w:t>plans to address identified areas of challenge are either not in place, are not being delivered, or are not delivering holistic improvement within an acceptable timeframe</w:t>
            </w:r>
          </w:p>
        </w:tc>
        <w:tc>
          <w:tcPr>
            <w:tcW w:w="787"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3E0B09A7" w14:textId="5F6E2788" w:rsidR="00906437" w:rsidRPr="00243D81" w:rsidRDefault="000A1D11" w:rsidP="007E45D2">
            <w:pPr>
              <w:spacing w:after="120"/>
              <w:rPr>
                <w:rFonts w:eastAsia="Times New Roman"/>
                <w:lang w:val="en-AU" w:eastAsia="en-AU"/>
              </w:rPr>
            </w:pPr>
            <w:r>
              <w:rPr>
                <w:rFonts w:eastAsia="Times New Roman"/>
                <w:b/>
                <w:kern w:val="24"/>
                <w:lang w:eastAsia="en-AU"/>
              </w:rPr>
              <w:t xml:space="preserve">Limited </w:t>
            </w:r>
            <w:r w:rsidR="00906437" w:rsidRPr="00243D81">
              <w:rPr>
                <w:rFonts w:eastAsia="Times New Roman"/>
                <w:b/>
                <w:kern w:val="24"/>
                <w:lang w:eastAsia="en-AU"/>
              </w:rPr>
              <w:t xml:space="preserve">Collaboration: </w:t>
            </w:r>
            <w:r w:rsidR="00906437" w:rsidRPr="00243D81">
              <w:rPr>
                <w:rFonts w:eastAsia="Times New Roman"/>
                <w:kern w:val="24"/>
                <w:lang w:eastAsia="en-AU"/>
              </w:rPr>
              <w:t>limited positive contribution to partnership-based efforts to progress place-based, regional and statewide priorities </w:t>
            </w:r>
          </w:p>
        </w:tc>
      </w:tr>
      <w:tr w:rsidR="00906437" w:rsidRPr="00243D81" w14:paraId="3769AE6B" w14:textId="77777777" w:rsidTr="00076A38">
        <w:trPr>
          <w:cantSplit/>
          <w:trHeight w:val="1443"/>
        </w:trPr>
        <w:tc>
          <w:tcPr>
            <w:tcW w:w="607" w:type="pct"/>
            <w:tcBorders>
              <w:top w:val="single" w:sz="6" w:space="0" w:color="4BACC6"/>
              <w:left w:val="single" w:sz="8" w:space="0" w:color="FFFFFF"/>
              <w:bottom w:val="single" w:sz="8" w:space="0" w:color="93CDDD"/>
              <w:right w:val="single" w:sz="8" w:space="0" w:color="FFFFFF"/>
            </w:tcBorders>
            <w:shd w:val="clear" w:color="auto" w:fill="ADC2CB"/>
            <w:tcMar>
              <w:top w:w="57" w:type="dxa"/>
              <w:left w:w="144" w:type="dxa"/>
              <w:bottom w:w="57" w:type="dxa"/>
              <w:right w:w="144" w:type="dxa"/>
            </w:tcMar>
            <w:hideMark/>
          </w:tcPr>
          <w:p w14:paraId="2A43BFF8"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i/>
                <w:kern w:val="24"/>
                <w:sz w:val="21"/>
                <w:szCs w:val="21"/>
                <w:lang w:val="en-AU" w:eastAsia="en-AU"/>
              </w:rPr>
              <w:t>Mandated intensive support</w:t>
            </w:r>
          </w:p>
          <w:p w14:paraId="04285BB3"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kern w:val="24"/>
                <w:sz w:val="21"/>
                <w:szCs w:val="21"/>
                <w:lang w:eastAsia="en-AU"/>
              </w:rPr>
              <w:t>Any</w:t>
            </w:r>
            <w:r w:rsidRPr="00243D81">
              <w:rPr>
                <w:rFonts w:eastAsia="Times New Roman"/>
                <w:kern w:val="24"/>
                <w:sz w:val="21"/>
                <w:szCs w:val="21"/>
                <w:lang w:eastAsia="en-AU"/>
              </w:rPr>
              <w:t xml:space="preserve"> criteria for above, </w:t>
            </w:r>
            <w:r w:rsidRPr="00243D81">
              <w:rPr>
                <w:rFonts w:eastAsia="Times New Roman"/>
                <w:b/>
                <w:kern w:val="24"/>
                <w:sz w:val="21"/>
                <w:szCs w:val="21"/>
                <w:lang w:eastAsia="en-AU"/>
              </w:rPr>
              <w:t>plus any of:</w:t>
            </w:r>
            <w:r w:rsidRPr="00243D81">
              <w:rPr>
                <w:rFonts w:eastAsia="Times New Roman"/>
                <w:kern w:val="24"/>
                <w:sz w:val="21"/>
                <w:szCs w:val="21"/>
                <w:lang w:eastAsia="en-AU"/>
              </w:rPr>
              <w:t> </w:t>
            </w:r>
          </w:p>
        </w:tc>
        <w:tc>
          <w:tcPr>
            <w:tcW w:w="4393" w:type="pct"/>
            <w:gridSpan w:val="3"/>
            <w:tcBorders>
              <w:top w:val="single" w:sz="6" w:space="0" w:color="4BACC6"/>
              <w:left w:val="single" w:sz="8" w:space="0" w:color="FFFFFF"/>
              <w:bottom w:val="single" w:sz="4" w:space="0" w:color="93CDDD"/>
              <w:right w:val="single" w:sz="8" w:space="0" w:color="FFFFFF"/>
            </w:tcBorders>
            <w:shd w:val="clear" w:color="auto" w:fill="FFFFFF"/>
            <w:tcMar>
              <w:top w:w="57" w:type="dxa"/>
              <w:left w:w="144" w:type="dxa"/>
              <w:bottom w:w="57" w:type="dxa"/>
              <w:right w:w="144" w:type="dxa"/>
            </w:tcMar>
            <w:hideMark/>
          </w:tcPr>
          <w:p w14:paraId="1B5283E6" w14:textId="77777777" w:rsidR="00906437" w:rsidRPr="00243D81" w:rsidRDefault="00906437" w:rsidP="007E45D2">
            <w:pPr>
              <w:spacing w:after="120" w:line="240" w:lineRule="auto"/>
              <w:rPr>
                <w:rFonts w:eastAsia="Times New Roman"/>
                <w:lang w:val="en-AU" w:eastAsia="en-AU"/>
              </w:rPr>
            </w:pPr>
            <w:r w:rsidRPr="00243D81">
              <w:rPr>
                <w:rFonts w:eastAsia="Times New Roman"/>
                <w:b/>
                <w:kern w:val="24"/>
                <w:lang w:eastAsia="en-AU"/>
              </w:rPr>
              <w:t xml:space="preserve">Additional complex and serious issues </w:t>
            </w:r>
            <w:r w:rsidRPr="00243D81">
              <w:rPr>
                <w:rFonts w:eastAsia="Times New Roman"/>
                <w:kern w:val="24"/>
                <w:lang w:eastAsia="en-AU"/>
              </w:rPr>
              <w:t>manifesting as critical quality and safety, finance, or governance concerns. This may include any of:</w:t>
            </w:r>
          </w:p>
          <w:p w14:paraId="479AC5ED" w14:textId="77777777" w:rsidR="00906437" w:rsidRPr="00243D81" w:rsidRDefault="00906437" w:rsidP="00906437">
            <w:pPr>
              <w:numPr>
                <w:ilvl w:val="0"/>
                <w:numId w:val="8"/>
              </w:numPr>
              <w:spacing w:after="120" w:line="240" w:lineRule="auto"/>
              <w:ind w:left="357" w:hanging="357"/>
              <w:rPr>
                <w:rFonts w:eastAsia="Times New Roman"/>
                <w:lang w:val="en-AU" w:eastAsia="en-AU"/>
              </w:rPr>
            </w:pPr>
            <w:r w:rsidRPr="00243D81">
              <w:rPr>
                <w:rFonts w:eastAsia="Times New Roman"/>
                <w:kern w:val="24"/>
                <w:lang w:eastAsia="en-AU"/>
              </w:rPr>
              <w:t>Longstanding and/or complex issues preventing agreed improvement on any domains (for example, one full year on performance support without improvement), or</w:t>
            </w:r>
          </w:p>
          <w:p w14:paraId="17A7F7DB" w14:textId="77777777" w:rsidR="00906437" w:rsidRPr="00243D81" w:rsidRDefault="00906437" w:rsidP="00906437">
            <w:pPr>
              <w:numPr>
                <w:ilvl w:val="0"/>
                <w:numId w:val="8"/>
              </w:numPr>
              <w:spacing w:after="120" w:line="240" w:lineRule="auto"/>
              <w:ind w:left="357" w:hanging="357"/>
              <w:rPr>
                <w:rFonts w:eastAsia="Times New Roman"/>
                <w:lang w:val="en-AU" w:eastAsia="en-AU"/>
              </w:rPr>
            </w:pPr>
            <w:r w:rsidRPr="00243D81">
              <w:rPr>
                <w:rFonts w:eastAsia="Times New Roman"/>
                <w:kern w:val="24"/>
                <w:lang w:eastAsia="en-AU"/>
              </w:rPr>
              <w:t>A catastrophic failure in safety, or equivalent overall safety and quality (including cultural safety) assessment, or</w:t>
            </w:r>
          </w:p>
          <w:p w14:paraId="21DC4F79" w14:textId="77777777" w:rsidR="00906437" w:rsidRPr="00243D81" w:rsidRDefault="00906437" w:rsidP="00906437">
            <w:pPr>
              <w:numPr>
                <w:ilvl w:val="0"/>
                <w:numId w:val="8"/>
              </w:numPr>
              <w:spacing w:after="120" w:line="240" w:lineRule="auto"/>
              <w:ind w:left="357" w:hanging="357"/>
              <w:rPr>
                <w:rFonts w:eastAsia="Times New Roman"/>
                <w:lang w:val="en-AU" w:eastAsia="en-AU"/>
              </w:rPr>
            </w:pPr>
            <w:r w:rsidRPr="00243D81">
              <w:rPr>
                <w:rFonts w:eastAsia="Times New Roman"/>
                <w:kern w:val="24"/>
                <w:lang w:eastAsia="en-AU"/>
              </w:rPr>
              <w:t>A catastrophic failure in leadership, integrity or governance, or</w:t>
            </w:r>
          </w:p>
          <w:p w14:paraId="1BE1904E" w14:textId="77777777" w:rsidR="00906437" w:rsidRPr="00243D81" w:rsidRDefault="00906437" w:rsidP="00906437">
            <w:pPr>
              <w:numPr>
                <w:ilvl w:val="0"/>
                <w:numId w:val="8"/>
              </w:numPr>
              <w:spacing w:after="120" w:line="240" w:lineRule="auto"/>
              <w:ind w:left="357" w:hanging="357"/>
              <w:rPr>
                <w:rFonts w:eastAsia="Times New Roman"/>
                <w:lang w:val="en-AU" w:eastAsia="en-AU"/>
              </w:rPr>
            </w:pPr>
            <w:r w:rsidRPr="00243D81">
              <w:rPr>
                <w:rFonts w:eastAsia="Times New Roman"/>
                <w:kern w:val="24"/>
                <w:lang w:eastAsia="en-AU"/>
              </w:rPr>
              <w:t>A significant deficit and/or significant actual or forecast gap to plan</w:t>
            </w:r>
          </w:p>
        </w:tc>
      </w:tr>
    </w:tbl>
    <w:p w14:paraId="6C550D8B" w14:textId="77777777" w:rsidR="00906437" w:rsidRPr="00BA4BA4" w:rsidRDefault="00906437" w:rsidP="00906437">
      <w:pPr>
        <w:spacing w:line="279" w:lineRule="auto"/>
        <w:rPr>
          <w:rFonts w:eastAsiaTheme="majorEastAsia"/>
          <w:color w:val="0F4761" w:themeColor="accent1" w:themeShade="BF"/>
          <w:sz w:val="28"/>
          <w:szCs w:val="28"/>
          <w:highlight w:val="cyan"/>
        </w:rPr>
        <w:sectPr w:rsidR="00906437" w:rsidRPr="00BA4BA4" w:rsidSect="00906437">
          <w:pgSz w:w="15840" w:h="12240" w:orient="landscape"/>
          <w:pgMar w:top="851" w:right="567" w:bottom="851" w:left="567" w:header="720" w:footer="720" w:gutter="0"/>
          <w:cols w:space="720"/>
          <w:docGrid w:linePitch="360"/>
        </w:sectPr>
      </w:pPr>
    </w:p>
    <w:p w14:paraId="141EDE0F" w14:textId="78F00F79" w:rsidR="00243D81" w:rsidRDefault="00243D81" w:rsidP="00243D81">
      <w:pPr>
        <w:pStyle w:val="Heading1"/>
        <w:numPr>
          <w:ilvl w:val="0"/>
          <w:numId w:val="0"/>
        </w:numPr>
        <w:rPr>
          <w:color w:val="201547"/>
          <w:sz w:val="44"/>
          <w:szCs w:val="44"/>
        </w:rPr>
      </w:pPr>
      <w:bookmarkStart w:id="136" w:name="_Toc211343303"/>
      <w:r w:rsidRPr="00742060">
        <w:rPr>
          <w:color w:val="201547"/>
          <w:sz w:val="44"/>
          <w:szCs w:val="44"/>
        </w:rPr>
        <w:lastRenderedPageBreak/>
        <w:t xml:space="preserve">Appendix </w:t>
      </w:r>
      <w:r w:rsidR="006E35F9">
        <w:rPr>
          <w:color w:val="201547"/>
          <w:sz w:val="44"/>
          <w:szCs w:val="44"/>
        </w:rPr>
        <w:t>5</w:t>
      </w:r>
      <w:r w:rsidR="00BE6D16">
        <w:rPr>
          <w:color w:val="201547"/>
          <w:sz w:val="44"/>
          <w:szCs w:val="44"/>
        </w:rPr>
        <w:t>:</w:t>
      </w:r>
      <w:r w:rsidRPr="00742060">
        <w:rPr>
          <w:color w:val="201547"/>
          <w:sz w:val="44"/>
          <w:szCs w:val="44"/>
        </w:rPr>
        <w:t xml:space="preserve"> </w:t>
      </w:r>
      <w:r w:rsidR="007A7B41">
        <w:rPr>
          <w:color w:val="201547"/>
          <w:sz w:val="44"/>
          <w:szCs w:val="44"/>
        </w:rPr>
        <w:t>Implications for health services in each performance tier</w:t>
      </w:r>
      <w:bookmarkEnd w:id="136"/>
      <w:r w:rsidR="007A7B41">
        <w:rPr>
          <w:color w:val="201547"/>
          <w:sz w:val="44"/>
          <w:szCs w:val="44"/>
        </w:rPr>
        <w:t xml:space="preserve"> </w:t>
      </w:r>
    </w:p>
    <w:tbl>
      <w:tblPr>
        <w:tblW w:w="14732" w:type="dxa"/>
        <w:tblLayout w:type="fixed"/>
        <w:tblCellMar>
          <w:left w:w="0" w:type="dxa"/>
          <w:right w:w="0" w:type="dxa"/>
        </w:tblCellMar>
        <w:tblLook w:val="0420" w:firstRow="1" w:lastRow="0" w:firstColumn="0" w:lastColumn="0" w:noHBand="0" w:noVBand="1"/>
      </w:tblPr>
      <w:tblGrid>
        <w:gridCol w:w="1691"/>
        <w:gridCol w:w="4111"/>
        <w:gridCol w:w="3544"/>
        <w:gridCol w:w="5386"/>
      </w:tblGrid>
      <w:tr w:rsidR="00B93C20" w:rsidRPr="00AD530F" w14:paraId="42ABEA64" w14:textId="77777777" w:rsidTr="00BF04C2">
        <w:trPr>
          <w:trHeight w:val="23"/>
          <w:tblHeader/>
        </w:trPr>
        <w:tc>
          <w:tcPr>
            <w:tcW w:w="1691" w:type="dxa"/>
            <w:tcBorders>
              <w:top w:val="single" w:sz="8" w:space="0" w:color="FFFFFF"/>
              <w:left w:val="single" w:sz="8" w:space="0" w:color="FFFFFF"/>
              <w:bottom w:val="single" w:sz="24" w:space="0" w:color="FFFFFF"/>
              <w:right w:val="single" w:sz="8" w:space="0" w:color="FFFFFF"/>
            </w:tcBorders>
            <w:shd w:val="clear" w:color="auto" w:fill="F2F2F2"/>
            <w:tcMar>
              <w:top w:w="57" w:type="dxa"/>
              <w:left w:w="144" w:type="dxa"/>
              <w:bottom w:w="57" w:type="dxa"/>
              <w:right w:w="144" w:type="dxa"/>
            </w:tcMar>
            <w:hideMark/>
          </w:tcPr>
          <w:p w14:paraId="0D8A3AC5" w14:textId="77777777" w:rsidR="00B93C20" w:rsidRPr="00AD530F" w:rsidRDefault="00B93C20" w:rsidP="007E45D2">
            <w:pPr>
              <w:pStyle w:val="Heading4"/>
              <w:rPr>
                <w:rFonts w:eastAsia="Times New Roman" w:cs="Times New Roman"/>
                <w:color w:val="53565A"/>
                <w:sz w:val="21"/>
                <w:szCs w:val="20"/>
                <w:lang w:val="en-AU" w:eastAsia="en-US"/>
              </w:rPr>
            </w:pPr>
            <w:r w:rsidRPr="00AD530F">
              <w:rPr>
                <w:rFonts w:eastAsia="Times New Roman" w:cs="Times New Roman"/>
                <w:color w:val="53565A"/>
                <w:sz w:val="21"/>
                <w:szCs w:val="20"/>
                <w:lang w:val="en-AU" w:eastAsia="en-US"/>
              </w:rPr>
              <w:t>Tier</w:t>
            </w:r>
          </w:p>
        </w:tc>
        <w:tc>
          <w:tcPr>
            <w:tcW w:w="4111" w:type="dxa"/>
            <w:tcBorders>
              <w:top w:val="single" w:sz="8" w:space="0" w:color="FFFFFF"/>
              <w:left w:val="single" w:sz="8" w:space="0" w:color="FFFFFF"/>
              <w:bottom w:val="single" w:sz="24" w:space="0" w:color="FFFFFF"/>
              <w:right w:val="single" w:sz="8" w:space="0" w:color="FFFFFF"/>
            </w:tcBorders>
            <w:shd w:val="clear" w:color="auto" w:fill="F2F2F2"/>
            <w:tcMar>
              <w:top w:w="57" w:type="dxa"/>
              <w:left w:w="144" w:type="dxa"/>
              <w:bottom w:w="57" w:type="dxa"/>
              <w:right w:w="144" w:type="dxa"/>
            </w:tcMar>
            <w:hideMark/>
          </w:tcPr>
          <w:p w14:paraId="0AFD44FA" w14:textId="77777777" w:rsidR="00B93C20" w:rsidRPr="00AD530F" w:rsidRDefault="00B93C20" w:rsidP="007E45D2">
            <w:pPr>
              <w:pStyle w:val="Heading4"/>
              <w:rPr>
                <w:rFonts w:eastAsia="Times New Roman" w:cs="Times New Roman"/>
                <w:color w:val="53565A"/>
                <w:sz w:val="21"/>
                <w:szCs w:val="20"/>
                <w:lang w:val="en-AU" w:eastAsia="en-US"/>
              </w:rPr>
            </w:pPr>
            <w:r w:rsidRPr="00AD530F">
              <w:rPr>
                <w:rFonts w:eastAsia="Times New Roman" w:cs="Times New Roman"/>
                <w:color w:val="53565A"/>
                <w:sz w:val="21"/>
                <w:szCs w:val="20"/>
                <w:lang w:val="en-AU" w:eastAsia="en-US"/>
              </w:rPr>
              <w:t>Autonomy and oversight</w:t>
            </w:r>
          </w:p>
        </w:tc>
        <w:tc>
          <w:tcPr>
            <w:tcW w:w="3544" w:type="dxa"/>
            <w:tcBorders>
              <w:top w:val="single" w:sz="8" w:space="0" w:color="FFFFFF"/>
              <w:left w:val="single" w:sz="8" w:space="0" w:color="FFFFFF"/>
              <w:bottom w:val="single" w:sz="24" w:space="0" w:color="FFFFFF"/>
              <w:right w:val="single" w:sz="8" w:space="0" w:color="FFFFFF"/>
            </w:tcBorders>
            <w:shd w:val="clear" w:color="auto" w:fill="F2F2F2"/>
            <w:tcMar>
              <w:top w:w="57" w:type="dxa"/>
              <w:left w:w="144" w:type="dxa"/>
              <w:bottom w:w="57" w:type="dxa"/>
              <w:right w:w="144" w:type="dxa"/>
            </w:tcMar>
            <w:hideMark/>
          </w:tcPr>
          <w:p w14:paraId="314BE125" w14:textId="77777777" w:rsidR="00B93C20" w:rsidRPr="00AD530F" w:rsidRDefault="00B93C20" w:rsidP="007E45D2">
            <w:pPr>
              <w:pStyle w:val="Heading4"/>
              <w:rPr>
                <w:rFonts w:eastAsia="Times New Roman" w:cs="Times New Roman"/>
                <w:color w:val="53565A"/>
                <w:sz w:val="21"/>
                <w:szCs w:val="20"/>
                <w:lang w:val="en-AU" w:eastAsia="en-US"/>
              </w:rPr>
            </w:pPr>
            <w:r w:rsidRPr="00AD530F">
              <w:rPr>
                <w:rFonts w:eastAsia="Times New Roman" w:cs="Times New Roman"/>
                <w:color w:val="53565A"/>
                <w:sz w:val="21"/>
                <w:szCs w:val="20"/>
                <w:lang w:val="en-AU" w:eastAsia="en-US"/>
              </w:rPr>
              <w:t>Leadership and collaboration</w:t>
            </w:r>
          </w:p>
        </w:tc>
        <w:tc>
          <w:tcPr>
            <w:tcW w:w="5386" w:type="dxa"/>
            <w:tcBorders>
              <w:top w:val="single" w:sz="8" w:space="0" w:color="FFFFFF"/>
              <w:left w:val="single" w:sz="8" w:space="0" w:color="FFFFFF"/>
              <w:bottom w:val="single" w:sz="24" w:space="0" w:color="FFFFFF"/>
              <w:right w:val="single" w:sz="8" w:space="0" w:color="FFFFFF"/>
            </w:tcBorders>
            <w:shd w:val="clear" w:color="auto" w:fill="F2F2F2"/>
            <w:tcMar>
              <w:top w:w="57" w:type="dxa"/>
              <w:left w:w="144" w:type="dxa"/>
              <w:bottom w:w="57" w:type="dxa"/>
              <w:right w:w="144" w:type="dxa"/>
            </w:tcMar>
            <w:hideMark/>
          </w:tcPr>
          <w:p w14:paraId="4709165E" w14:textId="77777777" w:rsidR="00B93C20" w:rsidRPr="00AD530F" w:rsidRDefault="00B93C20" w:rsidP="007E45D2">
            <w:pPr>
              <w:pStyle w:val="Heading4"/>
              <w:rPr>
                <w:rFonts w:eastAsia="Times New Roman" w:cs="Times New Roman"/>
                <w:color w:val="53565A"/>
                <w:sz w:val="21"/>
                <w:szCs w:val="20"/>
                <w:lang w:val="en-AU" w:eastAsia="en-US"/>
              </w:rPr>
            </w:pPr>
            <w:r w:rsidRPr="00AD530F">
              <w:rPr>
                <w:rFonts w:eastAsia="Times New Roman" w:cs="Times New Roman"/>
                <w:color w:val="53565A"/>
                <w:sz w:val="21"/>
                <w:szCs w:val="20"/>
                <w:lang w:val="en-AU" w:eastAsia="en-US"/>
              </w:rPr>
              <w:t>Accountability</w:t>
            </w:r>
          </w:p>
        </w:tc>
      </w:tr>
      <w:tr w:rsidR="00B93C20" w:rsidRPr="00AD530F" w14:paraId="15497681" w14:textId="77777777" w:rsidTr="00BF04C2">
        <w:trPr>
          <w:trHeight w:val="3928"/>
        </w:trPr>
        <w:tc>
          <w:tcPr>
            <w:tcW w:w="1691" w:type="dxa"/>
            <w:tcBorders>
              <w:top w:val="single" w:sz="24" w:space="0" w:color="FFFFFF"/>
              <w:left w:val="single" w:sz="8" w:space="0" w:color="FFFFFF"/>
              <w:bottom w:val="single" w:sz="8" w:space="0" w:color="FFFFFF"/>
              <w:right w:val="single" w:sz="8" w:space="0" w:color="FFFFFF"/>
            </w:tcBorders>
            <w:shd w:val="clear" w:color="auto" w:fill="EAF5F8"/>
            <w:tcMar>
              <w:top w:w="57" w:type="dxa"/>
              <w:left w:w="144" w:type="dxa"/>
              <w:bottom w:w="57" w:type="dxa"/>
              <w:right w:w="144" w:type="dxa"/>
            </w:tcMar>
            <w:hideMark/>
          </w:tcPr>
          <w:p w14:paraId="584BDACA" w14:textId="77777777" w:rsidR="00B93C20" w:rsidRPr="00AD530F" w:rsidRDefault="00B93C20" w:rsidP="007E45D2">
            <w:pPr>
              <w:spacing w:after="40" w:line="240" w:lineRule="auto"/>
              <w:rPr>
                <w:rFonts w:eastAsia="Times New Roman"/>
                <w:sz w:val="21"/>
                <w:szCs w:val="21"/>
                <w:lang w:val="en-AU" w:eastAsia="en-AU"/>
              </w:rPr>
            </w:pPr>
            <w:r w:rsidRPr="00AD530F">
              <w:rPr>
                <w:rFonts w:eastAsia="Times New Roman"/>
                <w:b/>
                <w:i/>
                <w:kern w:val="24"/>
                <w:sz w:val="21"/>
                <w:szCs w:val="21"/>
                <w:lang w:val="en-AU" w:eastAsia="en-AU"/>
              </w:rPr>
              <w:t>Enhanced autonomy</w:t>
            </w:r>
          </w:p>
        </w:tc>
        <w:tc>
          <w:tcPr>
            <w:tcW w:w="4111"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hideMark/>
          </w:tcPr>
          <w:p w14:paraId="451688B8" w14:textId="67C971E9" w:rsidR="00B93C20" w:rsidRPr="00AD530F" w:rsidRDefault="00B93C20" w:rsidP="00AD530F">
            <w:pPr>
              <w:pStyle w:val="DHHSbullet1"/>
              <w:rPr>
                <w:sz w:val="20"/>
              </w:rPr>
            </w:pPr>
            <w:r w:rsidRPr="00AD530F">
              <w:rPr>
                <w:sz w:val="20"/>
              </w:rPr>
              <w:t xml:space="preserve">There will be a reduced expectation for formal performance meetings. Instead, determinations will be made based on trend analysis, with a focus on strategic issues and progress against agreed priorities. </w:t>
            </w:r>
          </w:p>
        </w:tc>
        <w:tc>
          <w:tcPr>
            <w:tcW w:w="3544"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hideMark/>
          </w:tcPr>
          <w:p w14:paraId="0C87CEB1" w14:textId="77777777" w:rsidR="00B93C20" w:rsidRPr="00AD530F" w:rsidRDefault="00B93C20" w:rsidP="007E45D2">
            <w:pPr>
              <w:spacing w:after="60" w:line="240" w:lineRule="auto"/>
              <w:rPr>
                <w:rFonts w:eastAsia="Times New Roman"/>
                <w:lang w:val="en-AU" w:eastAsia="en-AU"/>
              </w:rPr>
            </w:pPr>
            <w:r w:rsidRPr="00AD530F">
              <w:rPr>
                <w:rFonts w:eastAsia="Times New Roman"/>
                <w:b/>
                <w:color w:val="000000"/>
                <w:kern w:val="24"/>
                <w:lang w:eastAsia="en-AU"/>
              </w:rPr>
              <w:t>Expectation to share learnings and help drive improvement across the sector</w:t>
            </w:r>
          </w:p>
          <w:p w14:paraId="51111997" w14:textId="77777777" w:rsidR="00B93C20" w:rsidRPr="00AD530F" w:rsidRDefault="00B93C20" w:rsidP="007E45D2">
            <w:pPr>
              <w:pStyle w:val="DHHSbullet1"/>
              <w:spacing w:after="60" w:line="240" w:lineRule="auto"/>
              <w:rPr>
                <w:sz w:val="20"/>
              </w:rPr>
            </w:pPr>
            <w:r w:rsidRPr="00AD530F">
              <w:rPr>
                <w:sz w:val="20"/>
              </w:rPr>
              <w:t xml:space="preserve">Share best practice broadly across the sector, and also provide tailored guidance / support to other services, including (optional) peer review – this could include domain-specific expertise and/or holistic excellence in overarching service management </w:t>
            </w:r>
          </w:p>
          <w:p w14:paraId="180FA607" w14:textId="77777777" w:rsidR="00B93C20" w:rsidRPr="00AD530F" w:rsidRDefault="00B93C20" w:rsidP="007E45D2">
            <w:pPr>
              <w:pStyle w:val="DHHSbullet1"/>
              <w:spacing w:after="60" w:line="240" w:lineRule="auto"/>
            </w:pPr>
            <w:r w:rsidRPr="00AD530F">
              <w:rPr>
                <w:sz w:val="20"/>
              </w:rPr>
              <w:t>Prioritisation for system leadership opportunities, driving improvement and new projects across geographies</w:t>
            </w:r>
          </w:p>
        </w:tc>
        <w:tc>
          <w:tcPr>
            <w:tcW w:w="5386"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hideMark/>
          </w:tcPr>
          <w:p w14:paraId="2B610ACC" w14:textId="77777777" w:rsidR="00B93C20" w:rsidRPr="00AD530F" w:rsidRDefault="00B93C20" w:rsidP="007E45D2">
            <w:pPr>
              <w:spacing w:after="60" w:line="240" w:lineRule="auto"/>
              <w:rPr>
                <w:rFonts w:eastAsia="Times New Roman"/>
                <w:lang w:val="en-AU" w:eastAsia="en-AU"/>
              </w:rPr>
            </w:pPr>
            <w:r w:rsidRPr="00AD530F">
              <w:rPr>
                <w:rFonts w:eastAsia="Times New Roman"/>
                <w:b/>
                <w:color w:val="000000"/>
                <w:kern w:val="24"/>
                <w:lang w:eastAsia="en-AU"/>
              </w:rPr>
              <w:t>Ongoing dialogue and collaboration on performance</w:t>
            </w:r>
          </w:p>
          <w:p w14:paraId="44E80D0D" w14:textId="77777777" w:rsidR="00B93C20" w:rsidRPr="00AD530F" w:rsidRDefault="00B93C20" w:rsidP="007E45D2">
            <w:pPr>
              <w:pStyle w:val="DHHSbullet1"/>
              <w:spacing w:after="60" w:line="240" w:lineRule="auto"/>
              <w:rPr>
                <w:sz w:val="20"/>
              </w:rPr>
            </w:pPr>
            <w:r w:rsidRPr="00AD530F">
              <w:rPr>
                <w:sz w:val="20"/>
              </w:rPr>
              <w:t>No formal levers required to drive performance; continuing dialogue between DH and the health service focussed on innovation and leadership</w:t>
            </w:r>
          </w:p>
        </w:tc>
      </w:tr>
      <w:tr w:rsidR="00B93C20" w:rsidRPr="004F73CF" w14:paraId="3D4A88E8" w14:textId="77777777" w:rsidTr="00BF04C2">
        <w:trPr>
          <w:trHeight w:val="45"/>
        </w:trPr>
        <w:tc>
          <w:tcPr>
            <w:tcW w:w="1691" w:type="dxa"/>
            <w:tcBorders>
              <w:top w:val="single" w:sz="24" w:space="0" w:color="FFFFFF"/>
              <w:left w:val="single" w:sz="8" w:space="0" w:color="FFFFFF"/>
              <w:bottom w:val="single" w:sz="8" w:space="0" w:color="FFFFFF"/>
              <w:right w:val="single" w:sz="8" w:space="0" w:color="FFFFFF"/>
            </w:tcBorders>
            <w:shd w:val="clear" w:color="auto" w:fill="EAF5F8"/>
            <w:tcMar>
              <w:top w:w="57" w:type="dxa"/>
              <w:left w:w="144" w:type="dxa"/>
              <w:bottom w:w="57" w:type="dxa"/>
              <w:right w:w="144" w:type="dxa"/>
            </w:tcMar>
          </w:tcPr>
          <w:p w14:paraId="3E53F0FB" w14:textId="77777777" w:rsidR="00B93C20" w:rsidRPr="00AD530F" w:rsidRDefault="00B93C20" w:rsidP="007E45D2">
            <w:pPr>
              <w:spacing w:after="40" w:line="240" w:lineRule="auto"/>
              <w:rPr>
                <w:rFonts w:eastAsia="Times New Roman"/>
                <w:b/>
                <w:i/>
                <w:color w:val="215968"/>
                <w:kern w:val="24"/>
                <w:sz w:val="21"/>
                <w:szCs w:val="21"/>
                <w:lang w:val="en-AU" w:eastAsia="en-AU"/>
              </w:rPr>
            </w:pPr>
            <w:r w:rsidRPr="00AD530F">
              <w:rPr>
                <w:rFonts w:eastAsia="Times New Roman"/>
                <w:b/>
                <w:i/>
                <w:kern w:val="24"/>
                <w:sz w:val="21"/>
                <w:szCs w:val="21"/>
                <w:lang w:val="en-AU" w:eastAsia="en-AU"/>
              </w:rPr>
              <w:t>Standard oversight</w:t>
            </w:r>
          </w:p>
        </w:tc>
        <w:tc>
          <w:tcPr>
            <w:tcW w:w="4111"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tcPr>
          <w:p w14:paraId="5BCE3017" w14:textId="3C11788F" w:rsidR="00B93C20" w:rsidRPr="00AD530F" w:rsidRDefault="00F52FC5" w:rsidP="007E45D2">
            <w:pPr>
              <w:pStyle w:val="DHHSbullet1"/>
              <w:spacing w:after="60" w:line="240" w:lineRule="auto"/>
              <w:rPr>
                <w:sz w:val="20"/>
              </w:rPr>
            </w:pPr>
            <w:r w:rsidRPr="00F52FC5">
              <w:rPr>
                <w:sz w:val="20"/>
              </w:rPr>
              <w:t xml:space="preserve">May be exempt from quarterly performance meetings, with the option to replace quarterly meetings with alternative engagements (e.g., site visits or further engagement on innovation/best practice) for services with no immediate concerns. </w:t>
            </w:r>
            <w:r>
              <w:rPr>
                <w:sz w:val="20"/>
              </w:rPr>
              <w:t>R</w:t>
            </w:r>
            <w:r w:rsidR="00B93C20" w:rsidRPr="00AD530F">
              <w:rPr>
                <w:sz w:val="20"/>
              </w:rPr>
              <w:t>esponsibility to inform the Department regarding how brief periods of unexpected issues/challenges are being managed</w:t>
            </w:r>
          </w:p>
          <w:p w14:paraId="1017D347" w14:textId="4B02B73B" w:rsidR="00B93C20" w:rsidRPr="00AD530F" w:rsidRDefault="00B93C20" w:rsidP="00E27426">
            <w:pPr>
              <w:pStyle w:val="DHHSbullet1"/>
              <w:numPr>
                <w:ilvl w:val="0"/>
                <w:numId w:val="0"/>
              </w:numPr>
              <w:spacing w:after="60" w:line="240" w:lineRule="auto"/>
              <w:rPr>
                <w:rFonts w:eastAsia="Times New Roman"/>
                <w:b/>
                <w:color w:val="000000"/>
                <w:kern w:val="24"/>
                <w:lang w:eastAsia="en-AU"/>
              </w:rPr>
            </w:pPr>
          </w:p>
        </w:tc>
        <w:tc>
          <w:tcPr>
            <w:tcW w:w="3544"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tcPr>
          <w:p w14:paraId="7D10F400" w14:textId="77777777" w:rsidR="00B93C20" w:rsidRPr="00AD530F" w:rsidRDefault="00B93C20" w:rsidP="007E45D2">
            <w:pPr>
              <w:spacing w:after="120" w:line="240" w:lineRule="auto"/>
              <w:rPr>
                <w:rFonts w:eastAsia="Times New Roman"/>
                <w:lang w:val="en-AU" w:eastAsia="en-AU"/>
              </w:rPr>
            </w:pPr>
            <w:r w:rsidRPr="00AD530F">
              <w:rPr>
                <w:rFonts w:eastAsia="Times New Roman"/>
                <w:b/>
                <w:color w:val="000000"/>
                <w:kern w:val="24"/>
                <w:lang w:eastAsia="en-AU"/>
              </w:rPr>
              <w:t>Ability to learn from and support other health services</w:t>
            </w:r>
          </w:p>
          <w:p w14:paraId="0E6DA076" w14:textId="77777777" w:rsidR="00B93C20" w:rsidRPr="00AD530F" w:rsidRDefault="00B93C20" w:rsidP="007E45D2">
            <w:pPr>
              <w:pStyle w:val="DHHSbullet1"/>
              <w:spacing w:after="60" w:line="240" w:lineRule="auto"/>
              <w:rPr>
                <w:sz w:val="20"/>
              </w:rPr>
            </w:pPr>
            <w:r w:rsidRPr="00AD530F">
              <w:rPr>
                <w:sz w:val="20"/>
              </w:rPr>
              <w:t>Share best practice across the sector in particular domains where the service has demonstrated success, and learn from high performing services</w:t>
            </w:r>
          </w:p>
          <w:p w14:paraId="1EB1771B" w14:textId="77777777" w:rsidR="00B93C20" w:rsidRPr="00AD530F" w:rsidRDefault="00B93C20" w:rsidP="007E45D2">
            <w:pPr>
              <w:pStyle w:val="DHHSbullet1"/>
              <w:spacing w:line="240" w:lineRule="auto"/>
              <w:rPr>
                <w:rFonts w:eastAsia="Times New Roman"/>
                <w:b/>
                <w:color w:val="000000"/>
                <w:kern w:val="24"/>
                <w:lang w:eastAsia="en-AU"/>
              </w:rPr>
            </w:pPr>
            <w:r w:rsidRPr="00AD530F">
              <w:rPr>
                <w:sz w:val="20"/>
              </w:rPr>
              <w:t>Consideration for system leadership opportunities, driving improvement and new projects across geographies</w:t>
            </w:r>
          </w:p>
        </w:tc>
        <w:tc>
          <w:tcPr>
            <w:tcW w:w="5386"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tcPr>
          <w:p w14:paraId="19330F0B" w14:textId="77777777" w:rsidR="00B93C20" w:rsidRPr="00AD530F" w:rsidRDefault="00B93C20" w:rsidP="007E45D2">
            <w:pPr>
              <w:spacing w:after="120" w:line="240" w:lineRule="auto"/>
              <w:rPr>
                <w:rFonts w:eastAsia="Times New Roman"/>
                <w:lang w:val="en-AU" w:eastAsia="en-AU"/>
              </w:rPr>
            </w:pPr>
            <w:r w:rsidRPr="00AD530F">
              <w:rPr>
                <w:rFonts w:eastAsia="Times New Roman"/>
                <w:b/>
                <w:color w:val="000000"/>
                <w:kern w:val="24"/>
                <w:lang w:eastAsia="en-AU"/>
              </w:rPr>
              <w:t>Targeted management of issues as they arise</w:t>
            </w:r>
          </w:p>
          <w:p w14:paraId="56D4D05E" w14:textId="77777777" w:rsidR="00B93C20" w:rsidRPr="00AD530F" w:rsidRDefault="00B93C20" w:rsidP="007E45D2">
            <w:pPr>
              <w:pStyle w:val="DHHSbullet1"/>
              <w:spacing w:after="60" w:line="240" w:lineRule="auto"/>
              <w:rPr>
                <w:rFonts w:eastAsia="Times New Roman"/>
                <w:b/>
                <w:color w:val="000000"/>
                <w:kern w:val="24"/>
                <w:lang w:eastAsia="en-AU"/>
              </w:rPr>
            </w:pPr>
            <w:r w:rsidRPr="00AD530F">
              <w:rPr>
                <w:sz w:val="20"/>
              </w:rPr>
              <w:t>Development and monitoring of action / improvement plans as required for current or emerging issues</w:t>
            </w:r>
          </w:p>
        </w:tc>
      </w:tr>
    </w:tbl>
    <w:p w14:paraId="7A278152" w14:textId="77777777" w:rsidR="007A7B41" w:rsidRPr="007A7B41" w:rsidRDefault="007A7B41" w:rsidP="007A7B41"/>
    <w:tbl>
      <w:tblPr>
        <w:tblW w:w="5000" w:type="pct"/>
        <w:tblCellMar>
          <w:left w:w="0" w:type="dxa"/>
          <w:right w:w="0" w:type="dxa"/>
        </w:tblCellMar>
        <w:tblLook w:val="0420" w:firstRow="1" w:lastRow="0" w:firstColumn="0" w:lastColumn="0" w:noHBand="0" w:noVBand="1"/>
      </w:tblPr>
      <w:tblGrid>
        <w:gridCol w:w="1716"/>
        <w:gridCol w:w="4065"/>
        <w:gridCol w:w="3539"/>
        <w:gridCol w:w="5366"/>
      </w:tblGrid>
      <w:tr w:rsidR="00556B90" w:rsidRPr="00E27426" w14:paraId="5094D7AE" w14:textId="77777777" w:rsidTr="00076A38">
        <w:trPr>
          <w:trHeight w:val="774"/>
          <w:tblHeader/>
        </w:trPr>
        <w:tc>
          <w:tcPr>
            <w:tcW w:w="584"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2F2F2" w:themeFill="background1" w:themeFillShade="F2"/>
            <w:tcMar>
              <w:top w:w="57" w:type="dxa"/>
              <w:left w:w="144" w:type="dxa"/>
              <w:bottom w:w="57" w:type="dxa"/>
              <w:right w:w="144" w:type="dxa"/>
            </w:tcMar>
            <w:hideMark/>
          </w:tcPr>
          <w:p w14:paraId="43502936" w14:textId="77777777" w:rsidR="00556B90" w:rsidRPr="00E27426" w:rsidRDefault="00556B90" w:rsidP="007E45D2">
            <w:pPr>
              <w:pStyle w:val="Heading4"/>
              <w:rPr>
                <w:rFonts w:eastAsia="Times New Roman" w:cs="Times New Roman"/>
                <w:color w:val="53565A"/>
                <w:sz w:val="21"/>
                <w:szCs w:val="20"/>
                <w:lang w:val="en-AU" w:eastAsia="en-US"/>
              </w:rPr>
            </w:pPr>
            <w:r w:rsidRPr="00E27426">
              <w:rPr>
                <w:rFonts w:eastAsia="Times New Roman" w:cs="Times New Roman"/>
                <w:color w:val="53565A"/>
                <w:sz w:val="21"/>
                <w:szCs w:val="20"/>
                <w:lang w:val="en-AU" w:eastAsia="en-US"/>
              </w:rPr>
              <w:lastRenderedPageBreak/>
              <w:t>Tier</w:t>
            </w:r>
          </w:p>
        </w:tc>
        <w:tc>
          <w:tcPr>
            <w:tcW w:w="1384"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2F2F2" w:themeFill="background1" w:themeFillShade="F2"/>
            <w:tcMar>
              <w:top w:w="57" w:type="dxa"/>
              <w:left w:w="144" w:type="dxa"/>
              <w:bottom w:w="57" w:type="dxa"/>
              <w:right w:w="144" w:type="dxa"/>
            </w:tcMar>
            <w:hideMark/>
          </w:tcPr>
          <w:p w14:paraId="7549D7F4" w14:textId="77777777" w:rsidR="00556B90" w:rsidRPr="00E27426" w:rsidRDefault="00556B90" w:rsidP="007E45D2">
            <w:pPr>
              <w:pStyle w:val="Heading4"/>
              <w:rPr>
                <w:rFonts w:eastAsia="Times New Roman" w:cs="Times New Roman"/>
                <w:color w:val="53565A"/>
                <w:sz w:val="21"/>
                <w:szCs w:val="20"/>
                <w:lang w:val="en-AU" w:eastAsia="en-US"/>
              </w:rPr>
            </w:pPr>
            <w:r w:rsidRPr="00E27426">
              <w:rPr>
                <w:rFonts w:eastAsia="Times New Roman" w:cs="Times New Roman"/>
                <w:color w:val="53565A"/>
                <w:sz w:val="21"/>
                <w:szCs w:val="20"/>
                <w:lang w:val="en-AU" w:eastAsia="en-US"/>
              </w:rPr>
              <w:t>Autonomy and oversight</w:t>
            </w:r>
          </w:p>
        </w:tc>
        <w:tc>
          <w:tcPr>
            <w:tcW w:w="1205"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2F2F2" w:themeFill="background1" w:themeFillShade="F2"/>
            <w:tcMar>
              <w:top w:w="57" w:type="dxa"/>
              <w:left w:w="144" w:type="dxa"/>
              <w:bottom w:w="57" w:type="dxa"/>
              <w:right w:w="144" w:type="dxa"/>
            </w:tcMar>
            <w:hideMark/>
          </w:tcPr>
          <w:p w14:paraId="2CEE9597" w14:textId="77777777" w:rsidR="00556B90" w:rsidRPr="00E27426" w:rsidRDefault="00556B90" w:rsidP="007E45D2">
            <w:pPr>
              <w:pStyle w:val="Heading4"/>
              <w:rPr>
                <w:rFonts w:eastAsia="Times New Roman" w:cs="Times New Roman"/>
                <w:color w:val="53565A"/>
                <w:sz w:val="21"/>
                <w:szCs w:val="20"/>
                <w:lang w:val="en-AU" w:eastAsia="en-US"/>
              </w:rPr>
            </w:pPr>
            <w:r w:rsidRPr="00E27426">
              <w:rPr>
                <w:rFonts w:eastAsia="Times New Roman" w:cs="Times New Roman"/>
                <w:color w:val="53565A"/>
                <w:sz w:val="21"/>
                <w:szCs w:val="20"/>
                <w:lang w:val="en-AU" w:eastAsia="en-US"/>
              </w:rPr>
              <w:t>Leadership and collaboration</w:t>
            </w:r>
          </w:p>
        </w:tc>
        <w:tc>
          <w:tcPr>
            <w:tcW w:w="1827"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2F2F2" w:themeFill="background1" w:themeFillShade="F2"/>
            <w:tcMar>
              <w:top w:w="57" w:type="dxa"/>
              <w:left w:w="144" w:type="dxa"/>
              <w:bottom w:w="57" w:type="dxa"/>
              <w:right w:w="144" w:type="dxa"/>
            </w:tcMar>
            <w:hideMark/>
          </w:tcPr>
          <w:p w14:paraId="57ED95B3" w14:textId="77777777" w:rsidR="00556B90" w:rsidRPr="00E27426" w:rsidRDefault="00556B90" w:rsidP="007E45D2">
            <w:pPr>
              <w:pStyle w:val="Heading4"/>
              <w:rPr>
                <w:rFonts w:eastAsia="Times New Roman" w:cs="Times New Roman"/>
                <w:color w:val="53565A"/>
                <w:sz w:val="21"/>
                <w:szCs w:val="20"/>
                <w:lang w:val="en-AU" w:eastAsia="en-US"/>
              </w:rPr>
            </w:pPr>
            <w:r w:rsidRPr="00E27426">
              <w:rPr>
                <w:rFonts w:eastAsia="Times New Roman" w:cs="Times New Roman"/>
                <w:color w:val="53565A"/>
                <w:sz w:val="21"/>
                <w:szCs w:val="20"/>
                <w:lang w:val="en-AU" w:eastAsia="en-US"/>
              </w:rPr>
              <w:t>Accountability</w:t>
            </w:r>
          </w:p>
        </w:tc>
      </w:tr>
      <w:tr w:rsidR="00556B90" w:rsidRPr="00E27426" w14:paraId="197F6963" w14:textId="77777777" w:rsidTr="00076A38">
        <w:trPr>
          <w:trHeight w:val="3012"/>
        </w:trPr>
        <w:tc>
          <w:tcPr>
            <w:tcW w:w="584"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E3EB"/>
            <w:tcMar>
              <w:top w:w="57" w:type="dxa"/>
              <w:left w:w="144" w:type="dxa"/>
              <w:bottom w:w="57" w:type="dxa"/>
              <w:right w:w="144" w:type="dxa"/>
            </w:tcMar>
            <w:hideMark/>
          </w:tcPr>
          <w:p w14:paraId="79231E60" w14:textId="77777777" w:rsidR="00556B90" w:rsidRPr="00E27426" w:rsidRDefault="00556B90" w:rsidP="007E45D2">
            <w:pPr>
              <w:spacing w:after="40" w:line="240" w:lineRule="auto"/>
              <w:rPr>
                <w:rFonts w:eastAsia="Times New Roman"/>
                <w:lang w:val="en-AU" w:eastAsia="en-AU"/>
              </w:rPr>
            </w:pPr>
            <w:r w:rsidRPr="00E27426">
              <w:rPr>
                <w:rFonts w:eastAsia="Times New Roman"/>
                <w:b/>
                <w:i/>
                <w:kern w:val="24"/>
                <w:lang w:val="en-AU" w:eastAsia="en-AU"/>
              </w:rPr>
              <w:t>Performance support</w:t>
            </w:r>
          </w:p>
        </w:tc>
        <w:tc>
          <w:tcPr>
            <w:tcW w:w="1384"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27B2E848" w14:textId="46351AAC" w:rsidR="00556B90" w:rsidRPr="00E27426" w:rsidRDefault="00556B90" w:rsidP="007E45D2">
            <w:pPr>
              <w:pStyle w:val="DHHSbullet1"/>
              <w:spacing w:after="60" w:line="240" w:lineRule="auto"/>
              <w:rPr>
                <w:sz w:val="20"/>
              </w:rPr>
            </w:pPr>
            <w:r w:rsidRPr="00E27426">
              <w:rPr>
                <w:sz w:val="20"/>
              </w:rPr>
              <w:t>Increased frequency of formal performance and informal meetings at the discretion of the Department in context to improvement progress.)</w:t>
            </w:r>
          </w:p>
          <w:p w14:paraId="1585D06D" w14:textId="7EA6AA96" w:rsidR="00556B90" w:rsidRPr="00E27426" w:rsidRDefault="00556B90" w:rsidP="007E45D2">
            <w:pPr>
              <w:pStyle w:val="DHHSbullet1"/>
              <w:spacing w:after="60" w:line="240" w:lineRule="auto"/>
              <w:rPr>
                <w:sz w:val="20"/>
              </w:rPr>
            </w:pPr>
            <w:r w:rsidRPr="00E27426">
              <w:rPr>
                <w:sz w:val="20"/>
              </w:rPr>
              <w:t>Budgets and financial controls – increased oversight</w:t>
            </w:r>
          </w:p>
        </w:tc>
        <w:tc>
          <w:tcPr>
            <w:tcW w:w="1205"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499996E6" w14:textId="77777777" w:rsidR="00556B90" w:rsidRPr="00E27426" w:rsidRDefault="00556B90" w:rsidP="007E45D2">
            <w:pPr>
              <w:spacing w:after="120"/>
              <w:rPr>
                <w:rFonts w:eastAsia="Times New Roman"/>
                <w:lang w:val="en-AU" w:eastAsia="en-AU"/>
              </w:rPr>
            </w:pPr>
            <w:r w:rsidRPr="00E27426">
              <w:rPr>
                <w:rFonts w:eastAsia="Times New Roman"/>
                <w:b/>
                <w:color w:val="000000"/>
                <w:kern w:val="24"/>
                <w:lang w:eastAsia="en-AU"/>
              </w:rPr>
              <w:t>Opportunity to learn from high performing services</w:t>
            </w:r>
          </w:p>
          <w:p w14:paraId="243EE354" w14:textId="77777777" w:rsidR="00556B90" w:rsidRPr="00E27426" w:rsidRDefault="00556B90" w:rsidP="007E45D2">
            <w:pPr>
              <w:pStyle w:val="DHHSbullet1"/>
              <w:spacing w:after="60" w:line="240" w:lineRule="auto"/>
              <w:rPr>
                <w:sz w:val="20"/>
              </w:rPr>
            </w:pPr>
            <w:r w:rsidRPr="00E27426">
              <w:rPr>
                <w:sz w:val="20"/>
              </w:rPr>
              <w:t>Opportunity to pair with a high performing health service to receive support and guidance and/or peer review</w:t>
            </w:r>
          </w:p>
          <w:p w14:paraId="1BA3C4F7" w14:textId="77777777" w:rsidR="00556B90" w:rsidRPr="00E27426" w:rsidRDefault="00556B90" w:rsidP="007E45D2">
            <w:pPr>
              <w:pStyle w:val="DHHSbullet1"/>
              <w:spacing w:after="60" w:line="240" w:lineRule="auto"/>
              <w:rPr>
                <w:sz w:val="20"/>
              </w:rPr>
            </w:pPr>
            <w:r w:rsidRPr="00E27426">
              <w:rPr>
                <w:sz w:val="20"/>
              </w:rPr>
              <w:t>Will not receive priority consideration for system leadership opportunities</w:t>
            </w:r>
          </w:p>
        </w:tc>
        <w:tc>
          <w:tcPr>
            <w:tcW w:w="1827"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74C7FB17" w14:textId="77777777" w:rsidR="00556B90" w:rsidRPr="00E27426" w:rsidRDefault="00556B90" w:rsidP="007E45D2">
            <w:pPr>
              <w:spacing w:after="120"/>
              <w:rPr>
                <w:rFonts w:eastAsia="Times New Roman"/>
                <w:lang w:val="en-AU" w:eastAsia="en-AU"/>
              </w:rPr>
            </w:pPr>
            <w:r w:rsidRPr="00E27426">
              <w:rPr>
                <w:rFonts w:eastAsia="Times New Roman"/>
                <w:b/>
                <w:color w:val="000000"/>
                <w:kern w:val="24"/>
                <w:lang w:eastAsia="en-AU"/>
              </w:rPr>
              <w:t>Early engagement to prevent extended decline</w:t>
            </w:r>
          </w:p>
          <w:p w14:paraId="36F88682" w14:textId="77777777" w:rsidR="00556B90" w:rsidRPr="00E27426" w:rsidRDefault="00556B90" w:rsidP="007E45D2">
            <w:pPr>
              <w:pStyle w:val="DHHSbullet1"/>
              <w:spacing w:after="60" w:line="240" w:lineRule="auto"/>
              <w:rPr>
                <w:sz w:val="20"/>
              </w:rPr>
            </w:pPr>
            <w:r w:rsidRPr="00E27426">
              <w:rPr>
                <w:sz w:val="20"/>
              </w:rPr>
              <w:t>Development and monitoring of performance improvement plans +/- actions plans with SCV or external agencies as relevant</w:t>
            </w:r>
          </w:p>
          <w:p w14:paraId="774D0B74" w14:textId="77777777" w:rsidR="00556B90" w:rsidRPr="00E27426" w:rsidRDefault="00556B90" w:rsidP="007E45D2">
            <w:pPr>
              <w:pStyle w:val="DHHSbullet1"/>
              <w:spacing w:after="60" w:line="240" w:lineRule="auto"/>
              <w:rPr>
                <w:sz w:val="20"/>
              </w:rPr>
            </w:pPr>
            <w:r w:rsidRPr="00E27426">
              <w:rPr>
                <w:sz w:val="20"/>
              </w:rPr>
              <w:t xml:space="preserve">Must complete diagnosis of drivers of poor performance and progress improvement plans with clear timeframes for improvement </w:t>
            </w:r>
          </w:p>
          <w:p w14:paraId="61BD665D" w14:textId="77777777" w:rsidR="00556B90" w:rsidRPr="00E27426" w:rsidRDefault="00556B90" w:rsidP="007E45D2">
            <w:pPr>
              <w:pStyle w:val="DHHSbullet1"/>
              <w:spacing w:after="60" w:line="240" w:lineRule="auto"/>
              <w:rPr>
                <w:sz w:val="20"/>
              </w:rPr>
            </w:pPr>
            <w:r w:rsidRPr="00E27426">
              <w:rPr>
                <w:sz w:val="20"/>
              </w:rPr>
              <w:t>Health service and DH to agree defined exit criteria for progression to standard oversight (for example, credible plan underway with demonstration of tangible and sustained improvement in an agreed timeframe)</w:t>
            </w:r>
          </w:p>
          <w:p w14:paraId="3A0CD620" w14:textId="77777777" w:rsidR="00556B90" w:rsidRPr="00E27426" w:rsidRDefault="00556B90" w:rsidP="007E45D2">
            <w:pPr>
              <w:pStyle w:val="DHHSbullet1"/>
              <w:spacing w:after="60" w:line="240" w:lineRule="auto"/>
              <w:rPr>
                <w:sz w:val="20"/>
              </w:rPr>
            </w:pPr>
            <w:r w:rsidRPr="00E27426">
              <w:rPr>
                <w:sz w:val="20"/>
              </w:rPr>
              <w:t>Board chairs engaged in performance monitoring processes (no threat of dismissal in this tier); Minister may exercise option to appoint a Board delegate(s)</w:t>
            </w:r>
          </w:p>
        </w:tc>
      </w:tr>
      <w:tr w:rsidR="00F1562C" w:rsidRPr="004F73CF" w14:paraId="0A4F540D" w14:textId="77777777" w:rsidTr="00076A38">
        <w:trPr>
          <w:trHeight w:val="2450"/>
        </w:trPr>
        <w:tc>
          <w:tcPr>
            <w:tcW w:w="584"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E3EB"/>
            <w:tcMar>
              <w:top w:w="57" w:type="dxa"/>
              <w:left w:w="144" w:type="dxa"/>
              <w:bottom w:w="57" w:type="dxa"/>
              <w:right w:w="144" w:type="dxa"/>
            </w:tcMar>
            <w:hideMark/>
          </w:tcPr>
          <w:p w14:paraId="0AAAE038" w14:textId="77777777" w:rsidR="00F1562C" w:rsidRPr="00E27426" w:rsidRDefault="00F1562C" w:rsidP="007E45D2">
            <w:pPr>
              <w:spacing w:after="40" w:line="240" w:lineRule="auto"/>
              <w:rPr>
                <w:rFonts w:eastAsia="Times New Roman"/>
                <w:b/>
                <w:i/>
                <w:kern w:val="24"/>
                <w:lang w:val="en-AU" w:eastAsia="en-AU"/>
              </w:rPr>
            </w:pPr>
            <w:r w:rsidRPr="00E27426">
              <w:rPr>
                <w:rFonts w:eastAsia="Times New Roman"/>
                <w:b/>
                <w:i/>
                <w:kern w:val="24"/>
                <w:lang w:val="en-AU" w:eastAsia="en-AU"/>
              </w:rPr>
              <w:br w:type="page"/>
              <w:t>Mandated intensive support</w:t>
            </w:r>
          </w:p>
        </w:tc>
        <w:tc>
          <w:tcPr>
            <w:tcW w:w="1384"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7B980C81" w14:textId="7F5719A4" w:rsidR="00F1562C" w:rsidRPr="00E27426" w:rsidRDefault="00A44BF4" w:rsidP="007E45D2">
            <w:pPr>
              <w:pStyle w:val="DHHSbullet1"/>
              <w:spacing w:after="60" w:line="240" w:lineRule="auto"/>
              <w:rPr>
                <w:rFonts w:eastAsia="Times New Roman" w:cs="Arial"/>
                <w:bCs/>
                <w:color w:val="000000"/>
                <w:kern w:val="24"/>
                <w:sz w:val="20"/>
                <w:lang w:val="en-US" w:eastAsia="en-AU"/>
              </w:rPr>
            </w:pPr>
            <w:r>
              <w:rPr>
                <w:rFonts w:eastAsia="Times New Roman" w:cs="Arial"/>
                <w:bCs/>
                <w:color w:val="000000"/>
                <w:kern w:val="24"/>
                <w:sz w:val="20"/>
                <w:lang w:val="en-US" w:eastAsia="en-AU"/>
              </w:rPr>
              <w:t>M</w:t>
            </w:r>
            <w:r w:rsidR="00F1562C" w:rsidRPr="00E27426">
              <w:rPr>
                <w:rFonts w:eastAsia="Times New Roman" w:cs="Arial"/>
                <w:bCs/>
                <w:color w:val="000000"/>
                <w:kern w:val="24"/>
                <w:sz w:val="20"/>
                <w:lang w:val="en-US" w:eastAsia="en-AU"/>
              </w:rPr>
              <w:t>onthly</w:t>
            </w:r>
            <w:r w:rsidR="00CB0866">
              <w:rPr>
                <w:rFonts w:eastAsia="Times New Roman" w:cs="Arial"/>
                <w:bCs/>
                <w:color w:val="000000"/>
                <w:kern w:val="24"/>
                <w:sz w:val="20"/>
                <w:lang w:val="en-US" w:eastAsia="en-AU"/>
              </w:rPr>
              <w:t xml:space="preserve"> or more </w:t>
            </w:r>
            <w:r w:rsidR="002D7A85">
              <w:rPr>
                <w:rFonts w:eastAsia="Times New Roman" w:cs="Arial"/>
                <w:bCs/>
                <w:color w:val="000000"/>
                <w:kern w:val="24"/>
                <w:sz w:val="20"/>
                <w:lang w:val="en-US" w:eastAsia="en-AU"/>
              </w:rPr>
              <w:t xml:space="preserve">frequent </w:t>
            </w:r>
            <w:r w:rsidR="00F1562C" w:rsidRPr="00E27426">
              <w:rPr>
                <w:rFonts w:eastAsia="Times New Roman" w:cs="Arial"/>
                <w:bCs/>
                <w:color w:val="000000"/>
                <w:kern w:val="24"/>
                <w:sz w:val="20"/>
                <w:lang w:val="en-US" w:eastAsia="en-AU"/>
              </w:rPr>
              <w:t xml:space="preserve"> performance meetings, mandatory performance improvement plans (see accountability)</w:t>
            </w:r>
          </w:p>
          <w:p w14:paraId="13249F76" w14:textId="06617585" w:rsidR="00F1562C" w:rsidRPr="00E27426" w:rsidRDefault="00F1562C" w:rsidP="002D7A85">
            <w:pPr>
              <w:pStyle w:val="DHHSbullet1"/>
              <w:numPr>
                <w:ilvl w:val="0"/>
                <w:numId w:val="0"/>
              </w:numPr>
              <w:spacing w:after="60" w:line="240" w:lineRule="auto"/>
              <w:rPr>
                <w:rFonts w:eastAsia="Times New Roman" w:cs="Arial"/>
                <w:bCs/>
                <w:color w:val="000000"/>
                <w:kern w:val="24"/>
                <w:sz w:val="20"/>
                <w:lang w:val="en-US" w:eastAsia="en-AU"/>
              </w:rPr>
            </w:pPr>
          </w:p>
        </w:tc>
        <w:tc>
          <w:tcPr>
            <w:tcW w:w="1205"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7F06293C" w14:textId="77777777" w:rsidR="00F1562C" w:rsidRPr="00BF04C2" w:rsidRDefault="00F1562C" w:rsidP="007E45D2">
            <w:pPr>
              <w:spacing w:after="120"/>
              <w:rPr>
                <w:rFonts w:eastAsia="Times New Roman"/>
                <w:b/>
                <w:color w:val="000000"/>
                <w:kern w:val="24"/>
                <w:lang w:eastAsia="en-AU"/>
              </w:rPr>
            </w:pPr>
            <w:r w:rsidRPr="00BF04C2">
              <w:rPr>
                <w:rFonts w:eastAsia="Times New Roman"/>
                <w:b/>
                <w:color w:val="000000"/>
                <w:kern w:val="24"/>
                <w:lang w:eastAsia="en-AU"/>
              </w:rPr>
              <w:t>Required to reach out for support and learn from high performing services</w:t>
            </w:r>
          </w:p>
          <w:p w14:paraId="2A68EBEB"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Required to pair with a high performing health service to receive support and guidance and/or peer review, with the recipient health service to fund these supports)</w:t>
            </w:r>
          </w:p>
          <w:p w14:paraId="162F596F"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Ineligible for system leadership opportunities</w:t>
            </w:r>
          </w:p>
        </w:tc>
        <w:tc>
          <w:tcPr>
            <w:tcW w:w="1827"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3186C09B" w14:textId="77777777" w:rsidR="00F1562C" w:rsidRPr="00BF04C2" w:rsidRDefault="00F1562C" w:rsidP="007E45D2">
            <w:pPr>
              <w:spacing w:after="120"/>
              <w:rPr>
                <w:rFonts w:eastAsia="Times New Roman"/>
                <w:b/>
                <w:color w:val="000000"/>
                <w:kern w:val="24"/>
                <w:lang w:eastAsia="en-AU"/>
              </w:rPr>
            </w:pPr>
            <w:r w:rsidRPr="00BF04C2">
              <w:rPr>
                <w:rFonts w:eastAsia="Times New Roman"/>
                <w:b/>
                <w:color w:val="000000"/>
                <w:kern w:val="24"/>
                <w:lang w:eastAsia="en-AU"/>
              </w:rPr>
              <w:t>Strong accountability measures with clear and transparent triggers for when these may be enacted</w:t>
            </w:r>
          </w:p>
          <w:p w14:paraId="1997C683"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Development and monitoring of performance improvement plans +/- actions plans with SCV or external agencies as relevant</w:t>
            </w:r>
          </w:p>
          <w:p w14:paraId="6EA75F03"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Must complete diagnosis of drivers of poor performance and progress improvement plans with agreed timeframes for demonstrating impacts of these</w:t>
            </w:r>
          </w:p>
          <w:p w14:paraId="25F4E49C"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Health service and DH to agree defined exit criteria for progression to performance support (for example, demonstrated effective action or credible improvement plan underway with demonstration of progress and sustained improvement in an agreed timeframe)</w:t>
            </w:r>
          </w:p>
          <w:p w14:paraId="3EF30B84"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 xml:space="preserve">Option to appoint a delegate to the board and / or commence independent review/DH sanctioned audit following 3 quarters without improvement (or earlier, if there is an immediate and elevated risk and/or an extended period has already been spent in performance support) </w:t>
            </w:r>
          </w:p>
          <w:p w14:paraId="0D0D8E70"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lastRenderedPageBreak/>
              <w:t>Minister may exercise option to recommend Governor in Council dismiss Board and appoint an administrator following 6 quarters without improvement</w:t>
            </w:r>
          </w:p>
          <w:p w14:paraId="5C1E1D1A" w14:textId="77777777" w:rsidR="00F1562C" w:rsidRPr="00E27426" w:rsidRDefault="00F1562C" w:rsidP="007E45D2">
            <w:pPr>
              <w:pStyle w:val="DHHSbullet2"/>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Other Ministerial powers available in exceptional circumstances include providing key directions (for example, to comply with audit recommendations where not covered by Secretary powers, suspend/close select services)</w:t>
            </w:r>
          </w:p>
        </w:tc>
      </w:tr>
    </w:tbl>
    <w:p w14:paraId="69FCF129" w14:textId="77777777" w:rsidR="00C80209" w:rsidRDefault="00C80209" w:rsidP="00C80209">
      <w:pPr>
        <w:spacing w:line="279" w:lineRule="auto"/>
        <w:rPr>
          <w:b/>
          <w:sz w:val="24"/>
          <w:szCs w:val="24"/>
        </w:rPr>
      </w:pPr>
    </w:p>
    <w:p w14:paraId="27BCAB81" w14:textId="77777777" w:rsidR="00C80209" w:rsidRDefault="00C80209" w:rsidP="00C80209">
      <w:pPr>
        <w:spacing w:line="279" w:lineRule="auto"/>
        <w:rPr>
          <w:b/>
          <w:sz w:val="24"/>
          <w:szCs w:val="24"/>
        </w:rPr>
      </w:pPr>
    </w:p>
    <w:p w14:paraId="0C0C4623" w14:textId="77777777" w:rsidR="00C80209" w:rsidRDefault="00C80209" w:rsidP="00C80209">
      <w:pPr>
        <w:spacing w:line="279" w:lineRule="auto"/>
        <w:rPr>
          <w:b/>
          <w:sz w:val="24"/>
          <w:szCs w:val="24"/>
        </w:rPr>
      </w:pPr>
    </w:p>
    <w:p w14:paraId="68C45F93" w14:textId="77777777" w:rsidR="00C80209" w:rsidRDefault="00C80209" w:rsidP="00C80209">
      <w:pPr>
        <w:pStyle w:val="DHHSbody"/>
      </w:pPr>
    </w:p>
    <w:p w14:paraId="03169E41" w14:textId="77777777" w:rsidR="006E35F9" w:rsidRDefault="006E35F9" w:rsidP="00C80209">
      <w:pPr>
        <w:pStyle w:val="DHHSbody"/>
        <w:sectPr w:rsidR="006E35F9" w:rsidSect="00906437">
          <w:pgSz w:w="15840" w:h="12240" w:orient="landscape"/>
          <w:pgMar w:top="851" w:right="567" w:bottom="851" w:left="567" w:header="720" w:footer="720" w:gutter="0"/>
          <w:cols w:space="720"/>
          <w:docGrid w:linePitch="360"/>
        </w:sectPr>
      </w:pPr>
    </w:p>
    <w:p w14:paraId="26F2B47E" w14:textId="73E0021D" w:rsidR="006E35F9" w:rsidRPr="006E35F9" w:rsidRDefault="006E35F9" w:rsidP="006E35F9">
      <w:pPr>
        <w:pStyle w:val="Heading1"/>
        <w:numPr>
          <w:ilvl w:val="0"/>
          <w:numId w:val="0"/>
        </w:numPr>
        <w:ind w:left="567" w:hanging="567"/>
        <w:rPr>
          <w:color w:val="000000" w:themeColor="text1"/>
        </w:rPr>
      </w:pPr>
      <w:bookmarkStart w:id="137" w:name="_Toc211343304"/>
      <w:r w:rsidRPr="006E35F9">
        <w:rPr>
          <w:color w:val="000000" w:themeColor="text1"/>
        </w:rPr>
        <w:lastRenderedPageBreak/>
        <w:t xml:space="preserve">Appendix </w:t>
      </w:r>
      <w:r w:rsidR="00C454B5">
        <w:rPr>
          <w:color w:val="000000" w:themeColor="text1"/>
        </w:rPr>
        <w:t>6</w:t>
      </w:r>
      <w:r w:rsidRPr="006E35F9">
        <w:rPr>
          <w:color w:val="000000" w:themeColor="text1"/>
        </w:rPr>
        <w:t xml:space="preserve"> - Escalation options and considerations for us</w:t>
      </w:r>
      <w:r>
        <w:rPr>
          <w:color w:val="000000" w:themeColor="text1"/>
        </w:rPr>
        <w:t>e</w:t>
      </w:r>
      <w:bookmarkEnd w:id="137"/>
    </w:p>
    <w:p w14:paraId="4802FDD2" w14:textId="77777777" w:rsidR="006E35F9" w:rsidRPr="00A567EA" w:rsidRDefault="006E35F9" w:rsidP="006E35F9">
      <w:pPr>
        <w:pStyle w:val="Heading4"/>
        <w:spacing w:before="0" w:after="0" w:line="240" w:lineRule="auto"/>
        <w:rPr>
          <w:color w:val="53565A"/>
          <w:sz w:val="24"/>
          <w:szCs w:val="24"/>
        </w:rPr>
      </w:pPr>
    </w:p>
    <w:p w14:paraId="35D03609" w14:textId="345AB471" w:rsidR="006E35F9" w:rsidRPr="00062748" w:rsidRDefault="006E35F9" w:rsidP="006E35F9">
      <w:pPr>
        <w:pStyle w:val="DHHSbody"/>
        <w:spacing w:after="0" w:line="240" w:lineRule="auto"/>
        <w:rPr>
          <w:i/>
          <w:sz w:val="20"/>
        </w:rPr>
      </w:pPr>
      <w:r w:rsidRPr="00A567EA">
        <w:rPr>
          <w:i/>
          <w:iCs/>
          <w:sz w:val="20"/>
        </w:rPr>
        <w:t>Acronyms: Performance support (PS), Mandated intensive support (MIS)</w:t>
      </w:r>
    </w:p>
    <w:tbl>
      <w:tblPr>
        <w:tblW w:w="5000" w:type="pct"/>
        <w:tblCellMar>
          <w:top w:w="28" w:type="dxa"/>
          <w:left w:w="85" w:type="dxa"/>
          <w:bottom w:w="28" w:type="dxa"/>
          <w:right w:w="57" w:type="dxa"/>
        </w:tblCellMar>
        <w:tblLook w:val="0420" w:firstRow="1" w:lastRow="0" w:firstColumn="0" w:lastColumn="0" w:noHBand="0" w:noVBand="1"/>
      </w:tblPr>
      <w:tblGrid>
        <w:gridCol w:w="2386"/>
        <w:gridCol w:w="4674"/>
        <w:gridCol w:w="3458"/>
      </w:tblGrid>
      <w:tr w:rsidR="006E35F9" w:rsidRPr="00A00F3B" w14:paraId="2105A68D" w14:textId="77777777" w:rsidTr="00076A38">
        <w:trPr>
          <w:trHeight w:val="292"/>
          <w:tblHeader/>
        </w:trPr>
        <w:tc>
          <w:tcPr>
            <w:tcW w:w="1134"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9D9D9" w:themeFill="background1" w:themeFillShade="D9"/>
            <w:tcMar>
              <w:top w:w="72" w:type="dxa"/>
              <w:left w:w="144" w:type="dxa"/>
              <w:bottom w:w="72" w:type="dxa"/>
              <w:right w:w="144" w:type="dxa"/>
            </w:tcMar>
          </w:tcPr>
          <w:p w14:paraId="0FB5BB75" w14:textId="77777777" w:rsidR="006E35F9" w:rsidRPr="002C4B1B" w:rsidRDefault="006E35F9">
            <w:pPr>
              <w:pStyle w:val="Heading4"/>
              <w:rPr>
                <w:rFonts w:eastAsia="Times New Roman" w:cs="Times New Roman"/>
                <w:bCs w:val="0"/>
                <w:color w:val="53565A"/>
                <w:sz w:val="21"/>
                <w:szCs w:val="20"/>
                <w:lang w:val="en-AU" w:eastAsia="en-US"/>
              </w:rPr>
            </w:pPr>
            <w:r w:rsidRPr="002C4B1B">
              <w:rPr>
                <w:rFonts w:eastAsia="Times New Roman" w:cs="Times New Roman"/>
                <w:bCs w:val="0"/>
                <w:color w:val="53565A"/>
                <w:sz w:val="21"/>
                <w:szCs w:val="20"/>
                <w:lang w:val="en-AU" w:eastAsia="en-US"/>
              </w:rPr>
              <w:t>Escalation option</w:t>
            </w:r>
          </w:p>
        </w:tc>
        <w:tc>
          <w:tcPr>
            <w:tcW w:w="2222"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9D9D9" w:themeFill="background1" w:themeFillShade="D9"/>
            <w:tcMar>
              <w:top w:w="72" w:type="dxa"/>
              <w:left w:w="144" w:type="dxa"/>
              <w:bottom w:w="72" w:type="dxa"/>
              <w:right w:w="144" w:type="dxa"/>
            </w:tcMar>
          </w:tcPr>
          <w:p w14:paraId="49E53638" w14:textId="77777777" w:rsidR="006E35F9" w:rsidRPr="002C4B1B" w:rsidRDefault="006E35F9">
            <w:pPr>
              <w:pStyle w:val="Heading4"/>
              <w:rPr>
                <w:rFonts w:eastAsia="Times New Roman" w:cs="Times New Roman"/>
                <w:bCs w:val="0"/>
                <w:color w:val="53565A"/>
                <w:sz w:val="21"/>
                <w:szCs w:val="20"/>
                <w:lang w:val="en-AU" w:eastAsia="en-US"/>
              </w:rPr>
            </w:pPr>
            <w:r w:rsidRPr="002C4B1B">
              <w:rPr>
                <w:rFonts w:eastAsia="Times New Roman" w:cs="Times New Roman"/>
                <w:bCs w:val="0"/>
                <w:color w:val="53565A"/>
                <w:sz w:val="21"/>
                <w:szCs w:val="20"/>
                <w:lang w:val="en-AU" w:eastAsia="en-US"/>
              </w:rPr>
              <w:t xml:space="preserve">Considerations for use </w:t>
            </w:r>
          </w:p>
        </w:tc>
        <w:tc>
          <w:tcPr>
            <w:tcW w:w="1644"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9D9D9" w:themeFill="background1" w:themeFillShade="D9"/>
          </w:tcPr>
          <w:p w14:paraId="795DDD74" w14:textId="77777777" w:rsidR="006E35F9" w:rsidRPr="002C4B1B" w:rsidRDefault="006E35F9">
            <w:pPr>
              <w:pStyle w:val="Heading4"/>
              <w:rPr>
                <w:rFonts w:eastAsia="Times New Roman" w:cs="Times New Roman"/>
                <w:bCs w:val="0"/>
                <w:color w:val="53565A"/>
                <w:sz w:val="21"/>
                <w:szCs w:val="20"/>
                <w:lang w:val="en-AU" w:eastAsia="en-US"/>
              </w:rPr>
            </w:pPr>
            <w:r w:rsidRPr="002C4B1B">
              <w:rPr>
                <w:rFonts w:eastAsia="Times New Roman" w:cs="Times New Roman"/>
                <w:bCs w:val="0"/>
                <w:color w:val="53565A"/>
                <w:sz w:val="21"/>
                <w:szCs w:val="20"/>
                <w:lang w:val="en-AU" w:eastAsia="en-US"/>
              </w:rPr>
              <w:t xml:space="preserve">Relevant tier </w:t>
            </w:r>
          </w:p>
        </w:tc>
      </w:tr>
      <w:tr w:rsidR="006E35F9" w:rsidRPr="00A00F3B" w14:paraId="1001D1F3"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70D328FD"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Dialogue and collaboration on performance</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hideMark/>
          </w:tcPr>
          <w:p w14:paraId="6FD873D5"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Continuing strategic dialogue focussed on improvement and innovation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5DE0B162"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All</w:t>
            </w:r>
            <w:r w:rsidRPr="00A00F3B">
              <w:rPr>
                <w:rFonts w:eastAsia="Times" w:cs="Times New Roman"/>
                <w:sz w:val="21"/>
                <w:szCs w:val="21"/>
                <w:lang w:val="en-AU" w:eastAsia="en-US"/>
              </w:rPr>
              <w:t xml:space="preserve"> </w:t>
            </w:r>
          </w:p>
        </w:tc>
      </w:tr>
      <w:tr w:rsidR="006E35F9" w:rsidRPr="00A00F3B" w14:paraId="0260C93C"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30E0067C"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Partnerships with another provider</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1D658729"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Learning from / leveraging the expertise of a high performing service to support capability uplift and improvement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5AFEE7A4" w14:textId="77777777" w:rsidR="006E35F9" w:rsidRPr="006B578E" w:rsidRDefault="006E35F9">
            <w:pPr>
              <w:spacing w:after="120" w:line="240" w:lineRule="auto"/>
              <w:rPr>
                <w:rFonts w:eastAsia="Times" w:cs="Times New Roman"/>
                <w:i/>
                <w:iCs/>
                <w:sz w:val="21"/>
                <w:szCs w:val="21"/>
                <w:lang w:val="en-AU" w:eastAsia="en-US"/>
              </w:rPr>
            </w:pPr>
            <w:r w:rsidRPr="006B578E">
              <w:rPr>
                <w:rFonts w:eastAsia="Times" w:cs="Times New Roman"/>
                <w:i/>
                <w:iCs/>
                <w:sz w:val="21"/>
                <w:szCs w:val="21"/>
                <w:lang w:val="en-AU" w:eastAsia="en-US"/>
              </w:rPr>
              <w:t xml:space="preserve">Encouraged for all </w:t>
            </w:r>
          </w:p>
          <w:p w14:paraId="00095DD1" w14:textId="77777777" w:rsidR="006E35F9"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Mandated for MIS</w:t>
            </w:r>
            <w:r w:rsidRPr="00A00F3B">
              <w:rPr>
                <w:rFonts w:eastAsia="Times" w:cs="Times New Roman"/>
                <w:sz w:val="21"/>
                <w:szCs w:val="21"/>
                <w:lang w:val="en-AU" w:eastAsia="en-US"/>
              </w:rPr>
              <w:t xml:space="preserve"> </w:t>
            </w:r>
          </w:p>
        </w:tc>
      </w:tr>
      <w:tr w:rsidR="006E35F9" w:rsidRPr="00A00F3B" w14:paraId="09145499"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5614C003"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Performance improvement plans</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751729F1"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Targeted improvement plans agreed with the department to rectify risk, underperformance or deterioration of performance in a given domain</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14B0FE09" w14:textId="7DE47D2F"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p w14:paraId="650E5FEE"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  </w:t>
            </w:r>
          </w:p>
          <w:p w14:paraId="7383244B" w14:textId="77777777" w:rsidR="006E35F9" w:rsidRPr="00A00F3B" w:rsidRDefault="006E35F9">
            <w:pPr>
              <w:spacing w:after="0" w:line="240" w:lineRule="auto"/>
              <w:contextualSpacing/>
              <w:rPr>
                <w:rFonts w:eastAsia="Times" w:cs="Times New Roman"/>
                <w:sz w:val="21"/>
                <w:szCs w:val="21"/>
                <w:lang w:val="en-AU" w:eastAsia="en-US"/>
              </w:rPr>
            </w:pPr>
          </w:p>
        </w:tc>
      </w:tr>
      <w:tr w:rsidR="006E35F9" w:rsidRPr="00A00F3B" w14:paraId="278DA1E9"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6BFE3517"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Action plans with SCV or external agencies</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1247A673"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Action plan addressing a specific issue or opportunity for improvement, including clinical governance; models of care; emergency and planned surgery access</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61C93D40" w14:textId="41A364B1"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p w14:paraId="003FB84A" w14:textId="77777777" w:rsidR="006E35F9" w:rsidRDefault="006E35F9">
            <w:pPr>
              <w:spacing w:after="0" w:line="240" w:lineRule="auto"/>
              <w:contextualSpacing/>
              <w:rPr>
                <w:rFonts w:eastAsia="Times" w:cs="Times New Roman"/>
                <w:sz w:val="21"/>
                <w:szCs w:val="21"/>
                <w:lang w:val="en-AU" w:eastAsia="en-US"/>
              </w:rPr>
            </w:pPr>
          </w:p>
        </w:tc>
      </w:tr>
      <w:tr w:rsidR="006E35F9" w:rsidRPr="00A00F3B" w14:paraId="0DD61E79"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7F8935DE" w14:textId="77777777" w:rsidR="006E35F9" w:rsidRPr="00A00F3B" w:rsidRDefault="006E35F9">
            <w:pPr>
              <w:spacing w:after="0" w:line="240" w:lineRule="auto"/>
              <w:rPr>
                <w:rFonts w:eastAsia="Times" w:cs="Times New Roman"/>
                <w:sz w:val="21"/>
                <w:szCs w:val="21"/>
                <w:lang w:eastAsia="en-US"/>
              </w:rPr>
            </w:pPr>
            <w:r w:rsidRPr="00A00F3B">
              <w:rPr>
                <w:rFonts w:eastAsia="Times" w:cs="Times New Roman"/>
                <w:sz w:val="21"/>
                <w:szCs w:val="21"/>
                <w:lang w:val="en-AU" w:eastAsia="en-US"/>
              </w:rPr>
              <w:t>Direct engagement with Board Chairs</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4DE48626" w14:textId="3761D13E" w:rsidR="006E35F9" w:rsidRPr="00A00F3B" w:rsidRDefault="006E35F9">
            <w:pPr>
              <w:spacing w:after="0" w:line="240" w:lineRule="auto"/>
              <w:contextualSpacing/>
              <w:rPr>
                <w:rFonts w:eastAsia="Times" w:cs="Times New Roman"/>
                <w:sz w:val="21"/>
                <w:szCs w:val="21"/>
                <w:lang w:eastAsia="en-US"/>
              </w:rPr>
            </w:pPr>
            <w:r w:rsidRPr="00A00F3B">
              <w:rPr>
                <w:rFonts w:eastAsia="Times" w:cs="Times New Roman"/>
                <w:sz w:val="21"/>
                <w:szCs w:val="21"/>
                <w:lang w:eastAsia="en-US"/>
              </w:rPr>
              <w:t xml:space="preserve">Dialogue </w:t>
            </w:r>
            <w:r w:rsidR="00926316" w:rsidRPr="00A00F3B">
              <w:rPr>
                <w:rFonts w:eastAsia="Times" w:cs="Times New Roman"/>
                <w:sz w:val="21"/>
                <w:szCs w:val="21"/>
                <w:lang w:eastAsia="en-US"/>
              </w:rPr>
              <w:t>focused</w:t>
            </w:r>
            <w:r w:rsidRPr="00A00F3B">
              <w:rPr>
                <w:rFonts w:eastAsia="Times" w:cs="Times New Roman"/>
                <w:sz w:val="21"/>
                <w:szCs w:val="21"/>
                <w:lang w:eastAsia="en-US"/>
              </w:rPr>
              <w:t xml:space="preserve"> on improvement and innovation and addressing any areas of concern within the four domains</w:t>
            </w:r>
            <w:r w:rsidRPr="07A31D22">
              <w:rPr>
                <w:rFonts w:eastAsia="Times" w:cs="Times New Roman"/>
                <w:sz w:val="21"/>
                <w:szCs w:val="21"/>
                <w:lang w:eastAsia="en-US"/>
              </w:rPr>
              <w:t xml:space="preserve">. </w:t>
            </w:r>
            <w:r w:rsidRPr="00A00F3B">
              <w:rPr>
                <w:rFonts w:eastAsia="Times" w:cs="Times New Roman"/>
                <w:sz w:val="21"/>
                <w:szCs w:val="21"/>
                <w:lang w:eastAsia="en-US"/>
              </w:rPr>
              <w:t xml:space="preserve">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52FB4D6D"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tc>
      </w:tr>
      <w:tr w:rsidR="006E35F9" w:rsidRPr="00A00F3B" w14:paraId="6AE07E0E"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6A5BD38F" w14:textId="77777777" w:rsidR="006E35F9" w:rsidRPr="00A00F3B" w:rsidRDefault="006E35F9">
            <w:pPr>
              <w:spacing w:after="0" w:line="240" w:lineRule="auto"/>
              <w:rPr>
                <w:rFonts w:eastAsia="Times" w:cs="Times New Roman"/>
                <w:sz w:val="21"/>
                <w:szCs w:val="21"/>
                <w:lang w:eastAsia="en-US"/>
              </w:rPr>
            </w:pPr>
            <w:r w:rsidRPr="00A00F3B">
              <w:rPr>
                <w:rFonts w:eastAsia="Times" w:cs="Times New Roman"/>
                <w:sz w:val="21"/>
                <w:szCs w:val="21"/>
                <w:lang w:val="en-AU" w:eastAsia="en-US"/>
              </w:rPr>
              <w:t>Independent review</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5FCFF95A"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Where there is a performance concern that is not being adequately addressed, an independent review could assess clinical practice, governance or financial concerns and make recommendations for improvement</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489DDAD2" w14:textId="77777777" w:rsidR="006E35F9"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tc>
      </w:tr>
      <w:tr w:rsidR="006E35F9" w:rsidRPr="00A00F3B" w14:paraId="7A9DA855"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4150E223"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eastAsia="en-US"/>
              </w:rPr>
              <w:t>Department-sanctioned audit</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570026B7"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 department </w:t>
            </w:r>
            <w:r>
              <w:rPr>
                <w:rFonts w:eastAsia="Times" w:cs="Times New Roman"/>
                <w:sz w:val="21"/>
                <w:szCs w:val="21"/>
                <w:lang w:val="en-AU" w:eastAsia="en-US"/>
              </w:rPr>
              <w:t>needs</w:t>
            </w:r>
            <w:r w:rsidRPr="00A00F3B">
              <w:rPr>
                <w:rFonts w:eastAsia="Times" w:cs="Times New Roman"/>
                <w:sz w:val="21"/>
                <w:szCs w:val="21"/>
                <w:lang w:val="en-AU" w:eastAsia="en-US"/>
              </w:rPr>
              <w:t xml:space="preserve"> additional line of sight and/or additional detail about an area of concern regarding a health service’s performance or where the service is failing to develop or enact plans to address risk, underperformance or deterioration of performance</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3BDA17B1"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 xml:space="preserve">MIS (option </w:t>
            </w:r>
            <w:r w:rsidRPr="00A00F3B">
              <w:rPr>
                <w:rFonts w:eastAsia="Times" w:cs="Times New Roman"/>
                <w:sz w:val="21"/>
                <w:szCs w:val="21"/>
                <w:lang w:val="en-AU" w:eastAsia="en-US"/>
              </w:rPr>
              <w:t xml:space="preserve">following 3 quarters </w:t>
            </w:r>
            <w:r>
              <w:rPr>
                <w:rFonts w:eastAsia="Times" w:cs="Times New Roman"/>
                <w:sz w:val="21"/>
                <w:szCs w:val="21"/>
                <w:lang w:val="en-AU" w:eastAsia="en-US"/>
              </w:rPr>
              <w:t xml:space="preserve">in MIS </w:t>
            </w:r>
            <w:r w:rsidRPr="00A00F3B">
              <w:rPr>
                <w:rFonts w:eastAsia="Times" w:cs="Times New Roman"/>
                <w:sz w:val="21"/>
                <w:szCs w:val="21"/>
                <w:lang w:val="en-AU" w:eastAsia="en-US"/>
              </w:rPr>
              <w:t>without improvement</w:t>
            </w:r>
            <w:r>
              <w:rPr>
                <w:rFonts w:eastAsia="Times" w:cs="Times New Roman"/>
                <w:sz w:val="21"/>
                <w:szCs w:val="21"/>
                <w:lang w:val="en-AU" w:eastAsia="en-US"/>
              </w:rPr>
              <w:t xml:space="preserve">, or sooner </w:t>
            </w:r>
          </w:p>
          <w:p w14:paraId="38CBB9A4"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if there is an immediate and elevated risk and/or an extended period has already been spent in </w:t>
            </w:r>
            <w:r>
              <w:rPr>
                <w:rFonts w:eastAsia="Times" w:cs="Times New Roman"/>
                <w:sz w:val="21"/>
                <w:szCs w:val="21"/>
                <w:lang w:val="en-AU" w:eastAsia="en-US"/>
              </w:rPr>
              <w:t>PS</w:t>
            </w:r>
            <w:r w:rsidRPr="00A00F3B">
              <w:rPr>
                <w:rFonts w:eastAsia="Times" w:cs="Times New Roman"/>
                <w:sz w:val="21"/>
                <w:szCs w:val="21"/>
                <w:lang w:val="en-AU" w:eastAsia="en-US"/>
              </w:rPr>
              <w:t>)</w:t>
            </w:r>
          </w:p>
        </w:tc>
      </w:tr>
      <w:tr w:rsidR="006E35F9" w:rsidRPr="00A00F3B" w14:paraId="2C27D519"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0D4FCA54"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Limits or controls on expenditure or entering into contracts etc</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4911BF53"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 Secretary considers that the health service is not effectively managing its resources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39537056" w14:textId="3EA51975" w:rsidR="006E35F9"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p w14:paraId="48E59F94" w14:textId="0D0F9992" w:rsidR="00926316" w:rsidRPr="00A00F3B" w:rsidRDefault="00926316">
            <w:pPr>
              <w:spacing w:after="0" w:line="240" w:lineRule="auto"/>
              <w:contextualSpacing/>
              <w:rPr>
                <w:rFonts w:eastAsia="Times" w:cs="Times New Roman"/>
                <w:sz w:val="21"/>
                <w:szCs w:val="21"/>
                <w:lang w:val="en-AU" w:eastAsia="en-US"/>
              </w:rPr>
            </w:pPr>
          </w:p>
        </w:tc>
      </w:tr>
      <w:tr w:rsidR="006E35F9" w:rsidRPr="00A00F3B" w14:paraId="6633D727"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0F26DBE1"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Appointment of delegate to board</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60CDF844"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 Minister / Department </w:t>
            </w:r>
            <w:r>
              <w:rPr>
                <w:rFonts w:eastAsia="Times" w:cs="Times New Roman"/>
                <w:sz w:val="21"/>
                <w:szCs w:val="21"/>
                <w:lang w:val="en-AU" w:eastAsia="en-US"/>
              </w:rPr>
              <w:t>needs</w:t>
            </w:r>
            <w:r w:rsidRPr="00A00F3B">
              <w:rPr>
                <w:rFonts w:eastAsia="Times" w:cs="Times New Roman"/>
                <w:sz w:val="21"/>
                <w:szCs w:val="21"/>
                <w:lang w:val="en-AU" w:eastAsia="en-US"/>
              </w:rPr>
              <w:t xml:space="preserve"> to assess how the Board is functioning and performing, or where the Board could benefit from additional skills expertise</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58BA2503"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p w14:paraId="782ADBE6" w14:textId="77777777" w:rsidR="006E35F9" w:rsidRPr="00A00F3B" w:rsidRDefault="006E35F9">
            <w:pPr>
              <w:spacing w:after="0" w:line="240" w:lineRule="auto"/>
              <w:contextualSpacing/>
              <w:rPr>
                <w:rFonts w:eastAsia="Times" w:cs="Times New Roman"/>
                <w:sz w:val="21"/>
                <w:szCs w:val="21"/>
                <w:lang w:val="en-AU" w:eastAsia="en-US"/>
              </w:rPr>
            </w:pPr>
          </w:p>
          <w:p w14:paraId="1F42F168" w14:textId="77777777" w:rsidR="006E35F9" w:rsidRPr="00A00F3B" w:rsidRDefault="006E35F9">
            <w:pPr>
              <w:spacing w:after="0" w:line="240" w:lineRule="auto"/>
              <w:contextualSpacing/>
              <w:rPr>
                <w:rFonts w:eastAsia="Times" w:cs="Times New Roman"/>
                <w:sz w:val="21"/>
                <w:szCs w:val="21"/>
                <w:lang w:val="en-AU" w:eastAsia="en-US"/>
              </w:rPr>
            </w:pPr>
          </w:p>
        </w:tc>
      </w:tr>
      <w:tr w:rsidR="006E35F9" w:rsidRPr="00A00F3B" w14:paraId="54A7C0E1"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6DD1F218"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 xml:space="preserve">Suspend </w:t>
            </w:r>
            <w:r>
              <w:rPr>
                <w:rFonts w:eastAsia="Times" w:cs="Times New Roman"/>
                <w:sz w:val="21"/>
                <w:szCs w:val="21"/>
                <w:lang w:val="en-AU" w:eastAsia="en-US"/>
              </w:rPr>
              <w:t>services</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2A417762"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Where there is a quality and safety risk or event that necessitates a suspension</w:t>
            </w:r>
            <w:r>
              <w:rPr>
                <w:rFonts w:eastAsia="Times" w:cs="Times New Roman"/>
                <w:sz w:val="21"/>
                <w:szCs w:val="21"/>
                <w:lang w:val="en-AU" w:eastAsia="en-US"/>
              </w:rPr>
              <w:t xml:space="preserve"> of specific services</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2C8DBD66" w14:textId="77777777" w:rsidR="006E35F9" w:rsidRPr="00A00F3B" w:rsidRDefault="006E35F9">
            <w:pPr>
              <w:spacing w:after="0" w:line="240" w:lineRule="auto"/>
              <w:contextualSpacing/>
              <w:rPr>
                <w:rFonts w:eastAsia="Times" w:cs="Times New Roman"/>
                <w:sz w:val="21"/>
                <w:szCs w:val="21"/>
                <w:lang w:val="en-AU" w:eastAsia="en-US"/>
              </w:rPr>
            </w:pPr>
            <w:r w:rsidRPr="0056731A">
              <w:rPr>
                <w:rFonts w:eastAsia="Times" w:cs="Times New Roman"/>
                <w:sz w:val="21"/>
                <w:szCs w:val="21"/>
                <w:lang w:val="en-AU" w:eastAsia="en-US"/>
              </w:rPr>
              <w:t>MIS</w:t>
            </w:r>
          </w:p>
        </w:tc>
      </w:tr>
      <w:tr w:rsidR="006E35F9" w:rsidRPr="00A00F3B" w14:paraId="591F3C7C"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429F54E0"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Ministerial direction</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7587E6BF"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 Minister wishes to direct the health service as per their legislative authority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79AC1143" w14:textId="77777777" w:rsidR="006E35F9" w:rsidRPr="00A00F3B" w:rsidRDefault="006E35F9">
            <w:pPr>
              <w:spacing w:after="0" w:line="240" w:lineRule="auto"/>
              <w:contextualSpacing/>
              <w:rPr>
                <w:rFonts w:eastAsia="Times" w:cs="Times New Roman"/>
                <w:sz w:val="21"/>
                <w:szCs w:val="21"/>
                <w:lang w:val="en-AU" w:eastAsia="en-US"/>
              </w:rPr>
            </w:pPr>
            <w:r w:rsidRPr="0056731A">
              <w:rPr>
                <w:rFonts w:eastAsia="Times" w:cs="Times New Roman"/>
                <w:sz w:val="21"/>
                <w:szCs w:val="21"/>
                <w:lang w:val="en-AU" w:eastAsia="en-US"/>
              </w:rPr>
              <w:t>MIS</w:t>
            </w:r>
          </w:p>
        </w:tc>
      </w:tr>
      <w:tr w:rsidR="006E35F9" w:rsidRPr="00A00F3B" w14:paraId="08876BC2"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1E6058B6"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lastRenderedPageBreak/>
              <w:t xml:space="preserve">Ministerial censure </w:t>
            </w:r>
          </w:p>
          <w:p w14:paraId="7137F4AA" w14:textId="77777777" w:rsidR="006E35F9" w:rsidRPr="00A00F3B" w:rsidRDefault="006E35F9">
            <w:pPr>
              <w:spacing w:after="0" w:line="240" w:lineRule="auto"/>
              <w:rPr>
                <w:rFonts w:eastAsia="Times" w:cs="Times New Roman"/>
                <w:sz w:val="21"/>
                <w:szCs w:val="21"/>
                <w:lang w:val="en-AU" w:eastAsia="en-US"/>
              </w:rPr>
            </w:pP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0AB20098"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Where the Minister issues a censure, which is tabled in each House of the Parliament</w:t>
            </w:r>
            <w:r>
              <w:rPr>
                <w:rStyle w:val="FootnoteReference"/>
                <w:rFonts w:eastAsia="Times" w:cs="Times New Roman"/>
                <w:sz w:val="21"/>
                <w:szCs w:val="21"/>
                <w:lang w:val="en-AU" w:eastAsia="en-US"/>
              </w:rPr>
              <w:footnoteReference w:id="7"/>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69CD6ACF" w14:textId="77777777" w:rsidR="006E35F9" w:rsidRPr="00A00F3B" w:rsidRDefault="006E35F9">
            <w:pPr>
              <w:spacing w:after="0" w:line="240" w:lineRule="auto"/>
              <w:contextualSpacing/>
              <w:rPr>
                <w:rFonts w:eastAsia="Times" w:cs="Times New Roman"/>
                <w:sz w:val="21"/>
                <w:szCs w:val="21"/>
                <w:lang w:val="en-AU" w:eastAsia="en-US"/>
              </w:rPr>
            </w:pPr>
            <w:r w:rsidRPr="0056731A">
              <w:rPr>
                <w:rFonts w:eastAsia="Times" w:cs="Times New Roman"/>
                <w:sz w:val="21"/>
                <w:szCs w:val="21"/>
                <w:lang w:val="en-AU" w:eastAsia="en-US"/>
              </w:rPr>
              <w:t>MIS</w:t>
            </w:r>
          </w:p>
        </w:tc>
      </w:tr>
      <w:tr w:rsidR="006E35F9" w:rsidRPr="00A00F3B" w14:paraId="58FDDBA1"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4E3D9BCF"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Dismiss board and appoint administrator</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2C8F4617"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there is sustained and significant underperformance; or a catastrophic failure in governance; quality and safety or the performance and the Minister has lost confidence in the Board to execute its functions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0F80BDCB"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 xml:space="preserve">MIS (Minister may choose to recommend Governor in Council exercise this option </w:t>
            </w:r>
            <w:r w:rsidRPr="00A00F3B">
              <w:rPr>
                <w:rFonts w:eastAsia="Times" w:cs="Times New Roman"/>
                <w:sz w:val="21"/>
                <w:szCs w:val="21"/>
                <w:lang w:val="en-AU" w:eastAsia="en-US"/>
              </w:rPr>
              <w:t xml:space="preserve">following 6 quarters </w:t>
            </w:r>
            <w:r>
              <w:rPr>
                <w:rFonts w:eastAsia="Times" w:cs="Times New Roman"/>
                <w:sz w:val="21"/>
                <w:szCs w:val="21"/>
                <w:lang w:val="en-AU" w:eastAsia="en-US"/>
              </w:rPr>
              <w:t xml:space="preserve">in MIS </w:t>
            </w:r>
            <w:r w:rsidRPr="00A00F3B">
              <w:rPr>
                <w:rFonts w:eastAsia="Times" w:cs="Times New Roman"/>
                <w:sz w:val="21"/>
                <w:szCs w:val="21"/>
                <w:lang w:val="en-AU" w:eastAsia="en-US"/>
              </w:rPr>
              <w:t>without improvement</w:t>
            </w:r>
            <w:r>
              <w:rPr>
                <w:rFonts w:eastAsia="Times" w:cs="Times New Roman"/>
                <w:sz w:val="21"/>
                <w:szCs w:val="21"/>
                <w:lang w:val="en-AU" w:eastAsia="en-US"/>
              </w:rPr>
              <w:t>, or sooner in circumstances of catastrophic and systemic performance failure)</w:t>
            </w:r>
          </w:p>
        </w:tc>
      </w:tr>
      <w:tr w:rsidR="006E35F9" w:rsidRPr="00A00F3B" w14:paraId="136D98CE"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1DDF82E3"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Closure</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22ACF850"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Where there is sustained and significant underperformance; or a catastrophic failure in governance; quality and safety or performance and the health service is unlikely to be able to operate sustainably and effectively into the future</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60BED13A"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MIS</w:t>
            </w:r>
          </w:p>
        </w:tc>
      </w:tr>
    </w:tbl>
    <w:p w14:paraId="6E8BDE8A" w14:textId="769879D6" w:rsidR="006E35F9" w:rsidRPr="00F74723" w:rsidRDefault="00F74723" w:rsidP="006E35F9">
      <w:pPr>
        <w:rPr>
          <w:sz w:val="21"/>
          <w:szCs w:val="21"/>
        </w:rPr>
      </w:pPr>
      <w:r w:rsidRPr="00F74723">
        <w:rPr>
          <w:sz w:val="21"/>
          <w:szCs w:val="21"/>
        </w:rPr>
        <w:t>Note:</w:t>
      </w:r>
      <w:r w:rsidR="00926316">
        <w:rPr>
          <w:sz w:val="21"/>
          <w:szCs w:val="21"/>
        </w:rPr>
        <w:t xml:space="preserve"> </w:t>
      </w:r>
      <w:r w:rsidR="006A3432" w:rsidRPr="00F74723">
        <w:rPr>
          <w:sz w:val="21"/>
          <w:szCs w:val="21"/>
        </w:rPr>
        <w:t xml:space="preserve">Escalation options </w:t>
      </w:r>
      <w:r w:rsidR="00283F1D" w:rsidRPr="00F74723">
        <w:rPr>
          <w:sz w:val="21"/>
          <w:szCs w:val="21"/>
        </w:rPr>
        <w:t>may be</w:t>
      </w:r>
      <w:r w:rsidR="006A3432" w:rsidRPr="00F74723">
        <w:rPr>
          <w:sz w:val="21"/>
          <w:szCs w:val="21"/>
        </w:rPr>
        <w:t xml:space="preserve"> use for health services on Standard Oversight if deemed </w:t>
      </w:r>
      <w:r w:rsidRPr="00F74723">
        <w:rPr>
          <w:sz w:val="21"/>
          <w:szCs w:val="21"/>
        </w:rPr>
        <w:t xml:space="preserve">necessary. </w:t>
      </w:r>
    </w:p>
    <w:p w14:paraId="13BB0EF9" w14:textId="77777777" w:rsidR="001E01ED" w:rsidRDefault="001E01ED" w:rsidP="00744512">
      <w:pPr>
        <w:pStyle w:val="Heading4"/>
        <w:rPr>
          <w:color w:val="000000" w:themeColor="text1"/>
        </w:rPr>
      </w:pPr>
    </w:p>
    <w:p w14:paraId="7FE6B768" w14:textId="0A3A1AB0" w:rsidR="0060250D" w:rsidRDefault="0060250D">
      <w:pPr>
        <w:spacing w:line="279" w:lineRule="auto"/>
      </w:pPr>
      <w:r>
        <w:br w:type="page"/>
      </w:r>
    </w:p>
    <w:p w14:paraId="228A975F" w14:textId="77777777" w:rsidR="0060250D" w:rsidRDefault="0060250D" w:rsidP="0060250D"/>
    <w:p w14:paraId="726340C1" w14:textId="1291B037" w:rsidR="00101898" w:rsidRPr="009124CD" w:rsidRDefault="002F081D" w:rsidP="009124CD">
      <w:pPr>
        <w:pStyle w:val="Heading1"/>
        <w:numPr>
          <w:ilvl w:val="0"/>
          <w:numId w:val="0"/>
        </w:numPr>
        <w:ind w:left="567" w:hanging="567"/>
        <w:rPr>
          <w:color w:val="000000" w:themeColor="text1"/>
        </w:rPr>
      </w:pPr>
      <w:bookmarkStart w:id="138" w:name="_Toc211343305"/>
      <w:r w:rsidRPr="009124CD">
        <w:rPr>
          <w:color w:val="000000" w:themeColor="text1"/>
        </w:rPr>
        <w:t xml:space="preserve">Attachment 1 - </w:t>
      </w:r>
      <w:r w:rsidR="00CD093E" w:rsidRPr="009124CD">
        <w:rPr>
          <w:color w:val="000000" w:themeColor="text1"/>
        </w:rPr>
        <w:t>Health service notification process</w:t>
      </w:r>
      <w:bookmarkEnd w:id="138"/>
    </w:p>
    <w:p w14:paraId="05B77190" w14:textId="77777777" w:rsidR="00101898" w:rsidRPr="0035396E" w:rsidRDefault="00101898" w:rsidP="00101898">
      <w:pPr>
        <w:pStyle w:val="Body"/>
        <w:rPr>
          <w:szCs w:val="21"/>
        </w:rPr>
      </w:pPr>
      <w:r w:rsidRPr="0035396E">
        <w:rPr>
          <w:szCs w:val="21"/>
        </w:rPr>
        <w:t>Health services are required to inform</w:t>
      </w:r>
      <w:r w:rsidRPr="0035396E">
        <w:rPr>
          <w:b/>
          <w:szCs w:val="21"/>
        </w:rPr>
        <w:t xml:space="preserve"> </w:t>
      </w:r>
      <w:r w:rsidRPr="0035396E">
        <w:rPr>
          <w:szCs w:val="21"/>
        </w:rPr>
        <w:t xml:space="preserve">the </w:t>
      </w:r>
      <w:r>
        <w:rPr>
          <w:szCs w:val="21"/>
        </w:rPr>
        <w:t xml:space="preserve">Hospital and Health Services </w:t>
      </w:r>
      <w:r w:rsidRPr="0035396E">
        <w:rPr>
          <w:szCs w:val="21"/>
        </w:rPr>
        <w:t>(</w:t>
      </w:r>
      <w:r>
        <w:rPr>
          <w:szCs w:val="21"/>
        </w:rPr>
        <w:t>HHS</w:t>
      </w:r>
      <w:r w:rsidRPr="0035396E">
        <w:rPr>
          <w:szCs w:val="21"/>
        </w:rPr>
        <w:t>) Division in the Department of Health (the department) to seek support for and provide intelligence to the department in relation to critical emerging or high-risk issues. This includes matters related to safety, reputational, media or operational issues.</w:t>
      </w:r>
    </w:p>
    <w:p w14:paraId="698C52EA" w14:textId="77777777" w:rsidR="00101898" w:rsidRDefault="00101898" w:rsidP="00101898">
      <w:pPr>
        <w:pStyle w:val="Body"/>
        <w:rPr>
          <w:szCs w:val="21"/>
        </w:rPr>
      </w:pPr>
      <w:r w:rsidRPr="0035396E">
        <w:rPr>
          <w:szCs w:val="21"/>
        </w:rPr>
        <w:t>Early escalation can facilitate rapid response to emerging issues, support timely notification to the Department of Health Secretary and/or Minister for Health</w:t>
      </w:r>
      <w:r>
        <w:rPr>
          <w:szCs w:val="21"/>
        </w:rPr>
        <w:t xml:space="preserve"> or Minister for Ambulance Services</w:t>
      </w:r>
      <w:r w:rsidRPr="0035396E">
        <w:rPr>
          <w:szCs w:val="21"/>
        </w:rPr>
        <w:t>, and enable knowledge-sharing and system learning.</w:t>
      </w:r>
    </w:p>
    <w:p w14:paraId="4755BE4A" w14:textId="77777777" w:rsidR="00101898" w:rsidRPr="00D403E1" w:rsidRDefault="00101898" w:rsidP="00C02D14">
      <w:pPr>
        <w:pStyle w:val="Body"/>
        <w:numPr>
          <w:ilvl w:val="0"/>
          <w:numId w:val="24"/>
        </w:numPr>
        <w:spacing w:before="240"/>
        <w:rPr>
          <w:b/>
          <w:szCs w:val="21"/>
        </w:rPr>
      </w:pPr>
      <w:r w:rsidRPr="0028050A">
        <w:rPr>
          <w:b/>
          <w:szCs w:val="21"/>
        </w:rPr>
        <w:t>Health service performance issue</w:t>
      </w:r>
      <w:r>
        <w:rPr>
          <w:b/>
          <w:szCs w:val="21"/>
        </w:rPr>
        <w:t>s</w:t>
      </w:r>
    </w:p>
    <w:p w14:paraId="3F71EA36" w14:textId="77777777" w:rsidR="00101898" w:rsidRPr="000D2328" w:rsidRDefault="00101898" w:rsidP="00101898">
      <w:pPr>
        <w:pStyle w:val="DHHSbody"/>
        <w:rPr>
          <w:szCs w:val="21"/>
        </w:rPr>
      </w:pPr>
      <w:r w:rsidRPr="000D2328">
        <w:rPr>
          <w:szCs w:val="21"/>
        </w:rPr>
        <w:t xml:space="preserve">Should the following events be realised, the events are recorded as a breach and </w:t>
      </w:r>
      <w:r w:rsidRPr="00D403E1">
        <w:rPr>
          <w:b/>
          <w:bCs/>
          <w:szCs w:val="21"/>
        </w:rPr>
        <w:t>require escalation</w:t>
      </w:r>
      <w:r w:rsidRPr="000D2328">
        <w:rPr>
          <w:szCs w:val="21"/>
        </w:rPr>
        <w:t xml:space="preserve"> to the department:</w:t>
      </w:r>
    </w:p>
    <w:p w14:paraId="1032DE7B" w14:textId="77777777" w:rsidR="00101898" w:rsidRPr="000D2328" w:rsidRDefault="00101898" w:rsidP="00C02D14">
      <w:pPr>
        <w:pStyle w:val="DHHSbullet1"/>
        <w:numPr>
          <w:ilvl w:val="0"/>
          <w:numId w:val="23"/>
        </w:numPr>
        <w:spacing w:after="40"/>
        <w:rPr>
          <w:szCs w:val="21"/>
        </w:rPr>
      </w:pPr>
      <w:r w:rsidRPr="000D2328">
        <w:rPr>
          <w:szCs w:val="21"/>
        </w:rPr>
        <w:t>Emergency Care Triage Category 1 failure</w:t>
      </w:r>
    </w:p>
    <w:p w14:paraId="0A8DC564" w14:textId="77777777" w:rsidR="00101898" w:rsidRPr="000D2328" w:rsidRDefault="00101898" w:rsidP="00C02D14">
      <w:pPr>
        <w:pStyle w:val="DHHSbullet1"/>
        <w:numPr>
          <w:ilvl w:val="0"/>
          <w:numId w:val="23"/>
        </w:numPr>
        <w:spacing w:after="40"/>
        <w:rPr>
          <w:szCs w:val="21"/>
        </w:rPr>
      </w:pPr>
      <w:r w:rsidRPr="000D2328">
        <w:rPr>
          <w:szCs w:val="21"/>
        </w:rPr>
        <w:t>Elective Surgery Category 1 admissions</w:t>
      </w:r>
    </w:p>
    <w:p w14:paraId="7BDA4359" w14:textId="77777777" w:rsidR="00101898" w:rsidRPr="000D2328" w:rsidRDefault="00101898" w:rsidP="00C02D14">
      <w:pPr>
        <w:pStyle w:val="DHHSbullet1"/>
        <w:numPr>
          <w:ilvl w:val="0"/>
          <w:numId w:val="23"/>
        </w:numPr>
        <w:spacing w:after="40"/>
        <w:rPr>
          <w:szCs w:val="21"/>
        </w:rPr>
      </w:pPr>
      <w:r w:rsidRPr="000D2328">
        <w:rPr>
          <w:szCs w:val="21"/>
        </w:rPr>
        <w:t>Colonoscopy Category 1 not treated within recommended time</w:t>
      </w:r>
    </w:p>
    <w:p w14:paraId="7F56AC1B" w14:textId="77777777" w:rsidR="00101898" w:rsidRPr="000D2328" w:rsidRDefault="00101898" w:rsidP="00C02D14">
      <w:pPr>
        <w:pStyle w:val="DHHSbullet1"/>
        <w:numPr>
          <w:ilvl w:val="0"/>
          <w:numId w:val="23"/>
        </w:numPr>
        <w:spacing w:after="40"/>
        <w:rPr>
          <w:szCs w:val="21"/>
        </w:rPr>
      </w:pPr>
      <w:r w:rsidRPr="000D2328">
        <w:rPr>
          <w:szCs w:val="21"/>
        </w:rPr>
        <w:t>Non-compliance with the National Safety and Quality Health Service standards</w:t>
      </w:r>
    </w:p>
    <w:p w14:paraId="3B1594E6" w14:textId="77777777" w:rsidR="00101898" w:rsidRPr="004D31EC" w:rsidRDefault="00101898" w:rsidP="00C02D14">
      <w:pPr>
        <w:pStyle w:val="DHHSbullet1"/>
        <w:numPr>
          <w:ilvl w:val="0"/>
          <w:numId w:val="23"/>
        </w:numPr>
        <w:spacing w:after="40"/>
        <w:rPr>
          <w:szCs w:val="21"/>
        </w:rPr>
      </w:pPr>
      <w:bookmarkStart w:id="139" w:name="_Hlk10128190"/>
      <w:r w:rsidRPr="000D2328">
        <w:rPr>
          <w:color w:val="000000"/>
          <w:szCs w:val="21"/>
          <w:lang w:eastAsia="en-AU"/>
        </w:rPr>
        <w:t>Non-compliance with Aged Care Standards</w:t>
      </w:r>
      <w:bookmarkEnd w:id="139"/>
    </w:p>
    <w:p w14:paraId="45FE1698" w14:textId="77777777" w:rsidR="00101898" w:rsidRPr="000D2328" w:rsidRDefault="00101898" w:rsidP="00C02D14">
      <w:pPr>
        <w:pStyle w:val="DHHSbullet1"/>
        <w:numPr>
          <w:ilvl w:val="0"/>
          <w:numId w:val="23"/>
        </w:numPr>
        <w:spacing w:after="40"/>
        <w:rPr>
          <w:szCs w:val="21"/>
        </w:rPr>
      </w:pPr>
      <w:r>
        <w:rPr>
          <w:color w:val="000000"/>
          <w:szCs w:val="21"/>
          <w:lang w:eastAsia="en-AU"/>
        </w:rPr>
        <w:t>Significant media issues</w:t>
      </w:r>
      <w:r w:rsidRPr="000D2328">
        <w:rPr>
          <w:color w:val="000000"/>
          <w:szCs w:val="21"/>
          <w:lang w:eastAsia="en-AU"/>
        </w:rPr>
        <w:t>.</w:t>
      </w:r>
    </w:p>
    <w:p w14:paraId="3FB5934B" w14:textId="77777777" w:rsidR="00101898" w:rsidRPr="000D2328" w:rsidRDefault="00101898" w:rsidP="00101898">
      <w:pPr>
        <w:pStyle w:val="Body"/>
        <w:rPr>
          <w:szCs w:val="21"/>
        </w:rPr>
      </w:pPr>
      <w:r>
        <w:rPr>
          <w:szCs w:val="21"/>
        </w:rPr>
        <w:t>H</w:t>
      </w:r>
      <w:r w:rsidRPr="000D2328">
        <w:rPr>
          <w:szCs w:val="21"/>
        </w:rPr>
        <w:t xml:space="preserve">ealth services are </w:t>
      </w:r>
      <w:r w:rsidRPr="00D403E1">
        <w:rPr>
          <w:b/>
          <w:bCs/>
          <w:szCs w:val="21"/>
        </w:rPr>
        <w:t xml:space="preserve">required to notify the department </w:t>
      </w:r>
      <w:r w:rsidRPr="000D2328">
        <w:rPr>
          <w:szCs w:val="21"/>
        </w:rPr>
        <w:t>(via the health performance Director for the relevant geographic catchment) within 24 hours of a breach or becoming aware of a breach. Notification will include the circumstances and response to the breach, including whether patient safety has been compromised.</w:t>
      </w:r>
    </w:p>
    <w:p w14:paraId="33E0886D" w14:textId="77777777" w:rsidR="00101898" w:rsidRPr="00FC18D9" w:rsidRDefault="00101898" w:rsidP="00101898">
      <w:pPr>
        <w:pStyle w:val="Body"/>
      </w:pPr>
      <w:r w:rsidRPr="000D2328">
        <w:rPr>
          <w:szCs w:val="21"/>
        </w:rPr>
        <w:t xml:space="preserve">In the case of </w:t>
      </w:r>
      <w:r w:rsidRPr="00C713CB">
        <w:rPr>
          <w:b/>
          <w:szCs w:val="21"/>
        </w:rPr>
        <w:t>24-hour emergency department breaches</w:t>
      </w:r>
      <w:r w:rsidRPr="000D2328">
        <w:rPr>
          <w:szCs w:val="21"/>
        </w:rPr>
        <w:t xml:space="preserve">, health services are required to report the breach via standard VEMD process within 24 hours of a breach or becoming aware of a breach. </w:t>
      </w:r>
      <w:r>
        <w:rPr>
          <w:szCs w:val="21"/>
        </w:rPr>
        <w:t>T</w:t>
      </w:r>
      <w:r w:rsidRPr="000D2328">
        <w:rPr>
          <w:szCs w:val="21"/>
        </w:rPr>
        <w:t xml:space="preserve">he department will </w:t>
      </w:r>
      <w:r>
        <w:rPr>
          <w:szCs w:val="21"/>
        </w:rPr>
        <w:t xml:space="preserve">track these breaches via an Emergency Department dashboard and </w:t>
      </w:r>
      <w:r w:rsidRPr="000D2328">
        <w:rPr>
          <w:szCs w:val="21"/>
        </w:rPr>
        <w:t>will seek</w:t>
      </w:r>
      <w:r>
        <w:rPr>
          <w:szCs w:val="21"/>
        </w:rPr>
        <w:t xml:space="preserve"> further detail</w:t>
      </w:r>
      <w:r w:rsidRPr="000D2328">
        <w:rPr>
          <w:szCs w:val="21"/>
        </w:rPr>
        <w:t xml:space="preserve"> on operational factors contributing to breaches </w:t>
      </w:r>
      <w:r>
        <w:rPr>
          <w:szCs w:val="21"/>
        </w:rPr>
        <w:t>and steps taken by a health service in response. Further detail will be provided on reporting</w:t>
      </w:r>
      <w:r w:rsidRPr="000D2328">
        <w:rPr>
          <w:szCs w:val="21"/>
        </w:rPr>
        <w:t xml:space="preserve"> </w:t>
      </w:r>
      <w:r>
        <w:rPr>
          <w:szCs w:val="21"/>
        </w:rPr>
        <w:t>required</w:t>
      </w:r>
      <w:r w:rsidRPr="000D2328">
        <w:rPr>
          <w:szCs w:val="21"/>
        </w:rPr>
        <w:t>.</w:t>
      </w:r>
    </w:p>
    <w:p w14:paraId="47DE91D1" w14:textId="77777777" w:rsidR="00101898" w:rsidRPr="0028050A" w:rsidRDefault="00101898" w:rsidP="00C02D14">
      <w:pPr>
        <w:pStyle w:val="Body"/>
        <w:numPr>
          <w:ilvl w:val="0"/>
          <w:numId w:val="24"/>
        </w:numPr>
        <w:spacing w:before="240"/>
        <w:rPr>
          <w:b/>
          <w:szCs w:val="21"/>
        </w:rPr>
      </w:pPr>
      <w:r w:rsidRPr="0028050A">
        <w:rPr>
          <w:b/>
          <w:szCs w:val="21"/>
        </w:rPr>
        <w:t>Health system incident management</w:t>
      </w:r>
    </w:p>
    <w:p w14:paraId="408CDF0F" w14:textId="77777777" w:rsidR="00101898" w:rsidRDefault="00101898" w:rsidP="00101898">
      <w:pPr>
        <w:pStyle w:val="Body"/>
        <w:rPr>
          <w:szCs w:val="21"/>
        </w:rPr>
      </w:pPr>
      <w:r w:rsidRPr="0028050A">
        <w:rPr>
          <w:szCs w:val="21"/>
        </w:rPr>
        <w:t>These incidents may impact one or multiple health services but have an impact on the wider health system and exceed the threshold for management through a health services’ business continuity plan</w:t>
      </w:r>
      <w:r>
        <w:rPr>
          <w:szCs w:val="21"/>
        </w:rPr>
        <w:t>.</w:t>
      </w:r>
      <w:r w:rsidRPr="0028050A">
        <w:rPr>
          <w:szCs w:val="21"/>
        </w:rPr>
        <w:t xml:space="preserve"> If there is a health system incident that has a </w:t>
      </w:r>
      <w:r w:rsidRPr="0028050A">
        <w:rPr>
          <w:b/>
          <w:szCs w:val="21"/>
        </w:rPr>
        <w:t>significant</w:t>
      </w:r>
      <w:r w:rsidRPr="0028050A">
        <w:rPr>
          <w:szCs w:val="21"/>
        </w:rPr>
        <w:t xml:space="preserve"> </w:t>
      </w:r>
      <w:r w:rsidRPr="00A85A7E">
        <w:rPr>
          <w:b/>
          <w:bCs/>
          <w:szCs w:val="21"/>
        </w:rPr>
        <w:t>impact</w:t>
      </w:r>
      <w:r w:rsidRPr="0028050A">
        <w:rPr>
          <w:szCs w:val="21"/>
        </w:rPr>
        <w:t xml:space="preserve"> on patient treatment and outcomes and the ability of services to provide health care to the community, health services are required to notify the department who will assess the severity and scale and determine an appropriate response to support services.</w:t>
      </w:r>
    </w:p>
    <w:p w14:paraId="77561E02" w14:textId="77777777" w:rsidR="00101898" w:rsidRDefault="00101898" w:rsidP="00101898">
      <w:pPr>
        <w:pStyle w:val="Body"/>
        <w:rPr>
          <w:szCs w:val="21"/>
        </w:rPr>
      </w:pPr>
      <w:r>
        <w:rPr>
          <w:szCs w:val="21"/>
        </w:rPr>
        <w:t>Examples of a health system incidents may include:</w:t>
      </w:r>
    </w:p>
    <w:p w14:paraId="3DCA3195" w14:textId="77777777" w:rsidR="00101898" w:rsidRPr="00350C7F" w:rsidRDefault="00101898" w:rsidP="00C02D14">
      <w:pPr>
        <w:pStyle w:val="DHHSbullet1"/>
        <w:numPr>
          <w:ilvl w:val="0"/>
          <w:numId w:val="23"/>
        </w:numPr>
        <w:spacing w:after="40"/>
        <w:rPr>
          <w:szCs w:val="21"/>
        </w:rPr>
      </w:pPr>
      <w:r w:rsidRPr="00350C7F">
        <w:rPr>
          <w:szCs w:val="21"/>
        </w:rPr>
        <w:t xml:space="preserve">Significant infrastructure failure, such as flooding, washer failures where service delivery or patient care is impacted.  </w:t>
      </w:r>
    </w:p>
    <w:p w14:paraId="10DCE88A" w14:textId="77777777" w:rsidR="00101898" w:rsidRPr="00350C7F" w:rsidRDefault="00101898" w:rsidP="00C02D14">
      <w:pPr>
        <w:pStyle w:val="DHHSbullet1"/>
        <w:numPr>
          <w:ilvl w:val="0"/>
          <w:numId w:val="23"/>
        </w:numPr>
        <w:spacing w:after="40"/>
        <w:rPr>
          <w:szCs w:val="21"/>
        </w:rPr>
      </w:pPr>
      <w:r w:rsidRPr="00350C7F">
        <w:rPr>
          <w:szCs w:val="21"/>
        </w:rPr>
        <w:t>Supply chain issues, such as pharmaceutical or prosthesis availability impacting safe delivery of services to patients.</w:t>
      </w:r>
    </w:p>
    <w:p w14:paraId="495A17AF" w14:textId="059700E3" w:rsidR="003C6689" w:rsidRPr="00545A37" w:rsidRDefault="00101898" w:rsidP="00545A37">
      <w:pPr>
        <w:pStyle w:val="DHHSbullet1"/>
        <w:numPr>
          <w:ilvl w:val="0"/>
          <w:numId w:val="23"/>
        </w:numPr>
        <w:spacing w:after="40"/>
        <w:rPr>
          <w:szCs w:val="21"/>
        </w:rPr>
      </w:pPr>
      <w:r w:rsidRPr="00350C7F">
        <w:rPr>
          <w:szCs w:val="21"/>
        </w:rPr>
        <w:t>Patient flow restrictions impacting access to services and care in ED, particularly those incidents resulting in delays to ambulance patient transfer (in excess of baseline).</w:t>
      </w:r>
    </w:p>
    <w:p w14:paraId="1DA2D091" w14:textId="77777777" w:rsidR="00101898" w:rsidRPr="0028050A" w:rsidRDefault="00101898" w:rsidP="00C02D14">
      <w:pPr>
        <w:pStyle w:val="Body"/>
        <w:numPr>
          <w:ilvl w:val="0"/>
          <w:numId w:val="24"/>
        </w:numPr>
        <w:spacing w:before="240"/>
        <w:rPr>
          <w:b/>
          <w:szCs w:val="21"/>
        </w:rPr>
      </w:pPr>
      <w:r w:rsidRPr="0028050A">
        <w:rPr>
          <w:b/>
          <w:szCs w:val="21"/>
        </w:rPr>
        <w:t xml:space="preserve">Health system </w:t>
      </w:r>
      <w:r>
        <w:rPr>
          <w:b/>
          <w:szCs w:val="21"/>
        </w:rPr>
        <w:t>emergencies</w:t>
      </w:r>
    </w:p>
    <w:p w14:paraId="0A280666" w14:textId="77777777" w:rsidR="00101898" w:rsidRDefault="00101898" w:rsidP="00101898">
      <w:pPr>
        <w:pStyle w:val="Body"/>
      </w:pPr>
      <w:r>
        <w:t>Health services and the health system may be impacted by health emergencies and natural hazard emergencies (such as heatwaves, fires, floods and storms) that have impacts on human health and the health system.</w:t>
      </w:r>
    </w:p>
    <w:p w14:paraId="3C8A219D" w14:textId="77777777" w:rsidR="00101898" w:rsidRDefault="00101898" w:rsidP="00101898">
      <w:pPr>
        <w:pStyle w:val="Body"/>
      </w:pPr>
      <w:r>
        <w:lastRenderedPageBreak/>
        <w:t>A health emergency is an emerging, imminent or actual threat or risk to the health and wellbeing of the Victorian community that requires a significant and coordinated effort from the health system and others to ensure the effective response to and relief and recovery from the emergency.</w:t>
      </w:r>
    </w:p>
    <w:p w14:paraId="007320AC" w14:textId="47B95404" w:rsidR="00101898" w:rsidRPr="001C0446" w:rsidRDefault="00101898" w:rsidP="001C0446">
      <w:pPr>
        <w:rPr>
          <w:b/>
          <w:bCs/>
          <w:sz w:val="24"/>
          <w:szCs w:val="24"/>
        </w:rPr>
      </w:pPr>
      <w:r w:rsidRPr="001C0446">
        <w:rPr>
          <w:b/>
          <w:bCs/>
          <w:sz w:val="24"/>
          <w:szCs w:val="24"/>
        </w:rPr>
        <w:t>How to contact the department</w:t>
      </w:r>
    </w:p>
    <w:p w14:paraId="5BB90820" w14:textId="77777777" w:rsidR="00101898" w:rsidRPr="008F672A" w:rsidRDefault="00101898" w:rsidP="00C02D14">
      <w:pPr>
        <w:pStyle w:val="Body"/>
        <w:numPr>
          <w:ilvl w:val="0"/>
          <w:numId w:val="25"/>
        </w:numPr>
        <w:spacing w:before="240"/>
        <w:rPr>
          <w:b/>
          <w:bCs/>
          <w:szCs w:val="21"/>
        </w:rPr>
      </w:pPr>
      <w:r w:rsidRPr="008F672A">
        <w:rPr>
          <w:b/>
          <w:bCs/>
          <w:szCs w:val="21"/>
        </w:rPr>
        <w:t>Health system emergency</w:t>
      </w:r>
    </w:p>
    <w:p w14:paraId="6479A2D1" w14:textId="77777777" w:rsidR="00101898" w:rsidRPr="00535B3A" w:rsidRDefault="00101898" w:rsidP="00101898">
      <w:pPr>
        <w:pStyle w:val="Body"/>
      </w:pPr>
      <w:r w:rsidRPr="003356D2">
        <w:t>During an emergency or if you need to call a Code Brown, please immediately notify the department’s State Emergency Management Centre on 1300 790 733 (24 hrs, seven days a week).</w:t>
      </w:r>
    </w:p>
    <w:p w14:paraId="29682683" w14:textId="19C1E187" w:rsidR="00101898" w:rsidRPr="00535B3A" w:rsidRDefault="00101898" w:rsidP="00101898">
      <w:pPr>
        <w:pStyle w:val="Body"/>
      </w:pPr>
      <w:r w:rsidRPr="00535B3A">
        <w:t>Please ask the call operator to speak to the </w:t>
      </w:r>
      <w:r w:rsidR="00087203" w:rsidRPr="00535B3A">
        <w:rPr>
          <w:b/>
          <w:bCs/>
        </w:rPr>
        <w:t>health</w:t>
      </w:r>
      <w:r w:rsidRPr="00535B3A">
        <w:rPr>
          <w:b/>
          <w:bCs/>
        </w:rPr>
        <w:t xml:space="preserve"> - State Duty Officer</w:t>
      </w:r>
      <w:r w:rsidRPr="00535B3A">
        <w:t>; and leave your name and phone number. The State Duty Officer will immediately return your call.</w:t>
      </w:r>
    </w:p>
    <w:p w14:paraId="1B9A295D" w14:textId="77777777" w:rsidR="00101898" w:rsidRPr="008F672A" w:rsidRDefault="00101898" w:rsidP="00C02D14">
      <w:pPr>
        <w:pStyle w:val="Body"/>
        <w:numPr>
          <w:ilvl w:val="0"/>
          <w:numId w:val="25"/>
        </w:numPr>
        <w:spacing w:before="240"/>
        <w:rPr>
          <w:b/>
          <w:bCs/>
          <w:szCs w:val="21"/>
        </w:rPr>
      </w:pPr>
      <w:r w:rsidRPr="008F672A">
        <w:rPr>
          <w:b/>
          <w:bCs/>
          <w:szCs w:val="21"/>
        </w:rPr>
        <w:t xml:space="preserve">Health system incident and/or health service performance issue </w:t>
      </w:r>
    </w:p>
    <w:p w14:paraId="043189FD" w14:textId="2F56EC05" w:rsidR="00101898" w:rsidRPr="0028050A" w:rsidRDefault="00101898" w:rsidP="00101898">
      <w:pPr>
        <w:pStyle w:val="Body"/>
        <w:rPr>
          <w:szCs w:val="21"/>
        </w:rPr>
      </w:pPr>
      <w:r w:rsidRPr="0028050A">
        <w:rPr>
          <w:szCs w:val="21"/>
        </w:rPr>
        <w:t xml:space="preserve">Monday to Friday 8am to 5pm please contact your </w:t>
      </w:r>
      <w:r w:rsidR="008A3F09" w:rsidRPr="008A3F09">
        <w:rPr>
          <w:szCs w:val="21"/>
        </w:rPr>
        <w:t xml:space="preserve">Health Service Support and Improvement contact </w:t>
      </w:r>
      <w:r w:rsidRPr="0028050A">
        <w:rPr>
          <w:szCs w:val="21"/>
        </w:rPr>
        <w:t>or executive directly by phone or email</w:t>
      </w:r>
      <w:r w:rsidRPr="008F2AA8">
        <w:rPr>
          <w:rFonts w:cs="Arial"/>
          <w:szCs w:val="21"/>
        </w:rPr>
        <w:t xml:space="preserve"> </w:t>
      </w:r>
      <w:r w:rsidRPr="0028050A">
        <w:rPr>
          <w:rFonts w:cs="Arial"/>
          <w:szCs w:val="21"/>
        </w:rPr>
        <w:t>to notify of any critical emerging or high-risk issues and/or health system incidents.</w:t>
      </w:r>
      <w:r w:rsidRPr="0028050A">
        <w:rPr>
          <w:szCs w:val="21"/>
        </w:rPr>
        <w:t xml:space="preserve"> </w:t>
      </w:r>
    </w:p>
    <w:p w14:paraId="110C0A58" w14:textId="77777777" w:rsidR="00101898" w:rsidRPr="00A60D8D" w:rsidRDefault="00101898" w:rsidP="00A60D8D">
      <w:pPr>
        <w:pStyle w:val="Body"/>
        <w:rPr>
          <w:szCs w:val="21"/>
        </w:rPr>
      </w:pPr>
      <w:r w:rsidRPr="00350C7F">
        <w:rPr>
          <w:szCs w:val="21"/>
        </w:rPr>
        <w:t>For all other times (i.e. from 12am until 8am) including</w:t>
      </w:r>
      <w:r w:rsidRPr="0028050A">
        <w:rPr>
          <w:szCs w:val="21"/>
        </w:rPr>
        <w:t xml:space="preserve"> weekends and public holidays please call </w:t>
      </w:r>
      <w:r w:rsidRPr="0028050A">
        <w:rPr>
          <w:b/>
          <w:szCs w:val="21"/>
        </w:rPr>
        <w:t>1300 528 552</w:t>
      </w:r>
      <w:r w:rsidRPr="0028050A">
        <w:rPr>
          <w:szCs w:val="21"/>
        </w:rPr>
        <w:t xml:space="preserve"> or email </w:t>
      </w:r>
      <w:hyperlink r:id="rId38" w:history="1">
        <w:r w:rsidRPr="0028050A">
          <w:rPr>
            <w:rStyle w:val="Hyperlink"/>
            <w:szCs w:val="21"/>
          </w:rPr>
          <w:t>hsim@health.vic.gov.au</w:t>
        </w:r>
      </w:hyperlink>
      <w:r w:rsidRPr="0028050A">
        <w:rPr>
          <w:szCs w:val="21"/>
        </w:rPr>
        <w:t xml:space="preserve">  </w:t>
      </w:r>
    </w:p>
    <w:p w14:paraId="5C3EBFDB" w14:textId="77777777" w:rsidR="00A60D8D" w:rsidRDefault="00A60D8D" w:rsidP="0060250D"/>
    <w:p w14:paraId="721E7633" w14:textId="6E531DE8" w:rsidR="00A60D8D" w:rsidRPr="0060250D" w:rsidRDefault="00A60D8D" w:rsidP="0060250D">
      <w:pPr>
        <w:sectPr w:rsidR="00A60D8D" w:rsidRPr="0060250D" w:rsidSect="00997C8F">
          <w:pgSz w:w="12240" w:h="15840"/>
          <w:pgMar w:top="567" w:right="851" w:bottom="567" w:left="851" w:header="720" w:footer="720" w:gutter="0"/>
          <w:cols w:space="720"/>
          <w:docGrid w:linePitch="360"/>
        </w:sectPr>
      </w:pPr>
      <w:r>
        <w:rPr>
          <w:noProof/>
          <w:sz w:val="22"/>
          <w:szCs w:val="22"/>
        </w:rPr>
        <w:drawing>
          <wp:inline distT="0" distB="0" distL="0" distR="0" wp14:anchorId="05AF35F6" wp14:editId="737B8CBD">
            <wp:extent cx="5471770" cy="2618060"/>
            <wp:effectExtent l="0" t="0" r="0" b="0"/>
            <wp:docPr id="34" name="Picture 34" descr="How to contact the department&#10;During an emergency or if you need to call a Code Brown, please immediately notify the department’s State Emergency Management Centre on 1300 790 733 (24 hrs, seven days a week). Please ask the call operator to speak to the health - State Duty Officer; and leave your name and phone number. The State Duty Officer will immediately return your call.&#10;For Health system incidents and/or health service performance issues &#10;Monday to Friday 8am to 5pm please contact your usual HHS performance lead manager or executive directly by phone or email to notify of any critical emerging or high-risk issues and/or health system incidents. &#10;After hours Monday to Friday from 5pm to 12am please contact the relevant HHS performance Executive Director below directly by phone if the issue is a significant health system incid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ow to contact the department&#10;During an emergency or if you need to call a Code Brown, please immediately notify the department’s State Emergency Management Centre on 1300 790 733 (24 hrs, seven days a week). Please ask the call operator to speak to the health - State Duty Officer; and leave your name and phone number. The State Duty Officer will immediately return your call.&#10;For Health system incidents and/or health service performance issues &#10;Monday to Friday 8am to 5pm please contact your usual HHS performance lead manager or executive directly by phone or email to notify of any critical emerging or high-risk issues and/or health system incidents. &#10;After hours Monday to Friday from 5pm to 12am please contact the relevant HHS performance Executive Director below directly by phone if the issue is a significant health system incident.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13985" cy="2686105"/>
                    </a:xfrm>
                    <a:prstGeom prst="rect">
                      <a:avLst/>
                    </a:prstGeom>
                    <a:noFill/>
                  </pic:spPr>
                </pic:pic>
              </a:graphicData>
            </a:graphic>
          </wp:inline>
        </w:drawing>
      </w:r>
    </w:p>
    <w:p w14:paraId="06E54DD2" w14:textId="6F0CC8AF" w:rsidR="006E35F9" w:rsidRPr="004E0899" w:rsidRDefault="00624EC8" w:rsidP="004E0899">
      <w:pPr>
        <w:pStyle w:val="Heading1"/>
        <w:numPr>
          <w:ilvl w:val="0"/>
          <w:numId w:val="0"/>
        </w:numPr>
        <w:ind w:left="567" w:hanging="567"/>
        <w:rPr>
          <w:color w:val="000000" w:themeColor="text1"/>
        </w:rPr>
      </w:pPr>
      <w:bookmarkStart w:id="140" w:name="_Toc211343306"/>
      <w:r w:rsidRPr="004E0899">
        <w:rPr>
          <w:color w:val="000000" w:themeColor="text1"/>
        </w:rPr>
        <w:lastRenderedPageBreak/>
        <w:t xml:space="preserve">Attachment </w:t>
      </w:r>
      <w:r w:rsidR="0060250D" w:rsidRPr="004E0899">
        <w:rPr>
          <w:color w:val="000000" w:themeColor="text1"/>
        </w:rPr>
        <w:t>2</w:t>
      </w:r>
      <w:r w:rsidRPr="004E0899">
        <w:rPr>
          <w:color w:val="000000" w:themeColor="text1"/>
        </w:rPr>
        <w:t xml:space="preserve"> - </w:t>
      </w:r>
      <w:r w:rsidR="00744512" w:rsidRPr="004E0899">
        <w:rPr>
          <w:color w:val="000000" w:themeColor="text1"/>
        </w:rPr>
        <w:t>Temporary Capability Change Notification Template</w:t>
      </w:r>
      <w:bookmarkEnd w:id="140"/>
    </w:p>
    <w:p w14:paraId="628310BE" w14:textId="6C4BFAA5" w:rsidR="00987E42" w:rsidRDefault="002A0694" w:rsidP="00561B07">
      <w:r w:rsidRPr="002A0694">
        <w:rPr>
          <w:noProof/>
        </w:rPr>
        <w:drawing>
          <wp:inline distT="0" distB="0" distL="0" distR="0" wp14:anchorId="39DB8BD8" wp14:editId="14135B8A">
            <wp:extent cx="7658494" cy="4045158"/>
            <wp:effectExtent l="0" t="0" r="0" b="0"/>
            <wp:docPr id="2855427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42745" name="Picture 1">
                      <a:extLst>
                        <a:ext uri="{C183D7F6-B498-43B3-948B-1728B52AA6E4}">
                          <adec:decorative xmlns:adec="http://schemas.microsoft.com/office/drawing/2017/decorative" val="1"/>
                        </a:ext>
                      </a:extLst>
                    </pic:cNvPr>
                    <pic:cNvPicPr/>
                  </pic:nvPicPr>
                  <pic:blipFill>
                    <a:blip r:embed="rId40"/>
                    <a:stretch>
                      <a:fillRect/>
                    </a:stretch>
                  </pic:blipFill>
                  <pic:spPr>
                    <a:xfrm>
                      <a:off x="0" y="0"/>
                      <a:ext cx="7658494" cy="4045158"/>
                    </a:xfrm>
                    <a:prstGeom prst="rect">
                      <a:avLst/>
                    </a:prstGeom>
                  </pic:spPr>
                </pic:pic>
              </a:graphicData>
            </a:graphic>
          </wp:inline>
        </w:drawing>
      </w:r>
    </w:p>
    <w:p w14:paraId="0B9BD4AD" w14:textId="77777777" w:rsidR="00660CCC" w:rsidRDefault="00660CCC" w:rsidP="00660CCC"/>
    <w:p w14:paraId="0AB5DF32" w14:textId="77777777" w:rsidR="00660CCC" w:rsidRPr="00660CCC" w:rsidRDefault="00660CCC" w:rsidP="00660CCC">
      <w:pPr>
        <w:jc w:val="center"/>
      </w:pPr>
    </w:p>
    <w:sectPr w:rsidR="00660CCC" w:rsidRPr="00660CCC" w:rsidSect="001E01ED">
      <w:pgSz w:w="15840" w:h="12240" w:orient="landscape"/>
      <w:pgMar w:top="851" w:right="567"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99AB" w14:textId="77777777" w:rsidR="00104859" w:rsidRDefault="00104859" w:rsidP="00406B3C">
      <w:r>
        <w:separator/>
      </w:r>
    </w:p>
  </w:endnote>
  <w:endnote w:type="continuationSeparator" w:id="0">
    <w:p w14:paraId="3FB3EA3B" w14:textId="77777777" w:rsidR="00104859" w:rsidRDefault="00104859" w:rsidP="00406B3C">
      <w:r>
        <w:continuationSeparator/>
      </w:r>
    </w:p>
  </w:endnote>
  <w:endnote w:type="continuationNotice" w:id="1">
    <w:p w14:paraId="152719EE" w14:textId="77777777" w:rsidR="00104859" w:rsidRDefault="00104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7210" w14:textId="0FA1833F" w:rsidR="002E05D3" w:rsidRDefault="001E1CFD">
    <w:pPr>
      <w:pStyle w:val="Footer"/>
    </w:pPr>
    <w:r>
      <w:rPr>
        <w:noProof/>
      </w:rPr>
      <mc:AlternateContent>
        <mc:Choice Requires="wps">
          <w:drawing>
            <wp:anchor distT="0" distB="0" distL="0" distR="0" simplePos="0" relativeHeight="251658241" behindDoc="0" locked="0" layoutInCell="1" allowOverlap="1" wp14:anchorId="26A53735" wp14:editId="648C5E2A">
              <wp:simplePos x="635" y="635"/>
              <wp:positionH relativeFrom="page">
                <wp:align>center</wp:align>
              </wp:positionH>
              <wp:positionV relativeFrom="page">
                <wp:align>bottom</wp:align>
              </wp:positionV>
              <wp:extent cx="656590" cy="396240"/>
              <wp:effectExtent l="0" t="0" r="10160" b="0"/>
              <wp:wrapNone/>
              <wp:docPr id="95795074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5D958C1F" w14:textId="4D2D5974" w:rsidR="001E1CFD" w:rsidRPr="001E1CFD" w:rsidRDefault="001E1CFD" w:rsidP="001E1CFD">
                          <w:pPr>
                            <w:spacing w:after="0"/>
                            <w:rPr>
                              <w:rFonts w:ascii="Arial Black" w:eastAsia="Arial Black" w:hAnsi="Arial Black" w:cs="Arial Black"/>
                              <w:noProof/>
                              <w:color w:val="000000"/>
                            </w:rPr>
                          </w:pPr>
                          <w:r w:rsidRPr="001E1CFD">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53735" id="_x0000_t202" coordsize="21600,21600" o:spt="202" path="m,l,21600r21600,l21600,xe">
              <v:stroke joinstyle="miter"/>
              <v:path gradientshapeok="t" o:connecttype="rect"/>
            </v:shapetype>
            <v:shape id="Text Box 2" o:spid="_x0000_s1026" type="#_x0000_t202" alt="OFFICIAL" style="position:absolute;margin-left:0;margin-top:0;width:51.7pt;height:31.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" filled="f" stroked="f">
              <v:textbox style="mso-fit-shape-to-text:t" inset="0,0,0,15pt">
                <w:txbxContent>
                  <w:p w14:paraId="5D958C1F" w14:textId="4D2D5974" w:rsidR="001E1CFD" w:rsidRPr="001E1CFD" w:rsidRDefault="001E1CFD" w:rsidP="001E1CFD">
                    <w:pPr>
                      <w:spacing w:after="0"/>
                      <w:rPr>
                        <w:rFonts w:ascii="Arial Black" w:eastAsia="Arial Black" w:hAnsi="Arial Black" w:cs="Arial Black"/>
                        <w:noProof/>
                        <w:color w:val="000000"/>
                      </w:rPr>
                    </w:pPr>
                    <w:r w:rsidRPr="001E1CFD">
                      <w:rPr>
                        <w:rFonts w:ascii="Arial Black" w:eastAsia="Arial Black" w:hAnsi="Arial Black" w:cs="Arial Black"/>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22F2" w14:textId="4234B12C" w:rsidR="002E05D3" w:rsidRDefault="001E1CFD">
    <w:pPr>
      <w:pStyle w:val="Footer"/>
    </w:pPr>
    <w:r>
      <w:rPr>
        <w:noProof/>
      </w:rPr>
      <mc:AlternateContent>
        <mc:Choice Requires="wps">
          <w:drawing>
            <wp:anchor distT="0" distB="0" distL="0" distR="0" simplePos="0" relativeHeight="251658240" behindDoc="0" locked="0" layoutInCell="1" allowOverlap="1" wp14:anchorId="39F7A25E" wp14:editId="19DEEBA3">
              <wp:simplePos x="635" y="635"/>
              <wp:positionH relativeFrom="page">
                <wp:align>center</wp:align>
              </wp:positionH>
              <wp:positionV relativeFrom="page">
                <wp:align>bottom</wp:align>
              </wp:positionV>
              <wp:extent cx="656590" cy="396240"/>
              <wp:effectExtent l="0" t="0" r="10160" b="0"/>
              <wp:wrapNone/>
              <wp:docPr id="128681571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23A98CAF" w14:textId="3A86E0E1" w:rsidR="001E1CFD" w:rsidRPr="001E1CFD" w:rsidRDefault="001E1CFD" w:rsidP="001E1CFD">
                          <w:pPr>
                            <w:spacing w:after="0"/>
                            <w:rPr>
                              <w:rFonts w:ascii="Arial Black" w:eastAsia="Arial Black" w:hAnsi="Arial Black" w:cs="Arial Black"/>
                              <w:noProof/>
                              <w:color w:val="000000"/>
                            </w:rPr>
                          </w:pPr>
                          <w:r w:rsidRPr="001E1CFD">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A25E" id="_x0000_t202" coordsize="21600,21600" o:spt="202" path="m,l,21600r21600,l21600,xe">
              <v:stroke joinstyle="miter"/>
              <v:path gradientshapeok="t" o:connecttype="rect"/>
            </v:shapetype>
            <v:shape id="Text Box 1" o:spid="_x0000_s1027" type="#_x0000_t202" alt="OFFICIAL" style="position:absolute;margin-left:0;margin-top:0;width:51.7pt;height:31.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" filled="f" stroked="f">
              <v:textbox style="mso-fit-shape-to-text:t" inset="0,0,0,15pt">
                <w:txbxContent>
                  <w:p w14:paraId="23A98CAF" w14:textId="3A86E0E1" w:rsidR="001E1CFD" w:rsidRPr="001E1CFD" w:rsidRDefault="001E1CFD" w:rsidP="001E1CFD">
                    <w:pPr>
                      <w:spacing w:after="0"/>
                      <w:rPr>
                        <w:rFonts w:ascii="Arial Black" w:eastAsia="Arial Black" w:hAnsi="Arial Black" w:cs="Arial Black"/>
                        <w:noProof/>
                        <w:color w:val="000000"/>
                      </w:rPr>
                    </w:pPr>
                    <w:r w:rsidRPr="001E1CFD">
                      <w:rPr>
                        <w:rFonts w:ascii="Arial Black" w:eastAsia="Arial Black" w:hAnsi="Arial Black" w:cs="Arial Black"/>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4A57" w14:textId="77777777" w:rsidR="00104859" w:rsidRDefault="00104859" w:rsidP="00406B3C">
      <w:r>
        <w:separator/>
      </w:r>
    </w:p>
  </w:footnote>
  <w:footnote w:type="continuationSeparator" w:id="0">
    <w:p w14:paraId="06288CF8" w14:textId="77777777" w:rsidR="00104859" w:rsidRDefault="00104859" w:rsidP="00406B3C">
      <w:r>
        <w:continuationSeparator/>
      </w:r>
    </w:p>
  </w:footnote>
  <w:footnote w:type="continuationNotice" w:id="1">
    <w:p w14:paraId="1DEC3472" w14:textId="77777777" w:rsidR="00104859" w:rsidRDefault="00104859">
      <w:pPr>
        <w:spacing w:after="0" w:line="240" w:lineRule="auto"/>
      </w:pPr>
    </w:p>
  </w:footnote>
  <w:footnote w:id="2">
    <w:p w14:paraId="297F8E8C" w14:textId="77777777" w:rsidR="0094607A" w:rsidRPr="001A73E8" w:rsidRDefault="0094607A" w:rsidP="0094607A">
      <w:pPr>
        <w:pStyle w:val="FootnoteText"/>
        <w:spacing w:after="120"/>
        <w:rPr>
          <w:sz w:val="18"/>
          <w:szCs w:val="18"/>
          <w:lang w:val="en-AU"/>
        </w:rPr>
      </w:pPr>
      <w:r w:rsidRPr="001A73E8">
        <w:rPr>
          <w:rStyle w:val="FootnoteReference"/>
          <w:sz w:val="18"/>
          <w:szCs w:val="18"/>
        </w:rPr>
        <w:footnoteRef/>
      </w:r>
      <w:r w:rsidRPr="001A73E8">
        <w:rPr>
          <w:sz w:val="18"/>
          <w:szCs w:val="18"/>
        </w:rPr>
        <w:t xml:space="preserve"> Separate publications allow for amendment of the Business Rules indicators and metrics that support the Framework, as and when necessary, throughout the year.</w:t>
      </w:r>
    </w:p>
  </w:footnote>
  <w:footnote w:id="3">
    <w:p w14:paraId="7CA6AB06" w14:textId="77777777" w:rsidR="00465C88" w:rsidRPr="001A73E8" w:rsidRDefault="00465C88" w:rsidP="00465C88">
      <w:pPr>
        <w:pStyle w:val="FootnoteText"/>
        <w:spacing w:after="120"/>
        <w:rPr>
          <w:sz w:val="18"/>
          <w:szCs w:val="18"/>
          <w:lang w:val="en-AU"/>
        </w:rPr>
      </w:pPr>
      <w:r w:rsidRPr="001A73E8">
        <w:rPr>
          <w:rStyle w:val="FootnoteReference"/>
          <w:sz w:val="18"/>
          <w:szCs w:val="18"/>
        </w:rPr>
        <w:footnoteRef/>
      </w:r>
      <w:r w:rsidRPr="001A73E8">
        <w:rPr>
          <w:sz w:val="18"/>
          <w:szCs w:val="18"/>
        </w:rPr>
        <w:t xml:space="preserve"> See </w:t>
      </w:r>
      <w:r>
        <w:rPr>
          <w:sz w:val="18"/>
          <w:szCs w:val="18"/>
        </w:rPr>
        <w:t xml:space="preserve">the </w:t>
      </w:r>
      <w:hyperlink r:id="rId1" w:history="1">
        <w:r w:rsidRPr="006B28FA">
          <w:rPr>
            <w:rStyle w:val="Hyperlink"/>
            <w:sz w:val="18"/>
            <w:szCs w:val="18"/>
          </w:rPr>
          <w:t>Planned Surgery Recovery and Reform Program</w:t>
        </w:r>
      </w:hyperlink>
      <w:r>
        <w:rPr>
          <w:sz w:val="18"/>
          <w:szCs w:val="18"/>
        </w:rPr>
        <w:t xml:space="preserve"> &lt;</w:t>
      </w:r>
      <w:r w:rsidRPr="001A73E8">
        <w:rPr>
          <w:sz w:val="18"/>
          <w:szCs w:val="18"/>
        </w:rPr>
        <w:t>https://www.health.vic.gov.au/planned-surgery-recovery-and-reform-program</w:t>
      </w:r>
      <w:r>
        <w:rPr>
          <w:sz w:val="18"/>
          <w:szCs w:val="18"/>
        </w:rPr>
        <w:t>&gt;</w:t>
      </w:r>
    </w:p>
  </w:footnote>
  <w:footnote w:id="4">
    <w:p w14:paraId="5CC5B973" w14:textId="77777777" w:rsidR="0093436B" w:rsidRPr="00BC450D" w:rsidRDefault="0093436B" w:rsidP="00BC450D">
      <w:pPr>
        <w:pStyle w:val="FootnoteText"/>
        <w:spacing w:after="120"/>
        <w:rPr>
          <w:sz w:val="18"/>
          <w:szCs w:val="18"/>
        </w:rPr>
      </w:pPr>
      <w:r w:rsidRPr="00BC450D">
        <w:rPr>
          <w:rStyle w:val="FootnoteReference"/>
          <w:sz w:val="18"/>
          <w:szCs w:val="18"/>
        </w:rPr>
        <w:footnoteRef/>
      </w:r>
      <w:r w:rsidRPr="00BC450D">
        <w:rPr>
          <w:sz w:val="18"/>
          <w:szCs w:val="18"/>
        </w:rPr>
        <w:t xml:space="preserve"> The </w:t>
      </w:r>
      <w:r w:rsidRPr="00BC450D">
        <w:rPr>
          <w:i/>
          <w:iCs/>
          <w:sz w:val="18"/>
          <w:szCs w:val="18"/>
        </w:rPr>
        <w:t xml:space="preserve">Mental Health and Wellbeing Act 2022 </w:t>
      </w:r>
      <w:r w:rsidRPr="00BC450D">
        <w:rPr>
          <w:sz w:val="18"/>
          <w:szCs w:val="18"/>
        </w:rPr>
        <w:t xml:space="preserve">(MHWA) replaced the existing </w:t>
      </w:r>
      <w:r w:rsidRPr="00BC450D">
        <w:rPr>
          <w:i/>
          <w:iCs/>
          <w:sz w:val="18"/>
          <w:szCs w:val="18"/>
        </w:rPr>
        <w:t>Mental Health 2014</w:t>
      </w:r>
      <w:r w:rsidRPr="00BC450D">
        <w:rPr>
          <w:sz w:val="18"/>
          <w:szCs w:val="18"/>
        </w:rPr>
        <w:t xml:space="preserve"> (MHA) from 1 September 2023.</w:t>
      </w:r>
    </w:p>
  </w:footnote>
  <w:footnote w:id="5">
    <w:p w14:paraId="7FEF73A6" w14:textId="49FEE95F" w:rsidR="008857B3" w:rsidRPr="00BC450D" w:rsidRDefault="008857B3" w:rsidP="00BC450D">
      <w:pPr>
        <w:pStyle w:val="FootnoteText"/>
        <w:spacing w:after="120"/>
        <w:rPr>
          <w:sz w:val="18"/>
          <w:szCs w:val="18"/>
          <w:lang w:val="en-AU"/>
        </w:rPr>
      </w:pPr>
      <w:r w:rsidRPr="00BC450D">
        <w:rPr>
          <w:rStyle w:val="FootnoteReference"/>
          <w:sz w:val="18"/>
          <w:szCs w:val="18"/>
        </w:rPr>
        <w:footnoteRef/>
      </w:r>
      <w:r w:rsidRPr="00BC450D">
        <w:rPr>
          <w:sz w:val="18"/>
          <w:szCs w:val="18"/>
        </w:rPr>
        <w:t xml:space="preserve"> as set out under section 65S of the HSA</w:t>
      </w:r>
    </w:p>
  </w:footnote>
  <w:footnote w:id="6">
    <w:p w14:paraId="4BB6B133" w14:textId="42101629" w:rsidR="008857B3" w:rsidRPr="00BC450D" w:rsidRDefault="008857B3" w:rsidP="00BC450D">
      <w:pPr>
        <w:pStyle w:val="FootnoteText"/>
        <w:spacing w:after="120"/>
        <w:rPr>
          <w:sz w:val="18"/>
          <w:szCs w:val="18"/>
          <w:lang w:val="en-AU"/>
        </w:rPr>
      </w:pPr>
      <w:r w:rsidRPr="00BC450D">
        <w:rPr>
          <w:rStyle w:val="FootnoteReference"/>
          <w:sz w:val="18"/>
          <w:szCs w:val="18"/>
        </w:rPr>
        <w:footnoteRef/>
      </w:r>
      <w:r w:rsidRPr="00BC450D">
        <w:rPr>
          <w:sz w:val="18"/>
          <w:szCs w:val="18"/>
        </w:rPr>
        <w:t xml:space="preserve"> per section 33 of the HSA</w:t>
      </w:r>
    </w:p>
  </w:footnote>
  <w:footnote w:id="7">
    <w:p w14:paraId="25E7242B" w14:textId="77777777" w:rsidR="006E35F9" w:rsidRPr="00BC450D" w:rsidRDefault="006E35F9" w:rsidP="006E35F9">
      <w:pPr>
        <w:pStyle w:val="FootnoteText"/>
        <w:spacing w:after="120"/>
        <w:rPr>
          <w:sz w:val="18"/>
          <w:szCs w:val="18"/>
          <w:lang w:val="en-AU"/>
        </w:rPr>
      </w:pPr>
      <w:r w:rsidRPr="00BC450D">
        <w:rPr>
          <w:rStyle w:val="FootnoteReference"/>
          <w:sz w:val="18"/>
          <w:szCs w:val="18"/>
        </w:rPr>
        <w:footnoteRef/>
      </w:r>
      <w:r w:rsidRPr="00BC450D">
        <w:rPr>
          <w:sz w:val="18"/>
          <w:szCs w:val="18"/>
        </w:rPr>
        <w:t xml:space="preserve"> As defined under section 59 of the HSA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9E52" w14:textId="3456E837" w:rsidR="002E05D3" w:rsidRPr="000C5164" w:rsidRDefault="000C5164">
    <w:pPr>
      <w:pStyle w:val="Header"/>
      <w:rPr>
        <w:rFonts w:eastAsia="Times New Roman"/>
        <w:b/>
        <w:color w:val="53565A"/>
        <w:sz w:val="18"/>
        <w:szCs w:val="18"/>
        <w:lang w:val="en-AU" w:eastAsia="en-US"/>
      </w:rPr>
    </w:pPr>
    <w:r>
      <w:rPr>
        <w:rFonts w:eastAsia="Times New Roman"/>
        <w:b/>
        <w:color w:val="53565A"/>
        <w:sz w:val="18"/>
        <w:szCs w:val="18"/>
        <w:lang w:val="en-AU" w:eastAsia="en-US"/>
      </w:rPr>
      <w:t xml:space="preserve">Victorian Health Services Performance Monitoring Framework </w:t>
    </w:r>
    <w:r>
      <w:rPr>
        <w:rFonts w:eastAsia="Times New Roman"/>
        <w:b/>
        <w:color w:val="53565A"/>
        <w:sz w:val="18"/>
        <w:szCs w:val="18"/>
        <w:lang w:val="en-AU" w:eastAsia="en-US"/>
      </w:rPr>
      <w:tab/>
    </w:r>
    <w:r>
      <w:rPr>
        <w:rFonts w:eastAsia="Times New Roman"/>
        <w:b/>
        <w:color w:val="53565A"/>
        <w:sz w:val="18"/>
        <w:szCs w:val="18"/>
        <w:lang w:val="en-AU" w:eastAsia="en-US"/>
      </w:rPr>
      <w:tab/>
    </w:r>
    <w:r>
      <w:rPr>
        <w:rFonts w:eastAsia="Times New Roman"/>
        <w:b/>
        <w:color w:val="53565A"/>
        <w:sz w:val="18"/>
        <w:szCs w:val="18"/>
        <w:lang w:val="en-AU" w:eastAsia="en-US"/>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005"/>
    <w:multiLevelType w:val="hybridMultilevel"/>
    <w:tmpl w:val="0AD846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F671D6"/>
    <w:multiLevelType w:val="hybridMultilevel"/>
    <w:tmpl w:val="C17AD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021FC7"/>
    <w:multiLevelType w:val="hybridMultilevel"/>
    <w:tmpl w:val="A16AD7DE"/>
    <w:lvl w:ilvl="0" w:tplc="E28C9EE2">
      <w:start w:val="1"/>
      <w:numFmt w:val="bullet"/>
      <w:lvlText w:val="•"/>
      <w:lvlJc w:val="left"/>
      <w:pPr>
        <w:tabs>
          <w:tab w:val="num" w:pos="720"/>
        </w:tabs>
        <w:ind w:left="720" w:hanging="360"/>
      </w:pPr>
      <w:rPr>
        <w:rFonts w:ascii="Arial" w:hAnsi="Arial" w:hint="default"/>
      </w:rPr>
    </w:lvl>
    <w:lvl w:ilvl="1" w:tplc="AF3C029E" w:tentative="1">
      <w:start w:val="1"/>
      <w:numFmt w:val="bullet"/>
      <w:lvlText w:val="•"/>
      <w:lvlJc w:val="left"/>
      <w:pPr>
        <w:tabs>
          <w:tab w:val="num" w:pos="1440"/>
        </w:tabs>
        <w:ind w:left="1440" w:hanging="360"/>
      </w:pPr>
      <w:rPr>
        <w:rFonts w:ascii="Arial" w:hAnsi="Arial" w:hint="default"/>
      </w:rPr>
    </w:lvl>
    <w:lvl w:ilvl="2" w:tplc="D4369E58" w:tentative="1">
      <w:start w:val="1"/>
      <w:numFmt w:val="bullet"/>
      <w:lvlText w:val="•"/>
      <w:lvlJc w:val="left"/>
      <w:pPr>
        <w:tabs>
          <w:tab w:val="num" w:pos="2160"/>
        </w:tabs>
        <w:ind w:left="2160" w:hanging="360"/>
      </w:pPr>
      <w:rPr>
        <w:rFonts w:ascii="Arial" w:hAnsi="Arial" w:hint="default"/>
      </w:rPr>
    </w:lvl>
    <w:lvl w:ilvl="3" w:tplc="18524B7A" w:tentative="1">
      <w:start w:val="1"/>
      <w:numFmt w:val="bullet"/>
      <w:lvlText w:val="•"/>
      <w:lvlJc w:val="left"/>
      <w:pPr>
        <w:tabs>
          <w:tab w:val="num" w:pos="2880"/>
        </w:tabs>
        <w:ind w:left="2880" w:hanging="360"/>
      </w:pPr>
      <w:rPr>
        <w:rFonts w:ascii="Arial" w:hAnsi="Arial" w:hint="default"/>
      </w:rPr>
    </w:lvl>
    <w:lvl w:ilvl="4" w:tplc="D6F61BBC" w:tentative="1">
      <w:start w:val="1"/>
      <w:numFmt w:val="bullet"/>
      <w:lvlText w:val="•"/>
      <w:lvlJc w:val="left"/>
      <w:pPr>
        <w:tabs>
          <w:tab w:val="num" w:pos="3600"/>
        </w:tabs>
        <w:ind w:left="3600" w:hanging="360"/>
      </w:pPr>
      <w:rPr>
        <w:rFonts w:ascii="Arial" w:hAnsi="Arial" w:hint="default"/>
      </w:rPr>
    </w:lvl>
    <w:lvl w:ilvl="5" w:tplc="47888CFC" w:tentative="1">
      <w:start w:val="1"/>
      <w:numFmt w:val="bullet"/>
      <w:lvlText w:val="•"/>
      <w:lvlJc w:val="left"/>
      <w:pPr>
        <w:tabs>
          <w:tab w:val="num" w:pos="4320"/>
        </w:tabs>
        <w:ind w:left="4320" w:hanging="360"/>
      </w:pPr>
      <w:rPr>
        <w:rFonts w:ascii="Arial" w:hAnsi="Arial" w:hint="default"/>
      </w:rPr>
    </w:lvl>
    <w:lvl w:ilvl="6" w:tplc="2ED610A4" w:tentative="1">
      <w:start w:val="1"/>
      <w:numFmt w:val="bullet"/>
      <w:lvlText w:val="•"/>
      <w:lvlJc w:val="left"/>
      <w:pPr>
        <w:tabs>
          <w:tab w:val="num" w:pos="5040"/>
        </w:tabs>
        <w:ind w:left="5040" w:hanging="360"/>
      </w:pPr>
      <w:rPr>
        <w:rFonts w:ascii="Arial" w:hAnsi="Arial" w:hint="default"/>
      </w:rPr>
    </w:lvl>
    <w:lvl w:ilvl="7" w:tplc="AB207528" w:tentative="1">
      <w:start w:val="1"/>
      <w:numFmt w:val="bullet"/>
      <w:lvlText w:val="•"/>
      <w:lvlJc w:val="left"/>
      <w:pPr>
        <w:tabs>
          <w:tab w:val="num" w:pos="5760"/>
        </w:tabs>
        <w:ind w:left="5760" w:hanging="360"/>
      </w:pPr>
      <w:rPr>
        <w:rFonts w:ascii="Arial" w:hAnsi="Arial" w:hint="default"/>
      </w:rPr>
    </w:lvl>
    <w:lvl w:ilvl="8" w:tplc="1A9666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D3688C"/>
    <w:multiLevelType w:val="hybridMultilevel"/>
    <w:tmpl w:val="FEA82994"/>
    <w:lvl w:ilvl="0" w:tplc="58DC58FE">
      <w:start w:val="1"/>
      <w:numFmt w:val="bullet"/>
      <w:lvlText w:val=""/>
      <w:lvlJc w:val="left"/>
      <w:pPr>
        <w:ind w:left="720" w:hanging="360"/>
      </w:pPr>
      <w:rPr>
        <w:rFonts w:ascii="Symbol" w:hAnsi="Symbol"/>
      </w:rPr>
    </w:lvl>
    <w:lvl w:ilvl="1" w:tplc="5984B1B4">
      <w:start w:val="1"/>
      <w:numFmt w:val="bullet"/>
      <w:lvlText w:val=""/>
      <w:lvlJc w:val="left"/>
      <w:pPr>
        <w:ind w:left="720" w:hanging="360"/>
      </w:pPr>
      <w:rPr>
        <w:rFonts w:ascii="Symbol" w:hAnsi="Symbol"/>
      </w:rPr>
    </w:lvl>
    <w:lvl w:ilvl="2" w:tplc="D2DCF3A8">
      <w:start w:val="1"/>
      <w:numFmt w:val="bullet"/>
      <w:lvlText w:val=""/>
      <w:lvlJc w:val="left"/>
      <w:pPr>
        <w:ind w:left="720" w:hanging="360"/>
      </w:pPr>
      <w:rPr>
        <w:rFonts w:ascii="Symbol" w:hAnsi="Symbol"/>
      </w:rPr>
    </w:lvl>
    <w:lvl w:ilvl="3" w:tplc="19A2AD16">
      <w:start w:val="1"/>
      <w:numFmt w:val="bullet"/>
      <w:lvlText w:val=""/>
      <w:lvlJc w:val="left"/>
      <w:pPr>
        <w:ind w:left="720" w:hanging="360"/>
      </w:pPr>
      <w:rPr>
        <w:rFonts w:ascii="Symbol" w:hAnsi="Symbol"/>
      </w:rPr>
    </w:lvl>
    <w:lvl w:ilvl="4" w:tplc="9C1C88C4">
      <w:start w:val="1"/>
      <w:numFmt w:val="bullet"/>
      <w:lvlText w:val=""/>
      <w:lvlJc w:val="left"/>
      <w:pPr>
        <w:ind w:left="720" w:hanging="360"/>
      </w:pPr>
      <w:rPr>
        <w:rFonts w:ascii="Symbol" w:hAnsi="Symbol"/>
      </w:rPr>
    </w:lvl>
    <w:lvl w:ilvl="5" w:tplc="2DF6A254">
      <w:start w:val="1"/>
      <w:numFmt w:val="bullet"/>
      <w:lvlText w:val=""/>
      <w:lvlJc w:val="left"/>
      <w:pPr>
        <w:ind w:left="720" w:hanging="360"/>
      </w:pPr>
      <w:rPr>
        <w:rFonts w:ascii="Symbol" w:hAnsi="Symbol"/>
      </w:rPr>
    </w:lvl>
    <w:lvl w:ilvl="6" w:tplc="F56E05C6">
      <w:start w:val="1"/>
      <w:numFmt w:val="bullet"/>
      <w:lvlText w:val=""/>
      <w:lvlJc w:val="left"/>
      <w:pPr>
        <w:ind w:left="720" w:hanging="360"/>
      </w:pPr>
      <w:rPr>
        <w:rFonts w:ascii="Symbol" w:hAnsi="Symbol"/>
      </w:rPr>
    </w:lvl>
    <w:lvl w:ilvl="7" w:tplc="EF5C2A40">
      <w:start w:val="1"/>
      <w:numFmt w:val="bullet"/>
      <w:lvlText w:val=""/>
      <w:lvlJc w:val="left"/>
      <w:pPr>
        <w:ind w:left="720" w:hanging="360"/>
      </w:pPr>
      <w:rPr>
        <w:rFonts w:ascii="Symbol" w:hAnsi="Symbol"/>
      </w:rPr>
    </w:lvl>
    <w:lvl w:ilvl="8" w:tplc="5C56C9FC">
      <w:start w:val="1"/>
      <w:numFmt w:val="bullet"/>
      <w:lvlText w:val=""/>
      <w:lvlJc w:val="left"/>
      <w:pPr>
        <w:ind w:left="720" w:hanging="360"/>
      </w:pPr>
      <w:rPr>
        <w:rFonts w:ascii="Symbol" w:hAnsi="Symbol"/>
      </w:rPr>
    </w:lvl>
  </w:abstractNum>
  <w:abstractNum w:abstractNumId="4" w15:restartNumberingAfterBreak="0">
    <w:nsid w:val="22584F5C"/>
    <w:multiLevelType w:val="hybridMultilevel"/>
    <w:tmpl w:val="BBFEA372"/>
    <w:lvl w:ilvl="0" w:tplc="0B2AA34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0C256A"/>
    <w:multiLevelType w:val="hybridMultilevel"/>
    <w:tmpl w:val="1C2665C8"/>
    <w:lvl w:ilvl="0" w:tplc="0B2AA34C">
      <w:start w:val="1"/>
      <w:numFmt w:val="bullet"/>
      <w:lvlText w:val="►"/>
      <w:lvlJc w:val="left"/>
      <w:pPr>
        <w:tabs>
          <w:tab w:val="num" w:pos="720"/>
        </w:tabs>
        <w:ind w:left="720" w:hanging="360"/>
      </w:pPr>
      <w:rPr>
        <w:rFonts w:ascii="Arial" w:hAnsi="Arial" w:hint="default"/>
      </w:rPr>
    </w:lvl>
    <w:lvl w:ilvl="1" w:tplc="22F0DC98" w:tentative="1">
      <w:start w:val="1"/>
      <w:numFmt w:val="bullet"/>
      <w:lvlText w:val="►"/>
      <w:lvlJc w:val="left"/>
      <w:pPr>
        <w:tabs>
          <w:tab w:val="num" w:pos="1440"/>
        </w:tabs>
        <w:ind w:left="1440" w:hanging="360"/>
      </w:pPr>
      <w:rPr>
        <w:rFonts w:ascii="Arial" w:hAnsi="Arial" w:hint="default"/>
      </w:rPr>
    </w:lvl>
    <w:lvl w:ilvl="2" w:tplc="46C45910" w:tentative="1">
      <w:start w:val="1"/>
      <w:numFmt w:val="bullet"/>
      <w:lvlText w:val="►"/>
      <w:lvlJc w:val="left"/>
      <w:pPr>
        <w:tabs>
          <w:tab w:val="num" w:pos="2160"/>
        </w:tabs>
        <w:ind w:left="2160" w:hanging="360"/>
      </w:pPr>
      <w:rPr>
        <w:rFonts w:ascii="Arial" w:hAnsi="Arial" w:hint="default"/>
      </w:rPr>
    </w:lvl>
    <w:lvl w:ilvl="3" w:tplc="11CE4B52" w:tentative="1">
      <w:start w:val="1"/>
      <w:numFmt w:val="bullet"/>
      <w:lvlText w:val="►"/>
      <w:lvlJc w:val="left"/>
      <w:pPr>
        <w:tabs>
          <w:tab w:val="num" w:pos="2880"/>
        </w:tabs>
        <w:ind w:left="2880" w:hanging="360"/>
      </w:pPr>
      <w:rPr>
        <w:rFonts w:ascii="Arial" w:hAnsi="Arial" w:hint="default"/>
      </w:rPr>
    </w:lvl>
    <w:lvl w:ilvl="4" w:tplc="123C0FCC" w:tentative="1">
      <w:start w:val="1"/>
      <w:numFmt w:val="bullet"/>
      <w:lvlText w:val="►"/>
      <w:lvlJc w:val="left"/>
      <w:pPr>
        <w:tabs>
          <w:tab w:val="num" w:pos="3600"/>
        </w:tabs>
        <w:ind w:left="3600" w:hanging="360"/>
      </w:pPr>
      <w:rPr>
        <w:rFonts w:ascii="Arial" w:hAnsi="Arial" w:hint="default"/>
      </w:rPr>
    </w:lvl>
    <w:lvl w:ilvl="5" w:tplc="7304CFFA" w:tentative="1">
      <w:start w:val="1"/>
      <w:numFmt w:val="bullet"/>
      <w:lvlText w:val="►"/>
      <w:lvlJc w:val="left"/>
      <w:pPr>
        <w:tabs>
          <w:tab w:val="num" w:pos="4320"/>
        </w:tabs>
        <w:ind w:left="4320" w:hanging="360"/>
      </w:pPr>
      <w:rPr>
        <w:rFonts w:ascii="Arial" w:hAnsi="Arial" w:hint="default"/>
      </w:rPr>
    </w:lvl>
    <w:lvl w:ilvl="6" w:tplc="39083476" w:tentative="1">
      <w:start w:val="1"/>
      <w:numFmt w:val="bullet"/>
      <w:lvlText w:val="►"/>
      <w:lvlJc w:val="left"/>
      <w:pPr>
        <w:tabs>
          <w:tab w:val="num" w:pos="5040"/>
        </w:tabs>
        <w:ind w:left="5040" w:hanging="360"/>
      </w:pPr>
      <w:rPr>
        <w:rFonts w:ascii="Arial" w:hAnsi="Arial" w:hint="default"/>
      </w:rPr>
    </w:lvl>
    <w:lvl w:ilvl="7" w:tplc="04D23606" w:tentative="1">
      <w:start w:val="1"/>
      <w:numFmt w:val="bullet"/>
      <w:lvlText w:val="►"/>
      <w:lvlJc w:val="left"/>
      <w:pPr>
        <w:tabs>
          <w:tab w:val="num" w:pos="5760"/>
        </w:tabs>
        <w:ind w:left="5760" w:hanging="360"/>
      </w:pPr>
      <w:rPr>
        <w:rFonts w:ascii="Arial" w:hAnsi="Arial" w:hint="default"/>
      </w:rPr>
    </w:lvl>
    <w:lvl w:ilvl="8" w:tplc="DC7E83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2F6089"/>
    <w:multiLevelType w:val="multilevel"/>
    <w:tmpl w:val="33722620"/>
    <w:lvl w:ilvl="0">
      <w:start w:val="1"/>
      <w:numFmt w:val="bullet"/>
      <w:lvlText w:val=""/>
      <w:lvlJc w:val="left"/>
      <w:pPr>
        <w:tabs>
          <w:tab w:val="num" w:pos="567"/>
        </w:tabs>
        <w:ind w:left="360" w:hanging="360"/>
      </w:pPr>
      <w:rPr>
        <w:rFonts w:ascii="Symbol" w:hAnsi="Symbol" w:hint="default"/>
        <w:strike w:val="0"/>
      </w:rPr>
    </w:lvl>
    <w:lvl w:ilvl="1">
      <w:start w:val="1"/>
      <w:numFmt w:val="bullet"/>
      <w:lvlText w:val=""/>
      <w:lvlJc w:val="left"/>
      <w:pPr>
        <w:ind w:left="2007" w:hanging="360"/>
      </w:pPr>
      <w:rPr>
        <w:rFonts w:ascii="Symbol" w:hAnsi="Symbol"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7" w15:restartNumberingAfterBreak="0">
    <w:nsid w:val="247978EE"/>
    <w:multiLevelType w:val="hybridMultilevel"/>
    <w:tmpl w:val="3DD683DE"/>
    <w:lvl w:ilvl="0" w:tplc="5E06968A">
      <w:start w:val="1"/>
      <w:numFmt w:val="bullet"/>
      <w:lvlText w:val="•"/>
      <w:lvlJc w:val="left"/>
      <w:pPr>
        <w:tabs>
          <w:tab w:val="num" w:pos="720"/>
        </w:tabs>
        <w:ind w:left="720" w:hanging="360"/>
      </w:pPr>
      <w:rPr>
        <w:rFonts w:ascii="Arial" w:hAnsi="Arial" w:hint="default"/>
      </w:rPr>
    </w:lvl>
    <w:lvl w:ilvl="1" w:tplc="D17AB834" w:tentative="1">
      <w:start w:val="1"/>
      <w:numFmt w:val="bullet"/>
      <w:lvlText w:val="•"/>
      <w:lvlJc w:val="left"/>
      <w:pPr>
        <w:tabs>
          <w:tab w:val="num" w:pos="1440"/>
        </w:tabs>
        <w:ind w:left="1440" w:hanging="360"/>
      </w:pPr>
      <w:rPr>
        <w:rFonts w:ascii="Arial" w:hAnsi="Arial" w:hint="default"/>
      </w:rPr>
    </w:lvl>
    <w:lvl w:ilvl="2" w:tplc="176270D4" w:tentative="1">
      <w:start w:val="1"/>
      <w:numFmt w:val="bullet"/>
      <w:lvlText w:val="•"/>
      <w:lvlJc w:val="left"/>
      <w:pPr>
        <w:tabs>
          <w:tab w:val="num" w:pos="2160"/>
        </w:tabs>
        <w:ind w:left="2160" w:hanging="360"/>
      </w:pPr>
      <w:rPr>
        <w:rFonts w:ascii="Arial" w:hAnsi="Arial" w:hint="default"/>
      </w:rPr>
    </w:lvl>
    <w:lvl w:ilvl="3" w:tplc="ECD41746" w:tentative="1">
      <w:start w:val="1"/>
      <w:numFmt w:val="bullet"/>
      <w:lvlText w:val="•"/>
      <w:lvlJc w:val="left"/>
      <w:pPr>
        <w:tabs>
          <w:tab w:val="num" w:pos="2880"/>
        </w:tabs>
        <w:ind w:left="2880" w:hanging="360"/>
      </w:pPr>
      <w:rPr>
        <w:rFonts w:ascii="Arial" w:hAnsi="Arial" w:hint="default"/>
      </w:rPr>
    </w:lvl>
    <w:lvl w:ilvl="4" w:tplc="599288E2" w:tentative="1">
      <w:start w:val="1"/>
      <w:numFmt w:val="bullet"/>
      <w:lvlText w:val="•"/>
      <w:lvlJc w:val="left"/>
      <w:pPr>
        <w:tabs>
          <w:tab w:val="num" w:pos="3600"/>
        </w:tabs>
        <w:ind w:left="3600" w:hanging="360"/>
      </w:pPr>
      <w:rPr>
        <w:rFonts w:ascii="Arial" w:hAnsi="Arial" w:hint="default"/>
      </w:rPr>
    </w:lvl>
    <w:lvl w:ilvl="5" w:tplc="DE7CEB22" w:tentative="1">
      <w:start w:val="1"/>
      <w:numFmt w:val="bullet"/>
      <w:lvlText w:val="•"/>
      <w:lvlJc w:val="left"/>
      <w:pPr>
        <w:tabs>
          <w:tab w:val="num" w:pos="4320"/>
        </w:tabs>
        <w:ind w:left="4320" w:hanging="360"/>
      </w:pPr>
      <w:rPr>
        <w:rFonts w:ascii="Arial" w:hAnsi="Arial" w:hint="default"/>
      </w:rPr>
    </w:lvl>
    <w:lvl w:ilvl="6" w:tplc="01A80564" w:tentative="1">
      <w:start w:val="1"/>
      <w:numFmt w:val="bullet"/>
      <w:lvlText w:val="•"/>
      <w:lvlJc w:val="left"/>
      <w:pPr>
        <w:tabs>
          <w:tab w:val="num" w:pos="5040"/>
        </w:tabs>
        <w:ind w:left="5040" w:hanging="360"/>
      </w:pPr>
      <w:rPr>
        <w:rFonts w:ascii="Arial" w:hAnsi="Arial" w:hint="default"/>
      </w:rPr>
    </w:lvl>
    <w:lvl w:ilvl="7" w:tplc="18BA023E" w:tentative="1">
      <w:start w:val="1"/>
      <w:numFmt w:val="bullet"/>
      <w:lvlText w:val="•"/>
      <w:lvlJc w:val="left"/>
      <w:pPr>
        <w:tabs>
          <w:tab w:val="num" w:pos="5760"/>
        </w:tabs>
        <w:ind w:left="5760" w:hanging="360"/>
      </w:pPr>
      <w:rPr>
        <w:rFonts w:ascii="Arial" w:hAnsi="Arial" w:hint="default"/>
      </w:rPr>
    </w:lvl>
    <w:lvl w:ilvl="8" w:tplc="63D0A0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1236C8"/>
    <w:multiLevelType w:val="hybridMultilevel"/>
    <w:tmpl w:val="BD284290"/>
    <w:styleLink w:val="Bullets"/>
    <w:lvl w:ilvl="0" w:tplc="DE0CF74C">
      <w:start w:val="1"/>
      <w:numFmt w:val="bullet"/>
      <w:lvlText w:val="•"/>
      <w:lvlJc w:val="left"/>
      <w:pPr>
        <w:tabs>
          <w:tab w:val="num" w:pos="720"/>
        </w:tabs>
        <w:ind w:left="720" w:hanging="360"/>
      </w:pPr>
      <w:rPr>
        <w:rFonts w:ascii="Arial" w:hAnsi="Arial" w:hint="default"/>
      </w:rPr>
    </w:lvl>
    <w:lvl w:ilvl="1" w:tplc="A8FEC70E" w:tentative="1">
      <w:start w:val="1"/>
      <w:numFmt w:val="bullet"/>
      <w:lvlText w:val="•"/>
      <w:lvlJc w:val="left"/>
      <w:pPr>
        <w:tabs>
          <w:tab w:val="num" w:pos="1440"/>
        </w:tabs>
        <w:ind w:left="1440" w:hanging="360"/>
      </w:pPr>
      <w:rPr>
        <w:rFonts w:ascii="Arial" w:hAnsi="Arial" w:hint="default"/>
      </w:rPr>
    </w:lvl>
    <w:lvl w:ilvl="2" w:tplc="DC3A2D82" w:tentative="1">
      <w:start w:val="1"/>
      <w:numFmt w:val="bullet"/>
      <w:lvlText w:val="•"/>
      <w:lvlJc w:val="left"/>
      <w:pPr>
        <w:tabs>
          <w:tab w:val="num" w:pos="2160"/>
        </w:tabs>
        <w:ind w:left="2160" w:hanging="360"/>
      </w:pPr>
      <w:rPr>
        <w:rFonts w:ascii="Arial" w:hAnsi="Arial" w:hint="default"/>
      </w:rPr>
    </w:lvl>
    <w:lvl w:ilvl="3" w:tplc="4CDCFE62" w:tentative="1">
      <w:start w:val="1"/>
      <w:numFmt w:val="bullet"/>
      <w:lvlText w:val="•"/>
      <w:lvlJc w:val="left"/>
      <w:pPr>
        <w:tabs>
          <w:tab w:val="num" w:pos="2880"/>
        </w:tabs>
        <w:ind w:left="2880" w:hanging="360"/>
      </w:pPr>
      <w:rPr>
        <w:rFonts w:ascii="Arial" w:hAnsi="Arial" w:hint="default"/>
      </w:rPr>
    </w:lvl>
    <w:lvl w:ilvl="4" w:tplc="A71EDA0A" w:tentative="1">
      <w:start w:val="1"/>
      <w:numFmt w:val="bullet"/>
      <w:lvlText w:val="•"/>
      <w:lvlJc w:val="left"/>
      <w:pPr>
        <w:tabs>
          <w:tab w:val="num" w:pos="3600"/>
        </w:tabs>
        <w:ind w:left="3600" w:hanging="360"/>
      </w:pPr>
      <w:rPr>
        <w:rFonts w:ascii="Arial" w:hAnsi="Arial" w:hint="default"/>
      </w:rPr>
    </w:lvl>
    <w:lvl w:ilvl="5" w:tplc="73561604" w:tentative="1">
      <w:start w:val="1"/>
      <w:numFmt w:val="bullet"/>
      <w:lvlText w:val="•"/>
      <w:lvlJc w:val="left"/>
      <w:pPr>
        <w:tabs>
          <w:tab w:val="num" w:pos="4320"/>
        </w:tabs>
        <w:ind w:left="4320" w:hanging="360"/>
      </w:pPr>
      <w:rPr>
        <w:rFonts w:ascii="Arial" w:hAnsi="Arial" w:hint="default"/>
      </w:rPr>
    </w:lvl>
    <w:lvl w:ilvl="6" w:tplc="DE7CC8EA" w:tentative="1">
      <w:start w:val="1"/>
      <w:numFmt w:val="bullet"/>
      <w:lvlText w:val="•"/>
      <w:lvlJc w:val="left"/>
      <w:pPr>
        <w:tabs>
          <w:tab w:val="num" w:pos="5040"/>
        </w:tabs>
        <w:ind w:left="5040" w:hanging="360"/>
      </w:pPr>
      <w:rPr>
        <w:rFonts w:ascii="Arial" w:hAnsi="Arial" w:hint="default"/>
      </w:rPr>
    </w:lvl>
    <w:lvl w:ilvl="7" w:tplc="649A0894" w:tentative="1">
      <w:start w:val="1"/>
      <w:numFmt w:val="bullet"/>
      <w:lvlText w:val="•"/>
      <w:lvlJc w:val="left"/>
      <w:pPr>
        <w:tabs>
          <w:tab w:val="num" w:pos="5760"/>
        </w:tabs>
        <w:ind w:left="5760" w:hanging="360"/>
      </w:pPr>
      <w:rPr>
        <w:rFonts w:ascii="Arial" w:hAnsi="Arial" w:hint="default"/>
      </w:rPr>
    </w:lvl>
    <w:lvl w:ilvl="8" w:tplc="83501C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873F18"/>
    <w:multiLevelType w:val="hybridMultilevel"/>
    <w:tmpl w:val="57082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91374D"/>
    <w:multiLevelType w:val="hybridMultilevel"/>
    <w:tmpl w:val="01FA2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F14E9A"/>
    <w:multiLevelType w:val="hybridMultilevel"/>
    <w:tmpl w:val="8342F5B8"/>
    <w:lvl w:ilvl="0" w:tplc="406CE6C0">
      <w:start w:val="1"/>
      <w:numFmt w:val="bullet"/>
      <w:lvlText w:val="•"/>
      <w:lvlJc w:val="left"/>
      <w:pPr>
        <w:tabs>
          <w:tab w:val="num" w:pos="720"/>
        </w:tabs>
        <w:ind w:left="720" w:hanging="360"/>
      </w:pPr>
      <w:rPr>
        <w:rFonts w:ascii="Arial" w:hAnsi="Arial" w:hint="default"/>
      </w:rPr>
    </w:lvl>
    <w:lvl w:ilvl="1" w:tplc="009A5810" w:tentative="1">
      <w:start w:val="1"/>
      <w:numFmt w:val="bullet"/>
      <w:lvlText w:val="•"/>
      <w:lvlJc w:val="left"/>
      <w:pPr>
        <w:tabs>
          <w:tab w:val="num" w:pos="1440"/>
        </w:tabs>
        <w:ind w:left="1440" w:hanging="360"/>
      </w:pPr>
      <w:rPr>
        <w:rFonts w:ascii="Arial" w:hAnsi="Arial" w:hint="default"/>
      </w:rPr>
    </w:lvl>
    <w:lvl w:ilvl="2" w:tplc="D0D888CC" w:tentative="1">
      <w:start w:val="1"/>
      <w:numFmt w:val="bullet"/>
      <w:lvlText w:val="•"/>
      <w:lvlJc w:val="left"/>
      <w:pPr>
        <w:tabs>
          <w:tab w:val="num" w:pos="2160"/>
        </w:tabs>
        <w:ind w:left="2160" w:hanging="360"/>
      </w:pPr>
      <w:rPr>
        <w:rFonts w:ascii="Arial" w:hAnsi="Arial" w:hint="default"/>
      </w:rPr>
    </w:lvl>
    <w:lvl w:ilvl="3" w:tplc="A36C0DA8" w:tentative="1">
      <w:start w:val="1"/>
      <w:numFmt w:val="bullet"/>
      <w:lvlText w:val="•"/>
      <w:lvlJc w:val="left"/>
      <w:pPr>
        <w:tabs>
          <w:tab w:val="num" w:pos="2880"/>
        </w:tabs>
        <w:ind w:left="2880" w:hanging="360"/>
      </w:pPr>
      <w:rPr>
        <w:rFonts w:ascii="Arial" w:hAnsi="Arial" w:hint="default"/>
      </w:rPr>
    </w:lvl>
    <w:lvl w:ilvl="4" w:tplc="50BCB4F0" w:tentative="1">
      <w:start w:val="1"/>
      <w:numFmt w:val="bullet"/>
      <w:lvlText w:val="•"/>
      <w:lvlJc w:val="left"/>
      <w:pPr>
        <w:tabs>
          <w:tab w:val="num" w:pos="3600"/>
        </w:tabs>
        <w:ind w:left="3600" w:hanging="360"/>
      </w:pPr>
      <w:rPr>
        <w:rFonts w:ascii="Arial" w:hAnsi="Arial" w:hint="default"/>
      </w:rPr>
    </w:lvl>
    <w:lvl w:ilvl="5" w:tplc="0D26B5F4" w:tentative="1">
      <w:start w:val="1"/>
      <w:numFmt w:val="bullet"/>
      <w:lvlText w:val="•"/>
      <w:lvlJc w:val="left"/>
      <w:pPr>
        <w:tabs>
          <w:tab w:val="num" w:pos="4320"/>
        </w:tabs>
        <w:ind w:left="4320" w:hanging="360"/>
      </w:pPr>
      <w:rPr>
        <w:rFonts w:ascii="Arial" w:hAnsi="Arial" w:hint="default"/>
      </w:rPr>
    </w:lvl>
    <w:lvl w:ilvl="6" w:tplc="014E6D62" w:tentative="1">
      <w:start w:val="1"/>
      <w:numFmt w:val="bullet"/>
      <w:lvlText w:val="•"/>
      <w:lvlJc w:val="left"/>
      <w:pPr>
        <w:tabs>
          <w:tab w:val="num" w:pos="5040"/>
        </w:tabs>
        <w:ind w:left="5040" w:hanging="360"/>
      </w:pPr>
      <w:rPr>
        <w:rFonts w:ascii="Arial" w:hAnsi="Arial" w:hint="default"/>
      </w:rPr>
    </w:lvl>
    <w:lvl w:ilvl="7" w:tplc="E2F8FF8E" w:tentative="1">
      <w:start w:val="1"/>
      <w:numFmt w:val="bullet"/>
      <w:lvlText w:val="•"/>
      <w:lvlJc w:val="left"/>
      <w:pPr>
        <w:tabs>
          <w:tab w:val="num" w:pos="5760"/>
        </w:tabs>
        <w:ind w:left="5760" w:hanging="360"/>
      </w:pPr>
      <w:rPr>
        <w:rFonts w:ascii="Arial" w:hAnsi="Arial" w:hint="default"/>
      </w:rPr>
    </w:lvl>
    <w:lvl w:ilvl="8" w:tplc="75BE70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324522"/>
    <w:multiLevelType w:val="hybridMultilevel"/>
    <w:tmpl w:val="E7427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83484"/>
    <w:multiLevelType w:val="multilevel"/>
    <w:tmpl w:val="C71867A6"/>
    <w:lvl w:ilvl="0">
      <w:start w:val="1"/>
      <w:numFmt w:val="decimal"/>
      <w:pStyle w:val="Heading1"/>
      <w:lvlText w:val="%1."/>
      <w:lvlJc w:val="left"/>
      <w:pPr>
        <w:ind w:left="567" w:hanging="567"/>
      </w:pPr>
      <w:rPr>
        <w:rFonts w:hint="default"/>
      </w:rPr>
    </w:lvl>
    <w:lvl w:ilvl="1">
      <w:start w:val="1"/>
      <w:numFmt w:val="decimal"/>
      <w:pStyle w:val="Heading2"/>
      <w:isLgl/>
      <w:lvlText w:val="%1.%2"/>
      <w:lvlJc w:val="left"/>
      <w:pPr>
        <w:ind w:left="4831" w:hanging="720"/>
      </w:pPr>
      <w:rPr>
        <w:rFonts w:hint="default"/>
      </w:rPr>
    </w:lvl>
    <w:lvl w:ilvl="2">
      <w:start w:val="1"/>
      <w:numFmt w:val="decimal"/>
      <w:isLgl/>
      <w:lvlText w:val="%1.%2.%3"/>
      <w:lvlJc w:val="left"/>
      <w:pPr>
        <w:ind w:left="-4241" w:hanging="720"/>
      </w:pPr>
      <w:rPr>
        <w:rFonts w:hint="default"/>
      </w:rPr>
    </w:lvl>
    <w:lvl w:ilvl="3">
      <w:start w:val="1"/>
      <w:numFmt w:val="decimal"/>
      <w:isLgl/>
      <w:lvlText w:val="%1.%2.%3.%4"/>
      <w:lvlJc w:val="left"/>
      <w:pPr>
        <w:ind w:left="-4023" w:hanging="1080"/>
      </w:pPr>
      <w:rPr>
        <w:rFonts w:hint="default"/>
      </w:rPr>
    </w:lvl>
    <w:lvl w:ilvl="4">
      <w:start w:val="1"/>
      <w:numFmt w:val="decimal"/>
      <w:isLgl/>
      <w:lvlText w:val="%1.%2.%3.%4.%5"/>
      <w:lvlJc w:val="left"/>
      <w:pPr>
        <w:ind w:left="-3663" w:hanging="1440"/>
      </w:pPr>
      <w:rPr>
        <w:rFonts w:hint="default"/>
      </w:rPr>
    </w:lvl>
    <w:lvl w:ilvl="5">
      <w:start w:val="1"/>
      <w:numFmt w:val="decimal"/>
      <w:isLgl/>
      <w:lvlText w:val="%1.%2.%3.%4.%5.%6"/>
      <w:lvlJc w:val="left"/>
      <w:pPr>
        <w:ind w:left="-3663" w:hanging="1440"/>
      </w:pPr>
      <w:rPr>
        <w:rFonts w:hint="default"/>
      </w:rPr>
    </w:lvl>
    <w:lvl w:ilvl="6">
      <w:start w:val="1"/>
      <w:numFmt w:val="decimal"/>
      <w:isLgl/>
      <w:lvlText w:val="%1.%2.%3.%4.%5.%6.%7"/>
      <w:lvlJc w:val="left"/>
      <w:pPr>
        <w:ind w:left="-3303" w:hanging="1800"/>
      </w:pPr>
      <w:rPr>
        <w:rFonts w:hint="default"/>
      </w:rPr>
    </w:lvl>
    <w:lvl w:ilvl="7">
      <w:start w:val="1"/>
      <w:numFmt w:val="decimal"/>
      <w:isLgl/>
      <w:lvlText w:val="%1.%2.%3.%4.%5.%6.%7.%8"/>
      <w:lvlJc w:val="left"/>
      <w:pPr>
        <w:ind w:left="-3303" w:hanging="1800"/>
      </w:pPr>
      <w:rPr>
        <w:rFonts w:hint="default"/>
      </w:rPr>
    </w:lvl>
    <w:lvl w:ilvl="8">
      <w:start w:val="1"/>
      <w:numFmt w:val="decimal"/>
      <w:isLgl/>
      <w:lvlText w:val="%1.%2.%3.%4.%5.%6.%7.%8.%9"/>
      <w:lvlJc w:val="left"/>
      <w:pPr>
        <w:ind w:left="-2943" w:hanging="2160"/>
      </w:pPr>
      <w:rPr>
        <w:rFonts w:hint="default"/>
      </w:rPr>
    </w:lvl>
  </w:abstractNum>
  <w:abstractNum w:abstractNumId="14" w15:restartNumberingAfterBreak="0">
    <w:nsid w:val="44D1560B"/>
    <w:multiLevelType w:val="hybridMultilevel"/>
    <w:tmpl w:val="0C9649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4BA1E5A"/>
    <w:multiLevelType w:val="hybridMultilevel"/>
    <w:tmpl w:val="2D9C1BD6"/>
    <w:styleLink w:val="ZZBullets"/>
    <w:lvl w:ilvl="0" w:tplc="472E2BC4">
      <w:start w:val="1"/>
      <w:numFmt w:val="bullet"/>
      <w:pStyle w:val="DHHSbullet1"/>
      <w:lvlText w:val="•"/>
      <w:lvlJc w:val="left"/>
      <w:pPr>
        <w:ind w:left="284" w:hanging="284"/>
      </w:pPr>
      <w:rPr>
        <w:rFonts w:ascii="Calibri" w:hAnsi="Calibri" w:hint="default"/>
      </w:rPr>
    </w:lvl>
    <w:lvl w:ilvl="1" w:tplc="6060D178">
      <w:start w:val="1"/>
      <w:numFmt w:val="bullet"/>
      <w:lvlRestart w:val="0"/>
      <w:pStyle w:val="DHHSbullet2"/>
      <w:lvlText w:val="–"/>
      <w:lvlJc w:val="left"/>
      <w:pPr>
        <w:ind w:left="567" w:hanging="283"/>
      </w:pPr>
      <w:rPr>
        <w:rFonts w:ascii="Calibri" w:hAnsi="Calibri" w:hint="default"/>
      </w:rPr>
    </w:lvl>
    <w:lvl w:ilvl="2" w:tplc="9F725AA8">
      <w:start w:val="1"/>
      <w:numFmt w:val="decimal"/>
      <w:lvlRestart w:val="0"/>
      <w:lvlText w:val=""/>
      <w:lvlJc w:val="left"/>
      <w:pPr>
        <w:ind w:left="0" w:firstLine="0"/>
      </w:pPr>
    </w:lvl>
    <w:lvl w:ilvl="3" w:tplc="74CE9B88">
      <w:start w:val="1"/>
      <w:numFmt w:val="decimal"/>
      <w:lvlRestart w:val="0"/>
      <w:lvlText w:val=""/>
      <w:lvlJc w:val="left"/>
      <w:pPr>
        <w:ind w:left="0" w:firstLine="0"/>
      </w:pPr>
    </w:lvl>
    <w:lvl w:ilvl="4" w:tplc="4E8EED7C">
      <w:start w:val="1"/>
      <w:numFmt w:val="decimal"/>
      <w:lvlRestart w:val="0"/>
      <w:lvlText w:val=""/>
      <w:lvlJc w:val="left"/>
      <w:pPr>
        <w:ind w:left="0" w:firstLine="0"/>
      </w:pPr>
    </w:lvl>
    <w:lvl w:ilvl="5" w:tplc="5572626A">
      <w:start w:val="1"/>
      <w:numFmt w:val="decimal"/>
      <w:lvlRestart w:val="0"/>
      <w:lvlText w:val=""/>
      <w:lvlJc w:val="left"/>
      <w:pPr>
        <w:ind w:left="0" w:firstLine="0"/>
      </w:pPr>
    </w:lvl>
    <w:lvl w:ilvl="6" w:tplc="00983450">
      <w:start w:val="1"/>
      <w:numFmt w:val="decimal"/>
      <w:lvlRestart w:val="0"/>
      <w:lvlText w:val=""/>
      <w:lvlJc w:val="left"/>
      <w:pPr>
        <w:ind w:left="0" w:firstLine="0"/>
      </w:pPr>
    </w:lvl>
    <w:lvl w:ilvl="7" w:tplc="46627B90">
      <w:start w:val="1"/>
      <w:numFmt w:val="decimal"/>
      <w:lvlRestart w:val="0"/>
      <w:lvlText w:val=""/>
      <w:lvlJc w:val="left"/>
      <w:pPr>
        <w:ind w:left="0" w:firstLine="0"/>
      </w:pPr>
    </w:lvl>
    <w:lvl w:ilvl="8" w:tplc="B1885F88">
      <w:start w:val="1"/>
      <w:numFmt w:val="decimal"/>
      <w:lvlRestart w:val="0"/>
      <w:lvlText w:val=""/>
      <w:lvlJc w:val="left"/>
      <w:pPr>
        <w:ind w:left="0" w:firstLine="0"/>
      </w:pPr>
    </w:lvl>
  </w:abstractNum>
  <w:abstractNum w:abstractNumId="16" w15:restartNumberingAfterBreak="0">
    <w:nsid w:val="56E25F21"/>
    <w:multiLevelType w:val="hybridMultilevel"/>
    <w:tmpl w:val="5CFEE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6A5CDB"/>
    <w:multiLevelType w:val="hybridMultilevel"/>
    <w:tmpl w:val="FEC468C4"/>
    <w:lvl w:ilvl="0" w:tplc="B970AC20">
      <w:start w:val="1"/>
      <w:numFmt w:val="bullet"/>
      <w:lvlText w:val="•"/>
      <w:lvlJc w:val="left"/>
      <w:pPr>
        <w:tabs>
          <w:tab w:val="num" w:pos="720"/>
        </w:tabs>
        <w:ind w:left="720" w:hanging="360"/>
      </w:pPr>
      <w:rPr>
        <w:rFonts w:ascii="Arial" w:hAnsi="Arial" w:hint="default"/>
      </w:rPr>
    </w:lvl>
    <w:lvl w:ilvl="1" w:tplc="B6BA7C86" w:tentative="1">
      <w:start w:val="1"/>
      <w:numFmt w:val="bullet"/>
      <w:lvlText w:val="•"/>
      <w:lvlJc w:val="left"/>
      <w:pPr>
        <w:tabs>
          <w:tab w:val="num" w:pos="1440"/>
        </w:tabs>
        <w:ind w:left="1440" w:hanging="360"/>
      </w:pPr>
      <w:rPr>
        <w:rFonts w:ascii="Arial" w:hAnsi="Arial" w:hint="default"/>
      </w:rPr>
    </w:lvl>
    <w:lvl w:ilvl="2" w:tplc="BF4674F4" w:tentative="1">
      <w:start w:val="1"/>
      <w:numFmt w:val="bullet"/>
      <w:lvlText w:val="•"/>
      <w:lvlJc w:val="left"/>
      <w:pPr>
        <w:tabs>
          <w:tab w:val="num" w:pos="2160"/>
        </w:tabs>
        <w:ind w:left="2160" w:hanging="360"/>
      </w:pPr>
      <w:rPr>
        <w:rFonts w:ascii="Arial" w:hAnsi="Arial" w:hint="default"/>
      </w:rPr>
    </w:lvl>
    <w:lvl w:ilvl="3" w:tplc="4E94E8DA" w:tentative="1">
      <w:start w:val="1"/>
      <w:numFmt w:val="bullet"/>
      <w:lvlText w:val="•"/>
      <w:lvlJc w:val="left"/>
      <w:pPr>
        <w:tabs>
          <w:tab w:val="num" w:pos="2880"/>
        </w:tabs>
        <w:ind w:left="2880" w:hanging="360"/>
      </w:pPr>
      <w:rPr>
        <w:rFonts w:ascii="Arial" w:hAnsi="Arial" w:hint="default"/>
      </w:rPr>
    </w:lvl>
    <w:lvl w:ilvl="4" w:tplc="B4489BE8" w:tentative="1">
      <w:start w:val="1"/>
      <w:numFmt w:val="bullet"/>
      <w:lvlText w:val="•"/>
      <w:lvlJc w:val="left"/>
      <w:pPr>
        <w:tabs>
          <w:tab w:val="num" w:pos="3600"/>
        </w:tabs>
        <w:ind w:left="3600" w:hanging="360"/>
      </w:pPr>
      <w:rPr>
        <w:rFonts w:ascii="Arial" w:hAnsi="Arial" w:hint="default"/>
      </w:rPr>
    </w:lvl>
    <w:lvl w:ilvl="5" w:tplc="B522565C" w:tentative="1">
      <w:start w:val="1"/>
      <w:numFmt w:val="bullet"/>
      <w:lvlText w:val="•"/>
      <w:lvlJc w:val="left"/>
      <w:pPr>
        <w:tabs>
          <w:tab w:val="num" w:pos="4320"/>
        </w:tabs>
        <w:ind w:left="4320" w:hanging="360"/>
      </w:pPr>
      <w:rPr>
        <w:rFonts w:ascii="Arial" w:hAnsi="Arial" w:hint="default"/>
      </w:rPr>
    </w:lvl>
    <w:lvl w:ilvl="6" w:tplc="7466EF78" w:tentative="1">
      <w:start w:val="1"/>
      <w:numFmt w:val="bullet"/>
      <w:lvlText w:val="•"/>
      <w:lvlJc w:val="left"/>
      <w:pPr>
        <w:tabs>
          <w:tab w:val="num" w:pos="5040"/>
        </w:tabs>
        <w:ind w:left="5040" w:hanging="360"/>
      </w:pPr>
      <w:rPr>
        <w:rFonts w:ascii="Arial" w:hAnsi="Arial" w:hint="default"/>
      </w:rPr>
    </w:lvl>
    <w:lvl w:ilvl="7" w:tplc="94EA7264" w:tentative="1">
      <w:start w:val="1"/>
      <w:numFmt w:val="bullet"/>
      <w:lvlText w:val="•"/>
      <w:lvlJc w:val="left"/>
      <w:pPr>
        <w:tabs>
          <w:tab w:val="num" w:pos="5760"/>
        </w:tabs>
        <w:ind w:left="5760" w:hanging="360"/>
      </w:pPr>
      <w:rPr>
        <w:rFonts w:ascii="Arial" w:hAnsi="Arial" w:hint="default"/>
      </w:rPr>
    </w:lvl>
    <w:lvl w:ilvl="8" w:tplc="C5F83F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212838"/>
    <w:multiLevelType w:val="hybridMultilevel"/>
    <w:tmpl w:val="35349D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ED72BD"/>
    <w:multiLevelType w:val="hybridMultilevel"/>
    <w:tmpl w:val="EFC02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0E6EFB"/>
    <w:multiLevelType w:val="hybridMultilevel"/>
    <w:tmpl w:val="B30A0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52033A"/>
    <w:multiLevelType w:val="hybridMultilevel"/>
    <w:tmpl w:val="DEA29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FD1EC1"/>
    <w:multiLevelType w:val="hybridMultilevel"/>
    <w:tmpl w:val="14C06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4B76AB"/>
    <w:multiLevelType w:val="multilevel"/>
    <w:tmpl w:val="672EB6A4"/>
    <w:lvl w:ilvl="0">
      <w:start w:val="1"/>
      <w:numFmt w:val="decimal"/>
      <w:lvlText w:val="%1."/>
      <w:lvlJc w:val="left"/>
      <w:pPr>
        <w:ind w:left="567" w:hanging="567"/>
      </w:pPr>
      <w:rPr>
        <w:rFonts w:hint="default"/>
      </w:rPr>
    </w:lvl>
    <w:lvl w:ilvl="1">
      <w:start w:val="1"/>
      <w:numFmt w:val="decimal"/>
      <w:lvlText w:val="%1.%2"/>
      <w:lvlJc w:val="left"/>
      <w:pPr>
        <w:ind w:left="924" w:hanging="924"/>
      </w:pPr>
    </w:lvl>
    <w:lvl w:ilvl="2">
      <w:start w:val="1"/>
      <w:numFmt w:val="decimal"/>
      <w:pStyle w:val="Heading3"/>
      <w:lvlText w:val="%1.%2.%3"/>
      <w:lvlJc w:val="left"/>
      <w:pPr>
        <w:ind w:left="2767" w:hanging="924"/>
      </w:pPr>
      <w:rPr>
        <w:rFonts w:hint="default"/>
        <w:sz w:val="28"/>
        <w:szCs w:val="28"/>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24" w15:restartNumberingAfterBreak="0">
    <w:nsid w:val="7DE5017D"/>
    <w:multiLevelType w:val="hybridMultilevel"/>
    <w:tmpl w:val="6234B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7307611">
    <w:abstractNumId w:val="15"/>
  </w:num>
  <w:num w:numId="2" w16cid:durableId="113982917">
    <w:abstractNumId w:val="23"/>
  </w:num>
  <w:num w:numId="3" w16cid:durableId="1049570757">
    <w:abstractNumId w:val="1"/>
  </w:num>
  <w:num w:numId="4" w16cid:durableId="799302252">
    <w:abstractNumId w:val="11"/>
  </w:num>
  <w:num w:numId="5" w16cid:durableId="920600661">
    <w:abstractNumId w:val="2"/>
  </w:num>
  <w:num w:numId="6" w16cid:durableId="950088267">
    <w:abstractNumId w:val="8"/>
  </w:num>
  <w:num w:numId="7" w16cid:durableId="405229918">
    <w:abstractNumId w:val="17"/>
  </w:num>
  <w:num w:numId="8" w16cid:durableId="1898317131">
    <w:abstractNumId w:val="7"/>
  </w:num>
  <w:num w:numId="9" w16cid:durableId="692266475">
    <w:abstractNumId w:val="13"/>
  </w:num>
  <w:num w:numId="10" w16cid:durableId="1904370666">
    <w:abstractNumId w:val="18"/>
  </w:num>
  <w:num w:numId="11" w16cid:durableId="600647139">
    <w:abstractNumId w:val="12"/>
  </w:num>
  <w:num w:numId="12" w16cid:durableId="1973057563">
    <w:abstractNumId w:val="24"/>
  </w:num>
  <w:num w:numId="13" w16cid:durableId="1107384181">
    <w:abstractNumId w:val="22"/>
  </w:num>
  <w:num w:numId="14" w16cid:durableId="189376072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0542359">
    <w:abstractNumId w:val="20"/>
  </w:num>
  <w:num w:numId="16" w16cid:durableId="485704579">
    <w:abstractNumId w:val="10"/>
  </w:num>
  <w:num w:numId="17" w16cid:durableId="93209749">
    <w:abstractNumId w:val="5"/>
  </w:num>
  <w:num w:numId="18" w16cid:durableId="29649384">
    <w:abstractNumId w:val="9"/>
  </w:num>
  <w:num w:numId="19" w16cid:durableId="1101222265">
    <w:abstractNumId w:val="4"/>
  </w:num>
  <w:num w:numId="20" w16cid:durableId="755326737">
    <w:abstractNumId w:val="19"/>
  </w:num>
  <w:num w:numId="21" w16cid:durableId="448011321">
    <w:abstractNumId w:val="21"/>
  </w:num>
  <w:num w:numId="22" w16cid:durableId="9721743">
    <w:abstractNumId w:val="16"/>
  </w:num>
  <w:num w:numId="23" w16cid:durableId="1804736476">
    <w:abstractNumId w:val="6"/>
  </w:num>
  <w:num w:numId="24" w16cid:durableId="1630475985">
    <w:abstractNumId w:val="0"/>
  </w:num>
  <w:num w:numId="25" w16cid:durableId="1843230494">
    <w:abstractNumId w:val="14"/>
  </w:num>
  <w:num w:numId="26" w16cid:durableId="822888610">
    <w:abstractNumId w:val="13"/>
  </w:num>
  <w:num w:numId="27" w16cid:durableId="1514765096">
    <w:abstractNumId w:val="13"/>
  </w:num>
  <w:num w:numId="28" w16cid:durableId="54264161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AFB63"/>
    <w:rsid w:val="00000488"/>
    <w:rsid w:val="000005E5"/>
    <w:rsid w:val="000010CF"/>
    <w:rsid w:val="000016C5"/>
    <w:rsid w:val="000017EE"/>
    <w:rsid w:val="0000229E"/>
    <w:rsid w:val="00002741"/>
    <w:rsid w:val="0000377E"/>
    <w:rsid w:val="00003827"/>
    <w:rsid w:val="00003ACF"/>
    <w:rsid w:val="00004625"/>
    <w:rsid w:val="00005072"/>
    <w:rsid w:val="0000553B"/>
    <w:rsid w:val="00005BF9"/>
    <w:rsid w:val="00005D2E"/>
    <w:rsid w:val="0000665A"/>
    <w:rsid w:val="00006D70"/>
    <w:rsid w:val="00006DCF"/>
    <w:rsid w:val="00006F91"/>
    <w:rsid w:val="000078DD"/>
    <w:rsid w:val="00007961"/>
    <w:rsid w:val="0001005F"/>
    <w:rsid w:val="00010589"/>
    <w:rsid w:val="00010E46"/>
    <w:rsid w:val="00011A7E"/>
    <w:rsid w:val="00011BE3"/>
    <w:rsid w:val="00011C70"/>
    <w:rsid w:val="00011CB5"/>
    <w:rsid w:val="00011F9A"/>
    <w:rsid w:val="00012AEF"/>
    <w:rsid w:val="00012CBB"/>
    <w:rsid w:val="00012E9D"/>
    <w:rsid w:val="000136CC"/>
    <w:rsid w:val="00013746"/>
    <w:rsid w:val="00013790"/>
    <w:rsid w:val="00013A7E"/>
    <w:rsid w:val="00013A98"/>
    <w:rsid w:val="00013ADC"/>
    <w:rsid w:val="00013D3C"/>
    <w:rsid w:val="00013E9A"/>
    <w:rsid w:val="000145DB"/>
    <w:rsid w:val="00014D33"/>
    <w:rsid w:val="00014E85"/>
    <w:rsid w:val="00014F71"/>
    <w:rsid w:val="00015119"/>
    <w:rsid w:val="00015CD9"/>
    <w:rsid w:val="000163CF"/>
    <w:rsid w:val="00016404"/>
    <w:rsid w:val="00016588"/>
    <w:rsid w:val="00016826"/>
    <w:rsid w:val="00016A18"/>
    <w:rsid w:val="00020402"/>
    <w:rsid w:val="000214D2"/>
    <w:rsid w:val="00021622"/>
    <w:rsid w:val="0002185F"/>
    <w:rsid w:val="00021869"/>
    <w:rsid w:val="00021922"/>
    <w:rsid w:val="000219AD"/>
    <w:rsid w:val="00021C9E"/>
    <w:rsid w:val="00021D39"/>
    <w:rsid w:val="0002212B"/>
    <w:rsid w:val="000221D2"/>
    <w:rsid w:val="000223D8"/>
    <w:rsid w:val="00022712"/>
    <w:rsid w:val="00022806"/>
    <w:rsid w:val="00022B6E"/>
    <w:rsid w:val="00022BC0"/>
    <w:rsid w:val="00022BC6"/>
    <w:rsid w:val="000235AD"/>
    <w:rsid w:val="00023F30"/>
    <w:rsid w:val="00024206"/>
    <w:rsid w:val="00024273"/>
    <w:rsid w:val="000242AC"/>
    <w:rsid w:val="0002430D"/>
    <w:rsid w:val="000245B2"/>
    <w:rsid w:val="000245E7"/>
    <w:rsid w:val="00024830"/>
    <w:rsid w:val="00024B22"/>
    <w:rsid w:val="00024C95"/>
    <w:rsid w:val="0002564E"/>
    <w:rsid w:val="00025EA4"/>
    <w:rsid w:val="000268AC"/>
    <w:rsid w:val="00026F4F"/>
    <w:rsid w:val="0002727F"/>
    <w:rsid w:val="000272E8"/>
    <w:rsid w:val="000276B9"/>
    <w:rsid w:val="00027924"/>
    <w:rsid w:val="000300B5"/>
    <w:rsid w:val="000307B2"/>
    <w:rsid w:val="00030A97"/>
    <w:rsid w:val="00031015"/>
    <w:rsid w:val="000316FB"/>
    <w:rsid w:val="00031926"/>
    <w:rsid w:val="00032600"/>
    <w:rsid w:val="00032BD1"/>
    <w:rsid w:val="000338C3"/>
    <w:rsid w:val="00033D73"/>
    <w:rsid w:val="00033F69"/>
    <w:rsid w:val="000342C8"/>
    <w:rsid w:val="00034537"/>
    <w:rsid w:val="00034935"/>
    <w:rsid w:val="00034C2E"/>
    <w:rsid w:val="0003519C"/>
    <w:rsid w:val="00035577"/>
    <w:rsid w:val="00035C0E"/>
    <w:rsid w:val="00036034"/>
    <w:rsid w:val="00036043"/>
    <w:rsid w:val="00037439"/>
    <w:rsid w:val="00037A91"/>
    <w:rsid w:val="00037F35"/>
    <w:rsid w:val="00040115"/>
    <w:rsid w:val="00040497"/>
    <w:rsid w:val="00040B5F"/>
    <w:rsid w:val="00040CA9"/>
    <w:rsid w:val="00041171"/>
    <w:rsid w:val="00041419"/>
    <w:rsid w:val="00041525"/>
    <w:rsid w:val="000415D3"/>
    <w:rsid w:val="00041676"/>
    <w:rsid w:val="000416EF"/>
    <w:rsid w:val="00041DC8"/>
    <w:rsid w:val="00041EE3"/>
    <w:rsid w:val="000421B0"/>
    <w:rsid w:val="000422A0"/>
    <w:rsid w:val="00042CD1"/>
    <w:rsid w:val="00042F30"/>
    <w:rsid w:val="00043545"/>
    <w:rsid w:val="000438FB"/>
    <w:rsid w:val="0004401A"/>
    <w:rsid w:val="000440BE"/>
    <w:rsid w:val="000441EE"/>
    <w:rsid w:val="000443AC"/>
    <w:rsid w:val="00044831"/>
    <w:rsid w:val="000448A6"/>
    <w:rsid w:val="00044DE1"/>
    <w:rsid w:val="00044E37"/>
    <w:rsid w:val="000457F1"/>
    <w:rsid w:val="00045F77"/>
    <w:rsid w:val="00046406"/>
    <w:rsid w:val="00046D7E"/>
    <w:rsid w:val="00046E79"/>
    <w:rsid w:val="0004704F"/>
    <w:rsid w:val="00047438"/>
    <w:rsid w:val="00047565"/>
    <w:rsid w:val="00047724"/>
    <w:rsid w:val="00047C25"/>
    <w:rsid w:val="00047FE4"/>
    <w:rsid w:val="000502B3"/>
    <w:rsid w:val="00050691"/>
    <w:rsid w:val="00050760"/>
    <w:rsid w:val="00050814"/>
    <w:rsid w:val="00050E34"/>
    <w:rsid w:val="00050E9E"/>
    <w:rsid w:val="00050F3E"/>
    <w:rsid w:val="000518C7"/>
    <w:rsid w:val="000518FB"/>
    <w:rsid w:val="00051938"/>
    <w:rsid w:val="00051D78"/>
    <w:rsid w:val="000523C0"/>
    <w:rsid w:val="000523F1"/>
    <w:rsid w:val="000524D2"/>
    <w:rsid w:val="00052588"/>
    <w:rsid w:val="00052C08"/>
    <w:rsid w:val="00052C19"/>
    <w:rsid w:val="00053132"/>
    <w:rsid w:val="00053540"/>
    <w:rsid w:val="00053795"/>
    <w:rsid w:val="0005384D"/>
    <w:rsid w:val="00053BA4"/>
    <w:rsid w:val="00053EE5"/>
    <w:rsid w:val="00054284"/>
    <w:rsid w:val="00054E44"/>
    <w:rsid w:val="000550D7"/>
    <w:rsid w:val="000559A3"/>
    <w:rsid w:val="00056176"/>
    <w:rsid w:val="000562C0"/>
    <w:rsid w:val="00056311"/>
    <w:rsid w:val="0005634D"/>
    <w:rsid w:val="00056811"/>
    <w:rsid w:val="0005682A"/>
    <w:rsid w:val="00056998"/>
    <w:rsid w:val="00056CF6"/>
    <w:rsid w:val="000574E0"/>
    <w:rsid w:val="00057765"/>
    <w:rsid w:val="0006008D"/>
    <w:rsid w:val="00060973"/>
    <w:rsid w:val="0006101D"/>
    <w:rsid w:val="0006123F"/>
    <w:rsid w:val="0006187F"/>
    <w:rsid w:val="00062356"/>
    <w:rsid w:val="00062748"/>
    <w:rsid w:val="00062854"/>
    <w:rsid w:val="00062D2E"/>
    <w:rsid w:val="0006399F"/>
    <w:rsid w:val="000639BF"/>
    <w:rsid w:val="00063F21"/>
    <w:rsid w:val="000649FA"/>
    <w:rsid w:val="00064A70"/>
    <w:rsid w:val="00064B61"/>
    <w:rsid w:val="00064BEF"/>
    <w:rsid w:val="00064DF6"/>
    <w:rsid w:val="00064F61"/>
    <w:rsid w:val="00065BB1"/>
    <w:rsid w:val="00065C79"/>
    <w:rsid w:val="00065E25"/>
    <w:rsid w:val="00066025"/>
    <w:rsid w:val="000661BB"/>
    <w:rsid w:val="000667E0"/>
    <w:rsid w:val="00066939"/>
    <w:rsid w:val="00067334"/>
    <w:rsid w:val="0006740B"/>
    <w:rsid w:val="00067CD0"/>
    <w:rsid w:val="000700DB"/>
    <w:rsid w:val="0007032E"/>
    <w:rsid w:val="00070546"/>
    <w:rsid w:val="000706F6"/>
    <w:rsid w:val="00070C67"/>
    <w:rsid w:val="00070D89"/>
    <w:rsid w:val="00071586"/>
    <w:rsid w:val="00071902"/>
    <w:rsid w:val="00071D3C"/>
    <w:rsid w:val="00071DCC"/>
    <w:rsid w:val="000721A0"/>
    <w:rsid w:val="00072335"/>
    <w:rsid w:val="0007252C"/>
    <w:rsid w:val="0007259A"/>
    <w:rsid w:val="0007265D"/>
    <w:rsid w:val="000729A9"/>
    <w:rsid w:val="00072D94"/>
    <w:rsid w:val="00072F7F"/>
    <w:rsid w:val="00072FF5"/>
    <w:rsid w:val="00073B06"/>
    <w:rsid w:val="00073FFF"/>
    <w:rsid w:val="0007410E"/>
    <w:rsid w:val="0007472D"/>
    <w:rsid w:val="000748EC"/>
    <w:rsid w:val="00074D8B"/>
    <w:rsid w:val="000754FB"/>
    <w:rsid w:val="00076296"/>
    <w:rsid w:val="0007634D"/>
    <w:rsid w:val="00076A38"/>
    <w:rsid w:val="00076CC7"/>
    <w:rsid w:val="00076F47"/>
    <w:rsid w:val="000773BF"/>
    <w:rsid w:val="0007740E"/>
    <w:rsid w:val="00077429"/>
    <w:rsid w:val="00077478"/>
    <w:rsid w:val="000774A1"/>
    <w:rsid w:val="00077BAD"/>
    <w:rsid w:val="00077DB9"/>
    <w:rsid w:val="00080046"/>
    <w:rsid w:val="000807B8"/>
    <w:rsid w:val="00080DEF"/>
    <w:rsid w:val="00081080"/>
    <w:rsid w:val="00081166"/>
    <w:rsid w:val="00081320"/>
    <w:rsid w:val="00081B9F"/>
    <w:rsid w:val="000825AA"/>
    <w:rsid w:val="00082668"/>
    <w:rsid w:val="000826A7"/>
    <w:rsid w:val="00082E24"/>
    <w:rsid w:val="00083023"/>
    <w:rsid w:val="0008304E"/>
    <w:rsid w:val="0008326B"/>
    <w:rsid w:val="00083362"/>
    <w:rsid w:val="00083A3B"/>
    <w:rsid w:val="00083E70"/>
    <w:rsid w:val="00083EB2"/>
    <w:rsid w:val="000843BA"/>
    <w:rsid w:val="00084D8C"/>
    <w:rsid w:val="00085274"/>
    <w:rsid w:val="000853B3"/>
    <w:rsid w:val="00085484"/>
    <w:rsid w:val="000857D6"/>
    <w:rsid w:val="0008652D"/>
    <w:rsid w:val="00086890"/>
    <w:rsid w:val="000869D8"/>
    <w:rsid w:val="00086B94"/>
    <w:rsid w:val="00086F3E"/>
    <w:rsid w:val="00087203"/>
    <w:rsid w:val="00087F35"/>
    <w:rsid w:val="000902D6"/>
    <w:rsid w:val="00090466"/>
    <w:rsid w:val="00090512"/>
    <w:rsid w:val="0009074C"/>
    <w:rsid w:val="00090B1B"/>
    <w:rsid w:val="00090D60"/>
    <w:rsid w:val="000912E6"/>
    <w:rsid w:val="000912FD"/>
    <w:rsid w:val="0009159C"/>
    <w:rsid w:val="000915E0"/>
    <w:rsid w:val="000916A3"/>
    <w:rsid w:val="00091ACD"/>
    <w:rsid w:val="00091DDD"/>
    <w:rsid w:val="0009210E"/>
    <w:rsid w:val="00092393"/>
    <w:rsid w:val="0009273A"/>
    <w:rsid w:val="00092E9C"/>
    <w:rsid w:val="000932CC"/>
    <w:rsid w:val="00093785"/>
    <w:rsid w:val="0009401D"/>
    <w:rsid w:val="00094090"/>
    <w:rsid w:val="00094752"/>
    <w:rsid w:val="00094A98"/>
    <w:rsid w:val="00094D1A"/>
    <w:rsid w:val="00095014"/>
    <w:rsid w:val="00095085"/>
    <w:rsid w:val="00095291"/>
    <w:rsid w:val="0009539E"/>
    <w:rsid w:val="000955EC"/>
    <w:rsid w:val="00095D2B"/>
    <w:rsid w:val="00095E20"/>
    <w:rsid w:val="00096079"/>
    <w:rsid w:val="00096300"/>
    <w:rsid w:val="000967C0"/>
    <w:rsid w:val="00097110"/>
    <w:rsid w:val="00097CA4"/>
    <w:rsid w:val="000A026A"/>
    <w:rsid w:val="000A0278"/>
    <w:rsid w:val="000A04EF"/>
    <w:rsid w:val="000A068D"/>
    <w:rsid w:val="000A0A8F"/>
    <w:rsid w:val="000A0DEC"/>
    <w:rsid w:val="000A1051"/>
    <w:rsid w:val="000A191E"/>
    <w:rsid w:val="000A19AC"/>
    <w:rsid w:val="000A1A25"/>
    <w:rsid w:val="000A1B2A"/>
    <w:rsid w:val="000A1D11"/>
    <w:rsid w:val="000A295E"/>
    <w:rsid w:val="000A362B"/>
    <w:rsid w:val="000A3644"/>
    <w:rsid w:val="000A41D4"/>
    <w:rsid w:val="000A4542"/>
    <w:rsid w:val="000A45FD"/>
    <w:rsid w:val="000A4AFA"/>
    <w:rsid w:val="000A4BF6"/>
    <w:rsid w:val="000A4DAB"/>
    <w:rsid w:val="000A4E6A"/>
    <w:rsid w:val="000A4F63"/>
    <w:rsid w:val="000A50CF"/>
    <w:rsid w:val="000A5430"/>
    <w:rsid w:val="000A5491"/>
    <w:rsid w:val="000A5BF0"/>
    <w:rsid w:val="000A6445"/>
    <w:rsid w:val="000A7221"/>
    <w:rsid w:val="000A7338"/>
    <w:rsid w:val="000A7415"/>
    <w:rsid w:val="000A7557"/>
    <w:rsid w:val="000A75FC"/>
    <w:rsid w:val="000A79DD"/>
    <w:rsid w:val="000A7D41"/>
    <w:rsid w:val="000A7E5D"/>
    <w:rsid w:val="000A7E87"/>
    <w:rsid w:val="000B04E5"/>
    <w:rsid w:val="000B05CF"/>
    <w:rsid w:val="000B14D3"/>
    <w:rsid w:val="000B2138"/>
    <w:rsid w:val="000B26E3"/>
    <w:rsid w:val="000B2BF2"/>
    <w:rsid w:val="000B2C27"/>
    <w:rsid w:val="000B2D91"/>
    <w:rsid w:val="000B2FDB"/>
    <w:rsid w:val="000B3666"/>
    <w:rsid w:val="000B3D47"/>
    <w:rsid w:val="000B3DEA"/>
    <w:rsid w:val="000B45A0"/>
    <w:rsid w:val="000B46B1"/>
    <w:rsid w:val="000B4A3E"/>
    <w:rsid w:val="000B4D9D"/>
    <w:rsid w:val="000B52D2"/>
    <w:rsid w:val="000B564B"/>
    <w:rsid w:val="000B5C77"/>
    <w:rsid w:val="000B61AF"/>
    <w:rsid w:val="000B62D9"/>
    <w:rsid w:val="000B643B"/>
    <w:rsid w:val="000B6452"/>
    <w:rsid w:val="000B6573"/>
    <w:rsid w:val="000B6F96"/>
    <w:rsid w:val="000B729B"/>
    <w:rsid w:val="000B7A2E"/>
    <w:rsid w:val="000C03C6"/>
    <w:rsid w:val="000C08A3"/>
    <w:rsid w:val="000C134A"/>
    <w:rsid w:val="000C1B83"/>
    <w:rsid w:val="000C1EE2"/>
    <w:rsid w:val="000C2C65"/>
    <w:rsid w:val="000C2DC5"/>
    <w:rsid w:val="000C2E8D"/>
    <w:rsid w:val="000C3559"/>
    <w:rsid w:val="000C3685"/>
    <w:rsid w:val="000C393A"/>
    <w:rsid w:val="000C3BD8"/>
    <w:rsid w:val="000C4004"/>
    <w:rsid w:val="000C416B"/>
    <w:rsid w:val="000C4F29"/>
    <w:rsid w:val="000C5164"/>
    <w:rsid w:val="000C544E"/>
    <w:rsid w:val="000C5E08"/>
    <w:rsid w:val="000C70F8"/>
    <w:rsid w:val="000C76D1"/>
    <w:rsid w:val="000C779F"/>
    <w:rsid w:val="000C789A"/>
    <w:rsid w:val="000C7E0B"/>
    <w:rsid w:val="000C7F22"/>
    <w:rsid w:val="000D07D4"/>
    <w:rsid w:val="000D0804"/>
    <w:rsid w:val="000D0E24"/>
    <w:rsid w:val="000D0EE3"/>
    <w:rsid w:val="000D1034"/>
    <w:rsid w:val="000D1094"/>
    <w:rsid w:val="000D1B12"/>
    <w:rsid w:val="000D1B6D"/>
    <w:rsid w:val="000D1D17"/>
    <w:rsid w:val="000D2219"/>
    <w:rsid w:val="000D2743"/>
    <w:rsid w:val="000D29DA"/>
    <w:rsid w:val="000D3165"/>
    <w:rsid w:val="000D3FC6"/>
    <w:rsid w:val="000D4339"/>
    <w:rsid w:val="000D4371"/>
    <w:rsid w:val="000D4619"/>
    <w:rsid w:val="000D4EDB"/>
    <w:rsid w:val="000D5506"/>
    <w:rsid w:val="000D599A"/>
    <w:rsid w:val="000D5ABF"/>
    <w:rsid w:val="000D5AC8"/>
    <w:rsid w:val="000D6077"/>
    <w:rsid w:val="000D63C3"/>
    <w:rsid w:val="000D6799"/>
    <w:rsid w:val="000D7045"/>
    <w:rsid w:val="000D780E"/>
    <w:rsid w:val="000D78C1"/>
    <w:rsid w:val="000D7B60"/>
    <w:rsid w:val="000E0500"/>
    <w:rsid w:val="000E0507"/>
    <w:rsid w:val="000E06CA"/>
    <w:rsid w:val="000E07DE"/>
    <w:rsid w:val="000E0F8E"/>
    <w:rsid w:val="000E1195"/>
    <w:rsid w:val="000E1276"/>
    <w:rsid w:val="000E1A92"/>
    <w:rsid w:val="000E1D9F"/>
    <w:rsid w:val="000E1EC0"/>
    <w:rsid w:val="000E2322"/>
    <w:rsid w:val="000E25B0"/>
    <w:rsid w:val="000E2915"/>
    <w:rsid w:val="000E3F77"/>
    <w:rsid w:val="000E4271"/>
    <w:rsid w:val="000E456B"/>
    <w:rsid w:val="000E4913"/>
    <w:rsid w:val="000E4E2E"/>
    <w:rsid w:val="000E4E4E"/>
    <w:rsid w:val="000E59D6"/>
    <w:rsid w:val="000E5B37"/>
    <w:rsid w:val="000E5D2A"/>
    <w:rsid w:val="000E6270"/>
    <w:rsid w:val="000E6E4B"/>
    <w:rsid w:val="000F0E14"/>
    <w:rsid w:val="000F0F00"/>
    <w:rsid w:val="000F11D3"/>
    <w:rsid w:val="000F12FB"/>
    <w:rsid w:val="000F1DF5"/>
    <w:rsid w:val="000F1E92"/>
    <w:rsid w:val="000F232A"/>
    <w:rsid w:val="000F23A4"/>
    <w:rsid w:val="000F296F"/>
    <w:rsid w:val="000F2A2E"/>
    <w:rsid w:val="000F32C8"/>
    <w:rsid w:val="000F3689"/>
    <w:rsid w:val="000F36B6"/>
    <w:rsid w:val="000F36BB"/>
    <w:rsid w:val="000F43D6"/>
    <w:rsid w:val="000F4A12"/>
    <w:rsid w:val="000F4A7C"/>
    <w:rsid w:val="000F4EB4"/>
    <w:rsid w:val="000F56BE"/>
    <w:rsid w:val="000F58C5"/>
    <w:rsid w:val="000F5BB4"/>
    <w:rsid w:val="000F6023"/>
    <w:rsid w:val="000F61B5"/>
    <w:rsid w:val="000F61F4"/>
    <w:rsid w:val="000F620C"/>
    <w:rsid w:val="000F626D"/>
    <w:rsid w:val="000F644B"/>
    <w:rsid w:val="000F6729"/>
    <w:rsid w:val="000F7274"/>
    <w:rsid w:val="000F7418"/>
    <w:rsid w:val="001006A6"/>
    <w:rsid w:val="001014F8"/>
    <w:rsid w:val="00101898"/>
    <w:rsid w:val="00101AE2"/>
    <w:rsid w:val="00101CA1"/>
    <w:rsid w:val="00101E49"/>
    <w:rsid w:val="00102940"/>
    <w:rsid w:val="001035CA"/>
    <w:rsid w:val="00103739"/>
    <w:rsid w:val="00103A41"/>
    <w:rsid w:val="001043AB"/>
    <w:rsid w:val="00104859"/>
    <w:rsid w:val="00104B25"/>
    <w:rsid w:val="00104EEA"/>
    <w:rsid w:val="00106090"/>
    <w:rsid w:val="001061A9"/>
    <w:rsid w:val="00106671"/>
    <w:rsid w:val="00106BAA"/>
    <w:rsid w:val="001071E1"/>
    <w:rsid w:val="00107430"/>
    <w:rsid w:val="001076C7"/>
    <w:rsid w:val="001078FC"/>
    <w:rsid w:val="00107A17"/>
    <w:rsid w:val="00110474"/>
    <w:rsid w:val="001108BA"/>
    <w:rsid w:val="001108FE"/>
    <w:rsid w:val="00110A9D"/>
    <w:rsid w:val="00110C28"/>
    <w:rsid w:val="00110CE4"/>
    <w:rsid w:val="00110DCF"/>
    <w:rsid w:val="00110E41"/>
    <w:rsid w:val="001111A8"/>
    <w:rsid w:val="0011164D"/>
    <w:rsid w:val="0011253F"/>
    <w:rsid w:val="0011280D"/>
    <w:rsid w:val="001132FE"/>
    <w:rsid w:val="0011362B"/>
    <w:rsid w:val="00113705"/>
    <w:rsid w:val="0011395F"/>
    <w:rsid w:val="00113A4C"/>
    <w:rsid w:val="00113B15"/>
    <w:rsid w:val="00113B57"/>
    <w:rsid w:val="00113B79"/>
    <w:rsid w:val="0011421A"/>
    <w:rsid w:val="001147CF"/>
    <w:rsid w:val="00114BBD"/>
    <w:rsid w:val="0011557C"/>
    <w:rsid w:val="00115D25"/>
    <w:rsid w:val="0011612A"/>
    <w:rsid w:val="001169A3"/>
    <w:rsid w:val="00116B89"/>
    <w:rsid w:val="00116FFE"/>
    <w:rsid w:val="00117195"/>
    <w:rsid w:val="00120595"/>
    <w:rsid w:val="00120A54"/>
    <w:rsid w:val="00120B8B"/>
    <w:rsid w:val="0012114D"/>
    <w:rsid w:val="001212D5"/>
    <w:rsid w:val="001214CD"/>
    <w:rsid w:val="0012168A"/>
    <w:rsid w:val="00121B88"/>
    <w:rsid w:val="001220B9"/>
    <w:rsid w:val="001222BA"/>
    <w:rsid w:val="001224C6"/>
    <w:rsid w:val="00122753"/>
    <w:rsid w:val="00122B4C"/>
    <w:rsid w:val="001231EE"/>
    <w:rsid w:val="00123209"/>
    <w:rsid w:val="00123BEC"/>
    <w:rsid w:val="00123E3F"/>
    <w:rsid w:val="00124333"/>
    <w:rsid w:val="00124595"/>
    <w:rsid w:val="0012459D"/>
    <w:rsid w:val="00124734"/>
    <w:rsid w:val="001247B2"/>
    <w:rsid w:val="00124B5B"/>
    <w:rsid w:val="00124CDD"/>
    <w:rsid w:val="00125064"/>
    <w:rsid w:val="0012520D"/>
    <w:rsid w:val="00125787"/>
    <w:rsid w:val="001258FA"/>
    <w:rsid w:val="001259ED"/>
    <w:rsid w:val="00125AD6"/>
    <w:rsid w:val="0012607F"/>
    <w:rsid w:val="001266D2"/>
    <w:rsid w:val="00126976"/>
    <w:rsid w:val="001269C7"/>
    <w:rsid w:val="001274BC"/>
    <w:rsid w:val="001274C7"/>
    <w:rsid w:val="001274D9"/>
    <w:rsid w:val="0012775C"/>
    <w:rsid w:val="001279EE"/>
    <w:rsid w:val="00127A08"/>
    <w:rsid w:val="001300C5"/>
    <w:rsid w:val="00130373"/>
    <w:rsid w:val="001305B8"/>
    <w:rsid w:val="001308B9"/>
    <w:rsid w:val="001309F7"/>
    <w:rsid w:val="00130A64"/>
    <w:rsid w:val="00130A95"/>
    <w:rsid w:val="00130D53"/>
    <w:rsid w:val="00130F12"/>
    <w:rsid w:val="00131280"/>
    <w:rsid w:val="00131988"/>
    <w:rsid w:val="00131FB3"/>
    <w:rsid w:val="0013200B"/>
    <w:rsid w:val="001329D3"/>
    <w:rsid w:val="00132F58"/>
    <w:rsid w:val="00133739"/>
    <w:rsid w:val="00133AED"/>
    <w:rsid w:val="00133C56"/>
    <w:rsid w:val="00134B7A"/>
    <w:rsid w:val="00134DCB"/>
    <w:rsid w:val="00135337"/>
    <w:rsid w:val="001355FB"/>
    <w:rsid w:val="0013595F"/>
    <w:rsid w:val="00135B2B"/>
    <w:rsid w:val="001368FE"/>
    <w:rsid w:val="00136B30"/>
    <w:rsid w:val="00136BA9"/>
    <w:rsid w:val="001374BC"/>
    <w:rsid w:val="00137C68"/>
    <w:rsid w:val="001401D3"/>
    <w:rsid w:val="001407A1"/>
    <w:rsid w:val="00140E48"/>
    <w:rsid w:val="0014107E"/>
    <w:rsid w:val="001410D2"/>
    <w:rsid w:val="001411A1"/>
    <w:rsid w:val="00141D3F"/>
    <w:rsid w:val="00142333"/>
    <w:rsid w:val="0014258B"/>
    <w:rsid w:val="001426CC"/>
    <w:rsid w:val="00142C18"/>
    <w:rsid w:val="001447D9"/>
    <w:rsid w:val="0014498D"/>
    <w:rsid w:val="0014541D"/>
    <w:rsid w:val="00145480"/>
    <w:rsid w:val="00145541"/>
    <w:rsid w:val="00146303"/>
    <w:rsid w:val="0014630E"/>
    <w:rsid w:val="00146453"/>
    <w:rsid w:val="0014678D"/>
    <w:rsid w:val="00146815"/>
    <w:rsid w:val="00146A93"/>
    <w:rsid w:val="00146AFE"/>
    <w:rsid w:val="00146EEB"/>
    <w:rsid w:val="00147349"/>
    <w:rsid w:val="0014776C"/>
    <w:rsid w:val="0014777E"/>
    <w:rsid w:val="00147996"/>
    <w:rsid w:val="00147EAD"/>
    <w:rsid w:val="00150ABE"/>
    <w:rsid w:val="00151375"/>
    <w:rsid w:val="00151390"/>
    <w:rsid w:val="00151A84"/>
    <w:rsid w:val="00151CCE"/>
    <w:rsid w:val="001520FA"/>
    <w:rsid w:val="00152631"/>
    <w:rsid w:val="00152A89"/>
    <w:rsid w:val="001531F7"/>
    <w:rsid w:val="00153216"/>
    <w:rsid w:val="0015336B"/>
    <w:rsid w:val="001537A4"/>
    <w:rsid w:val="00153AC8"/>
    <w:rsid w:val="00153B31"/>
    <w:rsid w:val="00153BB1"/>
    <w:rsid w:val="001542B6"/>
    <w:rsid w:val="001544E0"/>
    <w:rsid w:val="00154ED1"/>
    <w:rsid w:val="001555F4"/>
    <w:rsid w:val="0015573A"/>
    <w:rsid w:val="00155AC5"/>
    <w:rsid w:val="00155B51"/>
    <w:rsid w:val="00155E8F"/>
    <w:rsid w:val="00156EE1"/>
    <w:rsid w:val="00156F24"/>
    <w:rsid w:val="00157158"/>
    <w:rsid w:val="001571DE"/>
    <w:rsid w:val="001572A0"/>
    <w:rsid w:val="00157525"/>
    <w:rsid w:val="001575D7"/>
    <w:rsid w:val="001576D4"/>
    <w:rsid w:val="001600DF"/>
    <w:rsid w:val="001606DF"/>
    <w:rsid w:val="00160A22"/>
    <w:rsid w:val="00161DE6"/>
    <w:rsid w:val="00161EDA"/>
    <w:rsid w:val="0016260E"/>
    <w:rsid w:val="00162857"/>
    <w:rsid w:val="00162FA9"/>
    <w:rsid w:val="0016308B"/>
    <w:rsid w:val="00164983"/>
    <w:rsid w:val="00164EF0"/>
    <w:rsid w:val="001658DA"/>
    <w:rsid w:val="00165AE4"/>
    <w:rsid w:val="00165FB1"/>
    <w:rsid w:val="00166D4D"/>
    <w:rsid w:val="00166F10"/>
    <w:rsid w:val="00167889"/>
    <w:rsid w:val="00170031"/>
    <w:rsid w:val="0017009B"/>
    <w:rsid w:val="00170316"/>
    <w:rsid w:val="001703AB"/>
    <w:rsid w:val="001708C2"/>
    <w:rsid w:val="00170D20"/>
    <w:rsid w:val="00171EC1"/>
    <w:rsid w:val="00172C6D"/>
    <w:rsid w:val="00172DCC"/>
    <w:rsid w:val="00173149"/>
    <w:rsid w:val="001733E1"/>
    <w:rsid w:val="0017357E"/>
    <w:rsid w:val="00173AE2"/>
    <w:rsid w:val="00173F56"/>
    <w:rsid w:val="001742D3"/>
    <w:rsid w:val="001745B3"/>
    <w:rsid w:val="00174901"/>
    <w:rsid w:val="00174C79"/>
    <w:rsid w:val="00174EB2"/>
    <w:rsid w:val="00174EFB"/>
    <w:rsid w:val="001750F2"/>
    <w:rsid w:val="0017529F"/>
    <w:rsid w:val="001753FD"/>
    <w:rsid w:val="00175692"/>
    <w:rsid w:val="00175AAD"/>
    <w:rsid w:val="00175F09"/>
    <w:rsid w:val="00176888"/>
    <w:rsid w:val="00176BA5"/>
    <w:rsid w:val="001772F9"/>
    <w:rsid w:val="0018018B"/>
    <w:rsid w:val="001803AA"/>
    <w:rsid w:val="00181217"/>
    <w:rsid w:val="001814BC"/>
    <w:rsid w:val="00181A69"/>
    <w:rsid w:val="00181B0D"/>
    <w:rsid w:val="00181F17"/>
    <w:rsid w:val="00181FE5"/>
    <w:rsid w:val="001822A1"/>
    <w:rsid w:val="00182308"/>
    <w:rsid w:val="00182E65"/>
    <w:rsid w:val="00183458"/>
    <w:rsid w:val="0018375F"/>
    <w:rsid w:val="0018390A"/>
    <w:rsid w:val="0018398D"/>
    <w:rsid w:val="00183A8C"/>
    <w:rsid w:val="00183E36"/>
    <w:rsid w:val="001844C4"/>
    <w:rsid w:val="001844F8"/>
    <w:rsid w:val="00184664"/>
    <w:rsid w:val="001850A4"/>
    <w:rsid w:val="00185977"/>
    <w:rsid w:val="00185C7F"/>
    <w:rsid w:val="00185DB4"/>
    <w:rsid w:val="00185DCC"/>
    <w:rsid w:val="00185DF8"/>
    <w:rsid w:val="00186215"/>
    <w:rsid w:val="00186482"/>
    <w:rsid w:val="00186C04"/>
    <w:rsid w:val="00186CB5"/>
    <w:rsid w:val="00186E99"/>
    <w:rsid w:val="001870BA"/>
    <w:rsid w:val="0018710A"/>
    <w:rsid w:val="00187280"/>
    <w:rsid w:val="00187F39"/>
    <w:rsid w:val="00190934"/>
    <w:rsid w:val="00190B67"/>
    <w:rsid w:val="00190C7A"/>
    <w:rsid w:val="00190CDF"/>
    <w:rsid w:val="00190DE9"/>
    <w:rsid w:val="00190FB0"/>
    <w:rsid w:val="00191044"/>
    <w:rsid w:val="0019182F"/>
    <w:rsid w:val="00191A5B"/>
    <w:rsid w:val="00191D63"/>
    <w:rsid w:val="00191E7A"/>
    <w:rsid w:val="00192051"/>
    <w:rsid w:val="001928A9"/>
    <w:rsid w:val="00192DA0"/>
    <w:rsid w:val="00192F36"/>
    <w:rsid w:val="00193417"/>
    <w:rsid w:val="0019346A"/>
    <w:rsid w:val="001937E8"/>
    <w:rsid w:val="00193844"/>
    <w:rsid w:val="00193BA7"/>
    <w:rsid w:val="00193E03"/>
    <w:rsid w:val="00194162"/>
    <w:rsid w:val="001944FC"/>
    <w:rsid w:val="001948AA"/>
    <w:rsid w:val="00194C76"/>
    <w:rsid w:val="00194E7A"/>
    <w:rsid w:val="00194F12"/>
    <w:rsid w:val="00195080"/>
    <w:rsid w:val="00196188"/>
    <w:rsid w:val="00196357"/>
    <w:rsid w:val="001964D4"/>
    <w:rsid w:val="00196626"/>
    <w:rsid w:val="001966D3"/>
    <w:rsid w:val="00196A9A"/>
    <w:rsid w:val="00196E3F"/>
    <w:rsid w:val="00197162"/>
    <w:rsid w:val="001972AF"/>
    <w:rsid w:val="0019736B"/>
    <w:rsid w:val="00197700"/>
    <w:rsid w:val="00197B8D"/>
    <w:rsid w:val="00197E87"/>
    <w:rsid w:val="00197E9B"/>
    <w:rsid w:val="001A00DF"/>
    <w:rsid w:val="001A0363"/>
    <w:rsid w:val="001A0E4A"/>
    <w:rsid w:val="001A11CB"/>
    <w:rsid w:val="001A16B2"/>
    <w:rsid w:val="001A16BF"/>
    <w:rsid w:val="001A1A10"/>
    <w:rsid w:val="001A2271"/>
    <w:rsid w:val="001A24CD"/>
    <w:rsid w:val="001A25C1"/>
    <w:rsid w:val="001A27A3"/>
    <w:rsid w:val="001A2A1F"/>
    <w:rsid w:val="001A2D57"/>
    <w:rsid w:val="001A2DE9"/>
    <w:rsid w:val="001A3120"/>
    <w:rsid w:val="001A3443"/>
    <w:rsid w:val="001A3842"/>
    <w:rsid w:val="001A3C5B"/>
    <w:rsid w:val="001A4414"/>
    <w:rsid w:val="001A4C49"/>
    <w:rsid w:val="001A4D19"/>
    <w:rsid w:val="001A507F"/>
    <w:rsid w:val="001A58A2"/>
    <w:rsid w:val="001A59B5"/>
    <w:rsid w:val="001A6000"/>
    <w:rsid w:val="001A67A1"/>
    <w:rsid w:val="001A69F9"/>
    <w:rsid w:val="001A73E8"/>
    <w:rsid w:val="001A750F"/>
    <w:rsid w:val="001A79CC"/>
    <w:rsid w:val="001A7B0E"/>
    <w:rsid w:val="001A7B78"/>
    <w:rsid w:val="001A7EFC"/>
    <w:rsid w:val="001B07A5"/>
    <w:rsid w:val="001B0828"/>
    <w:rsid w:val="001B16C9"/>
    <w:rsid w:val="001B1939"/>
    <w:rsid w:val="001B243D"/>
    <w:rsid w:val="001B2BE3"/>
    <w:rsid w:val="001B2E4D"/>
    <w:rsid w:val="001B31C3"/>
    <w:rsid w:val="001B32B0"/>
    <w:rsid w:val="001B3447"/>
    <w:rsid w:val="001B3CFB"/>
    <w:rsid w:val="001B3DD1"/>
    <w:rsid w:val="001B4257"/>
    <w:rsid w:val="001B42C9"/>
    <w:rsid w:val="001B46CE"/>
    <w:rsid w:val="001B4D90"/>
    <w:rsid w:val="001B51E0"/>
    <w:rsid w:val="001B54D0"/>
    <w:rsid w:val="001B567F"/>
    <w:rsid w:val="001B5887"/>
    <w:rsid w:val="001B5956"/>
    <w:rsid w:val="001B5EFC"/>
    <w:rsid w:val="001B5F1A"/>
    <w:rsid w:val="001B6429"/>
    <w:rsid w:val="001B676E"/>
    <w:rsid w:val="001B6CFA"/>
    <w:rsid w:val="001B7155"/>
    <w:rsid w:val="001C0281"/>
    <w:rsid w:val="001C0446"/>
    <w:rsid w:val="001C062B"/>
    <w:rsid w:val="001C0FB5"/>
    <w:rsid w:val="001C1615"/>
    <w:rsid w:val="001C2127"/>
    <w:rsid w:val="001C247C"/>
    <w:rsid w:val="001C2498"/>
    <w:rsid w:val="001C2A8C"/>
    <w:rsid w:val="001C3655"/>
    <w:rsid w:val="001C39AD"/>
    <w:rsid w:val="001C3ACB"/>
    <w:rsid w:val="001C3B9D"/>
    <w:rsid w:val="001C434C"/>
    <w:rsid w:val="001C47FA"/>
    <w:rsid w:val="001C5247"/>
    <w:rsid w:val="001C53E3"/>
    <w:rsid w:val="001C6008"/>
    <w:rsid w:val="001C6867"/>
    <w:rsid w:val="001C68A8"/>
    <w:rsid w:val="001C6BB6"/>
    <w:rsid w:val="001C738A"/>
    <w:rsid w:val="001C73EE"/>
    <w:rsid w:val="001C7582"/>
    <w:rsid w:val="001D049C"/>
    <w:rsid w:val="001D0991"/>
    <w:rsid w:val="001D1033"/>
    <w:rsid w:val="001D1602"/>
    <w:rsid w:val="001D1AD6"/>
    <w:rsid w:val="001D28EA"/>
    <w:rsid w:val="001D2AD9"/>
    <w:rsid w:val="001D2BFC"/>
    <w:rsid w:val="001D3D7F"/>
    <w:rsid w:val="001D3DC1"/>
    <w:rsid w:val="001D3F68"/>
    <w:rsid w:val="001D486A"/>
    <w:rsid w:val="001D490A"/>
    <w:rsid w:val="001D4CEC"/>
    <w:rsid w:val="001D5079"/>
    <w:rsid w:val="001D57F4"/>
    <w:rsid w:val="001D6EE2"/>
    <w:rsid w:val="001D71CF"/>
    <w:rsid w:val="001D7273"/>
    <w:rsid w:val="001D7613"/>
    <w:rsid w:val="001D7F86"/>
    <w:rsid w:val="001E01ED"/>
    <w:rsid w:val="001E048F"/>
    <w:rsid w:val="001E0764"/>
    <w:rsid w:val="001E0E59"/>
    <w:rsid w:val="001E14C0"/>
    <w:rsid w:val="001E173E"/>
    <w:rsid w:val="001E1C55"/>
    <w:rsid w:val="001E1CFD"/>
    <w:rsid w:val="001E23F5"/>
    <w:rsid w:val="001E26AD"/>
    <w:rsid w:val="001E2A48"/>
    <w:rsid w:val="001E2AEA"/>
    <w:rsid w:val="001E2F1A"/>
    <w:rsid w:val="001E32C0"/>
    <w:rsid w:val="001E3CBE"/>
    <w:rsid w:val="001E41B7"/>
    <w:rsid w:val="001E4333"/>
    <w:rsid w:val="001E54DE"/>
    <w:rsid w:val="001E6C9D"/>
    <w:rsid w:val="001E747F"/>
    <w:rsid w:val="001E7820"/>
    <w:rsid w:val="001E78DE"/>
    <w:rsid w:val="001F0172"/>
    <w:rsid w:val="001F01C0"/>
    <w:rsid w:val="001F04C9"/>
    <w:rsid w:val="001F06C3"/>
    <w:rsid w:val="001F071C"/>
    <w:rsid w:val="001F083E"/>
    <w:rsid w:val="001F08E2"/>
    <w:rsid w:val="001F24F6"/>
    <w:rsid w:val="001F2B7A"/>
    <w:rsid w:val="001F2BDD"/>
    <w:rsid w:val="001F2C0A"/>
    <w:rsid w:val="001F3183"/>
    <w:rsid w:val="001F3555"/>
    <w:rsid w:val="001F3584"/>
    <w:rsid w:val="001F3861"/>
    <w:rsid w:val="001F3D99"/>
    <w:rsid w:val="001F48B8"/>
    <w:rsid w:val="001F4DEE"/>
    <w:rsid w:val="001F4E52"/>
    <w:rsid w:val="001F531E"/>
    <w:rsid w:val="001F552D"/>
    <w:rsid w:val="001F5679"/>
    <w:rsid w:val="001F5B4B"/>
    <w:rsid w:val="001F5D94"/>
    <w:rsid w:val="001F640A"/>
    <w:rsid w:val="001F6A32"/>
    <w:rsid w:val="001F6DAF"/>
    <w:rsid w:val="001F6EB5"/>
    <w:rsid w:val="001F70C3"/>
    <w:rsid w:val="001F7235"/>
    <w:rsid w:val="001F73FD"/>
    <w:rsid w:val="001F74F6"/>
    <w:rsid w:val="001F784D"/>
    <w:rsid w:val="001F7C5B"/>
    <w:rsid w:val="001F7F0C"/>
    <w:rsid w:val="0020014B"/>
    <w:rsid w:val="00200630"/>
    <w:rsid w:val="00200896"/>
    <w:rsid w:val="00200DAE"/>
    <w:rsid w:val="00200EE9"/>
    <w:rsid w:val="00201A3D"/>
    <w:rsid w:val="00201EBA"/>
    <w:rsid w:val="00202573"/>
    <w:rsid w:val="00202F97"/>
    <w:rsid w:val="00203092"/>
    <w:rsid w:val="00203179"/>
    <w:rsid w:val="002032C2"/>
    <w:rsid w:val="00203B15"/>
    <w:rsid w:val="00203B95"/>
    <w:rsid w:val="00204166"/>
    <w:rsid w:val="00204341"/>
    <w:rsid w:val="002046D9"/>
    <w:rsid w:val="00204856"/>
    <w:rsid w:val="00204C94"/>
    <w:rsid w:val="00204EE8"/>
    <w:rsid w:val="00205297"/>
    <w:rsid w:val="0020545F"/>
    <w:rsid w:val="00205635"/>
    <w:rsid w:val="0020572C"/>
    <w:rsid w:val="0020578F"/>
    <w:rsid w:val="00205BBC"/>
    <w:rsid w:val="0020610D"/>
    <w:rsid w:val="0020622E"/>
    <w:rsid w:val="00206815"/>
    <w:rsid w:val="00206D11"/>
    <w:rsid w:val="00206D71"/>
    <w:rsid w:val="0020703C"/>
    <w:rsid w:val="00207107"/>
    <w:rsid w:val="0020722A"/>
    <w:rsid w:val="00207D90"/>
    <w:rsid w:val="00207FA5"/>
    <w:rsid w:val="002102F9"/>
    <w:rsid w:val="002106B4"/>
    <w:rsid w:val="00211316"/>
    <w:rsid w:val="002118C3"/>
    <w:rsid w:val="002120AD"/>
    <w:rsid w:val="00212193"/>
    <w:rsid w:val="00212723"/>
    <w:rsid w:val="002128DA"/>
    <w:rsid w:val="00212DF6"/>
    <w:rsid w:val="0021303A"/>
    <w:rsid w:val="00213F24"/>
    <w:rsid w:val="002147D8"/>
    <w:rsid w:val="00214D92"/>
    <w:rsid w:val="0021505B"/>
    <w:rsid w:val="002155B6"/>
    <w:rsid w:val="00215E3D"/>
    <w:rsid w:val="002160FB"/>
    <w:rsid w:val="002161CD"/>
    <w:rsid w:val="002163EF"/>
    <w:rsid w:val="0021661C"/>
    <w:rsid w:val="00216D4A"/>
    <w:rsid w:val="00217745"/>
    <w:rsid w:val="002177A0"/>
    <w:rsid w:val="00217CB5"/>
    <w:rsid w:val="00220071"/>
    <w:rsid w:val="00220086"/>
    <w:rsid w:val="00220089"/>
    <w:rsid w:val="00220093"/>
    <w:rsid w:val="0022062F"/>
    <w:rsid w:val="0022071F"/>
    <w:rsid w:val="0022072D"/>
    <w:rsid w:val="00220B8E"/>
    <w:rsid w:val="00220CF0"/>
    <w:rsid w:val="00220DE9"/>
    <w:rsid w:val="00220E43"/>
    <w:rsid w:val="0022105C"/>
    <w:rsid w:val="00221073"/>
    <w:rsid w:val="0022136C"/>
    <w:rsid w:val="0022160B"/>
    <w:rsid w:val="002223EE"/>
    <w:rsid w:val="002229B7"/>
    <w:rsid w:val="00222A7E"/>
    <w:rsid w:val="00222C83"/>
    <w:rsid w:val="00223DF7"/>
    <w:rsid w:val="00223E9D"/>
    <w:rsid w:val="00224263"/>
    <w:rsid w:val="0022460A"/>
    <w:rsid w:val="002246BC"/>
    <w:rsid w:val="00224858"/>
    <w:rsid w:val="00224A24"/>
    <w:rsid w:val="00224EAF"/>
    <w:rsid w:val="00224F30"/>
    <w:rsid w:val="002251D5"/>
    <w:rsid w:val="0022568B"/>
    <w:rsid w:val="00225A3A"/>
    <w:rsid w:val="00225F4A"/>
    <w:rsid w:val="00226623"/>
    <w:rsid w:val="002268EC"/>
    <w:rsid w:val="00226B60"/>
    <w:rsid w:val="00226DB0"/>
    <w:rsid w:val="0022714A"/>
    <w:rsid w:val="00227552"/>
    <w:rsid w:val="00227566"/>
    <w:rsid w:val="0022772E"/>
    <w:rsid w:val="00227859"/>
    <w:rsid w:val="00227B8B"/>
    <w:rsid w:val="00227E4F"/>
    <w:rsid w:val="00227F2C"/>
    <w:rsid w:val="00230450"/>
    <w:rsid w:val="00230546"/>
    <w:rsid w:val="002307B9"/>
    <w:rsid w:val="00230970"/>
    <w:rsid w:val="00230BF7"/>
    <w:rsid w:val="00230C82"/>
    <w:rsid w:val="00231142"/>
    <w:rsid w:val="00231464"/>
    <w:rsid w:val="00231AA4"/>
    <w:rsid w:val="00232D19"/>
    <w:rsid w:val="00232F33"/>
    <w:rsid w:val="00233DA7"/>
    <w:rsid w:val="0023498C"/>
    <w:rsid w:val="00234DC1"/>
    <w:rsid w:val="0023615A"/>
    <w:rsid w:val="002362F5"/>
    <w:rsid w:val="00236616"/>
    <w:rsid w:val="00236AFD"/>
    <w:rsid w:val="00236CA0"/>
    <w:rsid w:val="00236E6A"/>
    <w:rsid w:val="002377DD"/>
    <w:rsid w:val="002404C2"/>
    <w:rsid w:val="00240E46"/>
    <w:rsid w:val="002411A4"/>
    <w:rsid w:val="0024155F"/>
    <w:rsid w:val="00242081"/>
    <w:rsid w:val="0024254F"/>
    <w:rsid w:val="002428F4"/>
    <w:rsid w:val="00242AB6"/>
    <w:rsid w:val="00242F18"/>
    <w:rsid w:val="0024303D"/>
    <w:rsid w:val="002430F6"/>
    <w:rsid w:val="0024394E"/>
    <w:rsid w:val="00243ADE"/>
    <w:rsid w:val="00243B6C"/>
    <w:rsid w:val="00243D81"/>
    <w:rsid w:val="00243F0E"/>
    <w:rsid w:val="0024420C"/>
    <w:rsid w:val="00244B89"/>
    <w:rsid w:val="00244F82"/>
    <w:rsid w:val="00245375"/>
    <w:rsid w:val="00245406"/>
    <w:rsid w:val="0024546D"/>
    <w:rsid w:val="00245A39"/>
    <w:rsid w:val="00245B85"/>
    <w:rsid w:val="00245D7D"/>
    <w:rsid w:val="00246035"/>
    <w:rsid w:val="00246710"/>
    <w:rsid w:val="00247493"/>
    <w:rsid w:val="00247496"/>
    <w:rsid w:val="00247E0F"/>
    <w:rsid w:val="00247EDE"/>
    <w:rsid w:val="00250425"/>
    <w:rsid w:val="002505D3"/>
    <w:rsid w:val="002508CE"/>
    <w:rsid w:val="00250BE4"/>
    <w:rsid w:val="00250C56"/>
    <w:rsid w:val="00250D7F"/>
    <w:rsid w:val="00250FFC"/>
    <w:rsid w:val="00251311"/>
    <w:rsid w:val="00251432"/>
    <w:rsid w:val="002517CD"/>
    <w:rsid w:val="002519C7"/>
    <w:rsid w:val="002528CB"/>
    <w:rsid w:val="00252CB5"/>
    <w:rsid w:val="00252D8B"/>
    <w:rsid w:val="00253228"/>
    <w:rsid w:val="002534D2"/>
    <w:rsid w:val="0025359A"/>
    <w:rsid w:val="00253675"/>
    <w:rsid w:val="00253F27"/>
    <w:rsid w:val="00254055"/>
    <w:rsid w:val="0025444E"/>
    <w:rsid w:val="0025487B"/>
    <w:rsid w:val="00254CC4"/>
    <w:rsid w:val="00254DE4"/>
    <w:rsid w:val="002553D4"/>
    <w:rsid w:val="00255579"/>
    <w:rsid w:val="002555A9"/>
    <w:rsid w:val="00256080"/>
    <w:rsid w:val="002568E9"/>
    <w:rsid w:val="00256D87"/>
    <w:rsid w:val="002573FD"/>
    <w:rsid w:val="002574D2"/>
    <w:rsid w:val="00257D6F"/>
    <w:rsid w:val="00257DDE"/>
    <w:rsid w:val="00260469"/>
    <w:rsid w:val="002604BE"/>
    <w:rsid w:val="002615A1"/>
    <w:rsid w:val="00261A5B"/>
    <w:rsid w:val="00261A6C"/>
    <w:rsid w:val="00261E81"/>
    <w:rsid w:val="00263127"/>
    <w:rsid w:val="00263290"/>
    <w:rsid w:val="00263D28"/>
    <w:rsid w:val="002642EB"/>
    <w:rsid w:val="002645A3"/>
    <w:rsid w:val="0026479E"/>
    <w:rsid w:val="00264B45"/>
    <w:rsid w:val="00264D9C"/>
    <w:rsid w:val="002651AB"/>
    <w:rsid w:val="00266BFC"/>
    <w:rsid w:val="00266C65"/>
    <w:rsid w:val="00266D09"/>
    <w:rsid w:val="00266E83"/>
    <w:rsid w:val="00266F9F"/>
    <w:rsid w:val="00270BD6"/>
    <w:rsid w:val="00271205"/>
    <w:rsid w:val="002715A1"/>
    <w:rsid w:val="0027172F"/>
    <w:rsid w:val="00271C8E"/>
    <w:rsid w:val="00271F24"/>
    <w:rsid w:val="002721DB"/>
    <w:rsid w:val="0027225D"/>
    <w:rsid w:val="002723FB"/>
    <w:rsid w:val="00272C4E"/>
    <w:rsid w:val="00273422"/>
    <w:rsid w:val="00273631"/>
    <w:rsid w:val="0027460D"/>
    <w:rsid w:val="0027487D"/>
    <w:rsid w:val="00274A01"/>
    <w:rsid w:val="00274D6F"/>
    <w:rsid w:val="00275E06"/>
    <w:rsid w:val="00276754"/>
    <w:rsid w:val="0027708B"/>
    <w:rsid w:val="002777BC"/>
    <w:rsid w:val="0027793B"/>
    <w:rsid w:val="00277B00"/>
    <w:rsid w:val="00277C58"/>
    <w:rsid w:val="00277D53"/>
    <w:rsid w:val="00280401"/>
    <w:rsid w:val="00280457"/>
    <w:rsid w:val="002806E6"/>
    <w:rsid w:val="002808FC"/>
    <w:rsid w:val="00280A5A"/>
    <w:rsid w:val="00280B72"/>
    <w:rsid w:val="00282330"/>
    <w:rsid w:val="00282D44"/>
    <w:rsid w:val="00282D5F"/>
    <w:rsid w:val="00282D96"/>
    <w:rsid w:val="00283251"/>
    <w:rsid w:val="00283BC5"/>
    <w:rsid w:val="00283F1D"/>
    <w:rsid w:val="002840C4"/>
    <w:rsid w:val="0028431B"/>
    <w:rsid w:val="002848EE"/>
    <w:rsid w:val="0028539E"/>
    <w:rsid w:val="0028546B"/>
    <w:rsid w:val="0028552A"/>
    <w:rsid w:val="00285BF2"/>
    <w:rsid w:val="002861B8"/>
    <w:rsid w:val="00287CD8"/>
    <w:rsid w:val="00287ECE"/>
    <w:rsid w:val="002906B9"/>
    <w:rsid w:val="00290924"/>
    <w:rsid w:val="0029094F"/>
    <w:rsid w:val="00290C01"/>
    <w:rsid w:val="00290CA0"/>
    <w:rsid w:val="002915DC"/>
    <w:rsid w:val="00291712"/>
    <w:rsid w:val="00291931"/>
    <w:rsid w:val="00291B55"/>
    <w:rsid w:val="00291C69"/>
    <w:rsid w:val="00291E73"/>
    <w:rsid w:val="00291ECB"/>
    <w:rsid w:val="00292779"/>
    <w:rsid w:val="00292AEF"/>
    <w:rsid w:val="00292D58"/>
    <w:rsid w:val="00293153"/>
    <w:rsid w:val="00293666"/>
    <w:rsid w:val="00293ADC"/>
    <w:rsid w:val="00293B5D"/>
    <w:rsid w:val="00294C59"/>
    <w:rsid w:val="00294D04"/>
    <w:rsid w:val="00294F7C"/>
    <w:rsid w:val="00294FEA"/>
    <w:rsid w:val="002952B9"/>
    <w:rsid w:val="00295450"/>
    <w:rsid w:val="00295D50"/>
    <w:rsid w:val="00295DC7"/>
    <w:rsid w:val="00295EAB"/>
    <w:rsid w:val="0029616C"/>
    <w:rsid w:val="00297149"/>
    <w:rsid w:val="002974A8"/>
    <w:rsid w:val="00297A75"/>
    <w:rsid w:val="002A03DC"/>
    <w:rsid w:val="002A0694"/>
    <w:rsid w:val="002A0B81"/>
    <w:rsid w:val="002A0BFC"/>
    <w:rsid w:val="002A0C40"/>
    <w:rsid w:val="002A0ED1"/>
    <w:rsid w:val="002A1864"/>
    <w:rsid w:val="002A190D"/>
    <w:rsid w:val="002A212C"/>
    <w:rsid w:val="002A276F"/>
    <w:rsid w:val="002A289D"/>
    <w:rsid w:val="002A390C"/>
    <w:rsid w:val="002A3D07"/>
    <w:rsid w:val="002A3E67"/>
    <w:rsid w:val="002A3F14"/>
    <w:rsid w:val="002A40E4"/>
    <w:rsid w:val="002A457C"/>
    <w:rsid w:val="002A45FE"/>
    <w:rsid w:val="002A4651"/>
    <w:rsid w:val="002A46BA"/>
    <w:rsid w:val="002A4772"/>
    <w:rsid w:val="002A4B32"/>
    <w:rsid w:val="002A4D20"/>
    <w:rsid w:val="002A4ED7"/>
    <w:rsid w:val="002A4F90"/>
    <w:rsid w:val="002A587A"/>
    <w:rsid w:val="002A59E2"/>
    <w:rsid w:val="002A5B08"/>
    <w:rsid w:val="002A6045"/>
    <w:rsid w:val="002A63A5"/>
    <w:rsid w:val="002A6594"/>
    <w:rsid w:val="002A6616"/>
    <w:rsid w:val="002A6B8F"/>
    <w:rsid w:val="002A6C41"/>
    <w:rsid w:val="002A6C8D"/>
    <w:rsid w:val="002A7064"/>
    <w:rsid w:val="002A7B35"/>
    <w:rsid w:val="002A7C26"/>
    <w:rsid w:val="002B03D9"/>
    <w:rsid w:val="002B0F12"/>
    <w:rsid w:val="002B10EE"/>
    <w:rsid w:val="002B1664"/>
    <w:rsid w:val="002B1AD6"/>
    <w:rsid w:val="002B1BB5"/>
    <w:rsid w:val="002B1D59"/>
    <w:rsid w:val="002B293D"/>
    <w:rsid w:val="002B2C2D"/>
    <w:rsid w:val="002B2F0F"/>
    <w:rsid w:val="002B308E"/>
    <w:rsid w:val="002B340E"/>
    <w:rsid w:val="002B3469"/>
    <w:rsid w:val="002B362C"/>
    <w:rsid w:val="002B398C"/>
    <w:rsid w:val="002B399E"/>
    <w:rsid w:val="002B3D17"/>
    <w:rsid w:val="002B4069"/>
    <w:rsid w:val="002B42CD"/>
    <w:rsid w:val="002B4870"/>
    <w:rsid w:val="002B4912"/>
    <w:rsid w:val="002B4D57"/>
    <w:rsid w:val="002B4DD2"/>
    <w:rsid w:val="002B560D"/>
    <w:rsid w:val="002B6432"/>
    <w:rsid w:val="002B6623"/>
    <w:rsid w:val="002B6794"/>
    <w:rsid w:val="002B698E"/>
    <w:rsid w:val="002B6AA7"/>
    <w:rsid w:val="002B6B3B"/>
    <w:rsid w:val="002B6CDE"/>
    <w:rsid w:val="002B75E8"/>
    <w:rsid w:val="002B774C"/>
    <w:rsid w:val="002C02A4"/>
    <w:rsid w:val="002C09E8"/>
    <w:rsid w:val="002C0BB2"/>
    <w:rsid w:val="002C0CE2"/>
    <w:rsid w:val="002C10C8"/>
    <w:rsid w:val="002C14F7"/>
    <w:rsid w:val="002C169F"/>
    <w:rsid w:val="002C18A5"/>
    <w:rsid w:val="002C1B58"/>
    <w:rsid w:val="002C1D81"/>
    <w:rsid w:val="002C1EF9"/>
    <w:rsid w:val="002C2720"/>
    <w:rsid w:val="002C29F4"/>
    <w:rsid w:val="002C2B0B"/>
    <w:rsid w:val="002C3361"/>
    <w:rsid w:val="002C36E8"/>
    <w:rsid w:val="002C3745"/>
    <w:rsid w:val="002C387A"/>
    <w:rsid w:val="002C3B4A"/>
    <w:rsid w:val="002C3FF2"/>
    <w:rsid w:val="002C41ED"/>
    <w:rsid w:val="002C447D"/>
    <w:rsid w:val="002C45E9"/>
    <w:rsid w:val="002C46B2"/>
    <w:rsid w:val="002C4773"/>
    <w:rsid w:val="002C4B1B"/>
    <w:rsid w:val="002C4C0C"/>
    <w:rsid w:val="002C4DF6"/>
    <w:rsid w:val="002C51CD"/>
    <w:rsid w:val="002C5350"/>
    <w:rsid w:val="002C5959"/>
    <w:rsid w:val="002C5C43"/>
    <w:rsid w:val="002C5E85"/>
    <w:rsid w:val="002C6935"/>
    <w:rsid w:val="002C6D02"/>
    <w:rsid w:val="002C7539"/>
    <w:rsid w:val="002C7C50"/>
    <w:rsid w:val="002C7D6B"/>
    <w:rsid w:val="002C7EE2"/>
    <w:rsid w:val="002C7F88"/>
    <w:rsid w:val="002D05F1"/>
    <w:rsid w:val="002D0BB1"/>
    <w:rsid w:val="002D0D1B"/>
    <w:rsid w:val="002D0EEF"/>
    <w:rsid w:val="002D0EF1"/>
    <w:rsid w:val="002D0F85"/>
    <w:rsid w:val="002D112D"/>
    <w:rsid w:val="002D14ED"/>
    <w:rsid w:val="002D1A9E"/>
    <w:rsid w:val="002D217C"/>
    <w:rsid w:val="002D2791"/>
    <w:rsid w:val="002D379D"/>
    <w:rsid w:val="002D438A"/>
    <w:rsid w:val="002D4766"/>
    <w:rsid w:val="002D484B"/>
    <w:rsid w:val="002D48D6"/>
    <w:rsid w:val="002D4AC1"/>
    <w:rsid w:val="002D5241"/>
    <w:rsid w:val="002D525C"/>
    <w:rsid w:val="002D5607"/>
    <w:rsid w:val="002D58F4"/>
    <w:rsid w:val="002D5BFE"/>
    <w:rsid w:val="002D6411"/>
    <w:rsid w:val="002D6B72"/>
    <w:rsid w:val="002D723E"/>
    <w:rsid w:val="002D7A6B"/>
    <w:rsid w:val="002D7A85"/>
    <w:rsid w:val="002E05D3"/>
    <w:rsid w:val="002E0894"/>
    <w:rsid w:val="002E0C34"/>
    <w:rsid w:val="002E0FB6"/>
    <w:rsid w:val="002E121F"/>
    <w:rsid w:val="002E13A9"/>
    <w:rsid w:val="002E169F"/>
    <w:rsid w:val="002E21CC"/>
    <w:rsid w:val="002E2378"/>
    <w:rsid w:val="002E254B"/>
    <w:rsid w:val="002E2E76"/>
    <w:rsid w:val="002E2E93"/>
    <w:rsid w:val="002E394D"/>
    <w:rsid w:val="002E42B1"/>
    <w:rsid w:val="002E462A"/>
    <w:rsid w:val="002E4F03"/>
    <w:rsid w:val="002E5606"/>
    <w:rsid w:val="002E594A"/>
    <w:rsid w:val="002E5CFD"/>
    <w:rsid w:val="002E6101"/>
    <w:rsid w:val="002E63D4"/>
    <w:rsid w:val="002E69F4"/>
    <w:rsid w:val="002E6AF3"/>
    <w:rsid w:val="002E6AF9"/>
    <w:rsid w:val="002E6BF6"/>
    <w:rsid w:val="002E71F2"/>
    <w:rsid w:val="002E74E1"/>
    <w:rsid w:val="002E7552"/>
    <w:rsid w:val="002E76AE"/>
    <w:rsid w:val="002E7779"/>
    <w:rsid w:val="002F015E"/>
    <w:rsid w:val="002F01C6"/>
    <w:rsid w:val="002F081D"/>
    <w:rsid w:val="002F096A"/>
    <w:rsid w:val="002F09F9"/>
    <w:rsid w:val="002F0BFE"/>
    <w:rsid w:val="002F0D08"/>
    <w:rsid w:val="002F10A3"/>
    <w:rsid w:val="002F1799"/>
    <w:rsid w:val="002F1A3A"/>
    <w:rsid w:val="002F1CEA"/>
    <w:rsid w:val="002F236D"/>
    <w:rsid w:val="002F28EE"/>
    <w:rsid w:val="002F2A75"/>
    <w:rsid w:val="002F2C84"/>
    <w:rsid w:val="002F3466"/>
    <w:rsid w:val="002F396A"/>
    <w:rsid w:val="002F47EC"/>
    <w:rsid w:val="002F49E4"/>
    <w:rsid w:val="002F4FDA"/>
    <w:rsid w:val="002F58A6"/>
    <w:rsid w:val="002F5C06"/>
    <w:rsid w:val="002F5E5D"/>
    <w:rsid w:val="002F6709"/>
    <w:rsid w:val="002F68C9"/>
    <w:rsid w:val="002F697B"/>
    <w:rsid w:val="002F6ECF"/>
    <w:rsid w:val="002F70CA"/>
    <w:rsid w:val="0030034E"/>
    <w:rsid w:val="00300DD9"/>
    <w:rsid w:val="0030127B"/>
    <w:rsid w:val="00301712"/>
    <w:rsid w:val="00301A37"/>
    <w:rsid w:val="00301D10"/>
    <w:rsid w:val="003026A2"/>
    <w:rsid w:val="00302A55"/>
    <w:rsid w:val="00302B0D"/>
    <w:rsid w:val="00302CEC"/>
    <w:rsid w:val="0030372A"/>
    <w:rsid w:val="00303AF9"/>
    <w:rsid w:val="00303B12"/>
    <w:rsid w:val="00303C4C"/>
    <w:rsid w:val="00303E25"/>
    <w:rsid w:val="0030403C"/>
    <w:rsid w:val="00304374"/>
    <w:rsid w:val="003045DC"/>
    <w:rsid w:val="003048FD"/>
    <w:rsid w:val="00304C77"/>
    <w:rsid w:val="00304CE9"/>
    <w:rsid w:val="0030519D"/>
    <w:rsid w:val="003055E8"/>
    <w:rsid w:val="003057F7"/>
    <w:rsid w:val="00305840"/>
    <w:rsid w:val="003058E8"/>
    <w:rsid w:val="00305A05"/>
    <w:rsid w:val="00305A15"/>
    <w:rsid w:val="003063D4"/>
    <w:rsid w:val="00306F44"/>
    <w:rsid w:val="00307115"/>
    <w:rsid w:val="00307180"/>
    <w:rsid w:val="003071CA"/>
    <w:rsid w:val="00307341"/>
    <w:rsid w:val="00307645"/>
    <w:rsid w:val="0030779E"/>
    <w:rsid w:val="00307D2C"/>
    <w:rsid w:val="00307E6C"/>
    <w:rsid w:val="00307F51"/>
    <w:rsid w:val="003103C3"/>
    <w:rsid w:val="003103F5"/>
    <w:rsid w:val="00310DB0"/>
    <w:rsid w:val="0031100E"/>
    <w:rsid w:val="0031135C"/>
    <w:rsid w:val="0031143D"/>
    <w:rsid w:val="0031164F"/>
    <w:rsid w:val="00311A7C"/>
    <w:rsid w:val="00311BD8"/>
    <w:rsid w:val="00311DF0"/>
    <w:rsid w:val="00311EE1"/>
    <w:rsid w:val="00311FF8"/>
    <w:rsid w:val="003121E9"/>
    <w:rsid w:val="003127D7"/>
    <w:rsid w:val="0031300D"/>
    <w:rsid w:val="0031340A"/>
    <w:rsid w:val="003139F4"/>
    <w:rsid w:val="00313C70"/>
    <w:rsid w:val="00313F94"/>
    <w:rsid w:val="00314B0D"/>
    <w:rsid w:val="00314D92"/>
    <w:rsid w:val="00314F18"/>
    <w:rsid w:val="00314F71"/>
    <w:rsid w:val="0031526F"/>
    <w:rsid w:val="0031529D"/>
    <w:rsid w:val="00315A4C"/>
    <w:rsid w:val="00315EE5"/>
    <w:rsid w:val="00315FC7"/>
    <w:rsid w:val="003160B5"/>
    <w:rsid w:val="003160F8"/>
    <w:rsid w:val="00316193"/>
    <w:rsid w:val="00316273"/>
    <w:rsid w:val="003169F9"/>
    <w:rsid w:val="00316CA6"/>
    <w:rsid w:val="0031731E"/>
    <w:rsid w:val="0031735D"/>
    <w:rsid w:val="00317866"/>
    <w:rsid w:val="00317983"/>
    <w:rsid w:val="00317BD2"/>
    <w:rsid w:val="00317EFC"/>
    <w:rsid w:val="00317FF4"/>
    <w:rsid w:val="00320155"/>
    <w:rsid w:val="00320782"/>
    <w:rsid w:val="00321084"/>
    <w:rsid w:val="0032156F"/>
    <w:rsid w:val="00321583"/>
    <w:rsid w:val="00321EA3"/>
    <w:rsid w:val="0032240F"/>
    <w:rsid w:val="0032293D"/>
    <w:rsid w:val="00322E3A"/>
    <w:rsid w:val="00322EDB"/>
    <w:rsid w:val="0032377C"/>
    <w:rsid w:val="00323DFE"/>
    <w:rsid w:val="00323E3F"/>
    <w:rsid w:val="00324001"/>
    <w:rsid w:val="00324016"/>
    <w:rsid w:val="0032439C"/>
    <w:rsid w:val="00324765"/>
    <w:rsid w:val="003248E1"/>
    <w:rsid w:val="00325259"/>
    <w:rsid w:val="0032562C"/>
    <w:rsid w:val="0032581B"/>
    <w:rsid w:val="00325FA1"/>
    <w:rsid w:val="0032601A"/>
    <w:rsid w:val="003267B4"/>
    <w:rsid w:val="00326B3B"/>
    <w:rsid w:val="00326BBB"/>
    <w:rsid w:val="00326DA3"/>
    <w:rsid w:val="00327E9E"/>
    <w:rsid w:val="0033026A"/>
    <w:rsid w:val="00330413"/>
    <w:rsid w:val="0033157B"/>
    <w:rsid w:val="003315DA"/>
    <w:rsid w:val="003318E0"/>
    <w:rsid w:val="00331B70"/>
    <w:rsid w:val="00331CFB"/>
    <w:rsid w:val="00331D3E"/>
    <w:rsid w:val="00332CC1"/>
    <w:rsid w:val="00332FE9"/>
    <w:rsid w:val="00333225"/>
    <w:rsid w:val="0033345C"/>
    <w:rsid w:val="00333913"/>
    <w:rsid w:val="00333C0B"/>
    <w:rsid w:val="0033406C"/>
    <w:rsid w:val="003343EF"/>
    <w:rsid w:val="00334D85"/>
    <w:rsid w:val="0033503E"/>
    <w:rsid w:val="0033567C"/>
    <w:rsid w:val="00335C0E"/>
    <w:rsid w:val="00335F2A"/>
    <w:rsid w:val="00336306"/>
    <w:rsid w:val="003365F0"/>
    <w:rsid w:val="0033663B"/>
    <w:rsid w:val="003367F3"/>
    <w:rsid w:val="00336AB5"/>
    <w:rsid w:val="00336B94"/>
    <w:rsid w:val="00336E7A"/>
    <w:rsid w:val="00337350"/>
    <w:rsid w:val="0033792D"/>
    <w:rsid w:val="003379FF"/>
    <w:rsid w:val="00337A7B"/>
    <w:rsid w:val="00337F5C"/>
    <w:rsid w:val="0034019B"/>
    <w:rsid w:val="00340C3C"/>
    <w:rsid w:val="0034182C"/>
    <w:rsid w:val="0034214B"/>
    <w:rsid w:val="00342A21"/>
    <w:rsid w:val="00342BCA"/>
    <w:rsid w:val="00342E7F"/>
    <w:rsid w:val="00342F14"/>
    <w:rsid w:val="00343117"/>
    <w:rsid w:val="00343354"/>
    <w:rsid w:val="00343857"/>
    <w:rsid w:val="00343948"/>
    <w:rsid w:val="003439F3"/>
    <w:rsid w:val="00343C75"/>
    <w:rsid w:val="00343F37"/>
    <w:rsid w:val="00343FD5"/>
    <w:rsid w:val="0034423F"/>
    <w:rsid w:val="00344488"/>
    <w:rsid w:val="00345470"/>
    <w:rsid w:val="0034596C"/>
    <w:rsid w:val="00345FCA"/>
    <w:rsid w:val="0034658A"/>
    <w:rsid w:val="00346715"/>
    <w:rsid w:val="00346873"/>
    <w:rsid w:val="0034759D"/>
    <w:rsid w:val="00347752"/>
    <w:rsid w:val="0035006D"/>
    <w:rsid w:val="00350913"/>
    <w:rsid w:val="0035091B"/>
    <w:rsid w:val="00351589"/>
    <w:rsid w:val="00351A26"/>
    <w:rsid w:val="00351F2D"/>
    <w:rsid w:val="00352106"/>
    <w:rsid w:val="0035244B"/>
    <w:rsid w:val="00352778"/>
    <w:rsid w:val="00352A6F"/>
    <w:rsid w:val="00352AC0"/>
    <w:rsid w:val="00352C3E"/>
    <w:rsid w:val="00352D76"/>
    <w:rsid w:val="00352D8F"/>
    <w:rsid w:val="00352DA3"/>
    <w:rsid w:val="003532DD"/>
    <w:rsid w:val="003536CC"/>
    <w:rsid w:val="00353896"/>
    <w:rsid w:val="00353B62"/>
    <w:rsid w:val="00353C1B"/>
    <w:rsid w:val="00353CC7"/>
    <w:rsid w:val="00353E0A"/>
    <w:rsid w:val="0035423A"/>
    <w:rsid w:val="00354283"/>
    <w:rsid w:val="00354555"/>
    <w:rsid w:val="00354DA1"/>
    <w:rsid w:val="0035509E"/>
    <w:rsid w:val="003555A5"/>
    <w:rsid w:val="00355A40"/>
    <w:rsid w:val="00355C2B"/>
    <w:rsid w:val="00356156"/>
    <w:rsid w:val="003562C3"/>
    <w:rsid w:val="003562F6"/>
    <w:rsid w:val="00356479"/>
    <w:rsid w:val="003565C7"/>
    <w:rsid w:val="00356642"/>
    <w:rsid w:val="00356673"/>
    <w:rsid w:val="00356750"/>
    <w:rsid w:val="003567B8"/>
    <w:rsid w:val="0035712F"/>
    <w:rsid w:val="003577C3"/>
    <w:rsid w:val="00357F01"/>
    <w:rsid w:val="00357FAC"/>
    <w:rsid w:val="003600C2"/>
    <w:rsid w:val="00360398"/>
    <w:rsid w:val="0036089C"/>
    <w:rsid w:val="00361122"/>
    <w:rsid w:val="00361E09"/>
    <w:rsid w:val="00362208"/>
    <w:rsid w:val="003624B0"/>
    <w:rsid w:val="00362B02"/>
    <w:rsid w:val="00362F68"/>
    <w:rsid w:val="0036365D"/>
    <w:rsid w:val="003640F6"/>
    <w:rsid w:val="003643B0"/>
    <w:rsid w:val="003643FE"/>
    <w:rsid w:val="00364F22"/>
    <w:rsid w:val="00365814"/>
    <w:rsid w:val="00366450"/>
    <w:rsid w:val="003667EF"/>
    <w:rsid w:val="003678DE"/>
    <w:rsid w:val="00367DC7"/>
    <w:rsid w:val="00370065"/>
    <w:rsid w:val="003703A8"/>
    <w:rsid w:val="00370553"/>
    <w:rsid w:val="003705BC"/>
    <w:rsid w:val="00370795"/>
    <w:rsid w:val="00370B3D"/>
    <w:rsid w:val="00371358"/>
    <w:rsid w:val="00372141"/>
    <w:rsid w:val="00373239"/>
    <w:rsid w:val="00373508"/>
    <w:rsid w:val="0037368A"/>
    <w:rsid w:val="0037395F"/>
    <w:rsid w:val="003742D2"/>
    <w:rsid w:val="00374310"/>
    <w:rsid w:val="00374EFE"/>
    <w:rsid w:val="00375065"/>
    <w:rsid w:val="0037577F"/>
    <w:rsid w:val="00375832"/>
    <w:rsid w:val="00376FC6"/>
    <w:rsid w:val="00377107"/>
    <w:rsid w:val="00377998"/>
    <w:rsid w:val="00380646"/>
    <w:rsid w:val="00380F27"/>
    <w:rsid w:val="0038118B"/>
    <w:rsid w:val="0038148C"/>
    <w:rsid w:val="003818E3"/>
    <w:rsid w:val="00381C4F"/>
    <w:rsid w:val="00382256"/>
    <w:rsid w:val="003825EE"/>
    <w:rsid w:val="00383615"/>
    <w:rsid w:val="003836F5"/>
    <w:rsid w:val="00383F0A"/>
    <w:rsid w:val="003842D1"/>
    <w:rsid w:val="00384D87"/>
    <w:rsid w:val="003852E7"/>
    <w:rsid w:val="00385563"/>
    <w:rsid w:val="0038587A"/>
    <w:rsid w:val="00385E5C"/>
    <w:rsid w:val="00385F6C"/>
    <w:rsid w:val="003860AA"/>
    <w:rsid w:val="00386696"/>
    <w:rsid w:val="0038689B"/>
    <w:rsid w:val="00386921"/>
    <w:rsid w:val="00386C3E"/>
    <w:rsid w:val="003873C1"/>
    <w:rsid w:val="00387867"/>
    <w:rsid w:val="00387AE4"/>
    <w:rsid w:val="00387D43"/>
    <w:rsid w:val="00387D57"/>
    <w:rsid w:val="00387E99"/>
    <w:rsid w:val="00390153"/>
    <w:rsid w:val="0039044C"/>
    <w:rsid w:val="00391130"/>
    <w:rsid w:val="003912F1"/>
    <w:rsid w:val="00391560"/>
    <w:rsid w:val="00391A8F"/>
    <w:rsid w:val="00391EEA"/>
    <w:rsid w:val="00391FDA"/>
    <w:rsid w:val="00392551"/>
    <w:rsid w:val="00392886"/>
    <w:rsid w:val="003928AD"/>
    <w:rsid w:val="00392E33"/>
    <w:rsid w:val="00392F14"/>
    <w:rsid w:val="003936ED"/>
    <w:rsid w:val="00393EBD"/>
    <w:rsid w:val="003944CB"/>
    <w:rsid w:val="00394DE9"/>
    <w:rsid w:val="00395148"/>
    <w:rsid w:val="0039523E"/>
    <w:rsid w:val="00395634"/>
    <w:rsid w:val="00395A7F"/>
    <w:rsid w:val="00395C76"/>
    <w:rsid w:val="003962FD"/>
    <w:rsid w:val="00396646"/>
    <w:rsid w:val="003966BD"/>
    <w:rsid w:val="003968FB"/>
    <w:rsid w:val="00396D42"/>
    <w:rsid w:val="00397207"/>
    <w:rsid w:val="0039780E"/>
    <w:rsid w:val="00397D1D"/>
    <w:rsid w:val="00397D95"/>
    <w:rsid w:val="003A0039"/>
    <w:rsid w:val="003A0061"/>
    <w:rsid w:val="003A0383"/>
    <w:rsid w:val="003A04D2"/>
    <w:rsid w:val="003A0583"/>
    <w:rsid w:val="003A0957"/>
    <w:rsid w:val="003A1023"/>
    <w:rsid w:val="003A1DB9"/>
    <w:rsid w:val="003A24F8"/>
    <w:rsid w:val="003A26C2"/>
    <w:rsid w:val="003A285B"/>
    <w:rsid w:val="003A2C45"/>
    <w:rsid w:val="003A32AE"/>
    <w:rsid w:val="003A35D4"/>
    <w:rsid w:val="003A3F65"/>
    <w:rsid w:val="003A4E89"/>
    <w:rsid w:val="003A56C9"/>
    <w:rsid w:val="003A5814"/>
    <w:rsid w:val="003A58DE"/>
    <w:rsid w:val="003A5F8E"/>
    <w:rsid w:val="003A6280"/>
    <w:rsid w:val="003A6619"/>
    <w:rsid w:val="003A6FEC"/>
    <w:rsid w:val="003A736D"/>
    <w:rsid w:val="003A78F8"/>
    <w:rsid w:val="003A7A75"/>
    <w:rsid w:val="003A7CFD"/>
    <w:rsid w:val="003A7DB0"/>
    <w:rsid w:val="003B0099"/>
    <w:rsid w:val="003B04B9"/>
    <w:rsid w:val="003B093B"/>
    <w:rsid w:val="003B0982"/>
    <w:rsid w:val="003B125A"/>
    <w:rsid w:val="003B15EB"/>
    <w:rsid w:val="003B1975"/>
    <w:rsid w:val="003B1B3D"/>
    <w:rsid w:val="003B220B"/>
    <w:rsid w:val="003B288F"/>
    <w:rsid w:val="003B2A68"/>
    <w:rsid w:val="003B2C09"/>
    <w:rsid w:val="003B2C80"/>
    <w:rsid w:val="003B319B"/>
    <w:rsid w:val="003B34F6"/>
    <w:rsid w:val="003B3539"/>
    <w:rsid w:val="003B3AA3"/>
    <w:rsid w:val="003B3D95"/>
    <w:rsid w:val="003B42B2"/>
    <w:rsid w:val="003B4C6E"/>
    <w:rsid w:val="003B4C98"/>
    <w:rsid w:val="003B4CDD"/>
    <w:rsid w:val="003B5C95"/>
    <w:rsid w:val="003B5D52"/>
    <w:rsid w:val="003B5DC7"/>
    <w:rsid w:val="003B5DEA"/>
    <w:rsid w:val="003B66CC"/>
    <w:rsid w:val="003B6C18"/>
    <w:rsid w:val="003B6DDE"/>
    <w:rsid w:val="003B6E6E"/>
    <w:rsid w:val="003B70BB"/>
    <w:rsid w:val="003B7722"/>
    <w:rsid w:val="003B7998"/>
    <w:rsid w:val="003B7A0C"/>
    <w:rsid w:val="003B7B3C"/>
    <w:rsid w:val="003C008C"/>
    <w:rsid w:val="003C00B3"/>
    <w:rsid w:val="003C01F4"/>
    <w:rsid w:val="003C027E"/>
    <w:rsid w:val="003C0BAD"/>
    <w:rsid w:val="003C0FF6"/>
    <w:rsid w:val="003C10C8"/>
    <w:rsid w:val="003C1134"/>
    <w:rsid w:val="003C1BD7"/>
    <w:rsid w:val="003C1C7C"/>
    <w:rsid w:val="003C1D11"/>
    <w:rsid w:val="003C1E9B"/>
    <w:rsid w:val="003C20B5"/>
    <w:rsid w:val="003C241B"/>
    <w:rsid w:val="003C2CC6"/>
    <w:rsid w:val="003C2FFD"/>
    <w:rsid w:val="003C3458"/>
    <w:rsid w:val="003C376E"/>
    <w:rsid w:val="003C3ACD"/>
    <w:rsid w:val="003C40BC"/>
    <w:rsid w:val="003C42F4"/>
    <w:rsid w:val="003C4503"/>
    <w:rsid w:val="003C463E"/>
    <w:rsid w:val="003C4CAE"/>
    <w:rsid w:val="003C5830"/>
    <w:rsid w:val="003C5BC4"/>
    <w:rsid w:val="003C5E2C"/>
    <w:rsid w:val="003C5E57"/>
    <w:rsid w:val="003C6689"/>
    <w:rsid w:val="003C6C34"/>
    <w:rsid w:val="003C7086"/>
    <w:rsid w:val="003C71C2"/>
    <w:rsid w:val="003C7201"/>
    <w:rsid w:val="003C7C8A"/>
    <w:rsid w:val="003D0428"/>
    <w:rsid w:val="003D07CA"/>
    <w:rsid w:val="003D0BB0"/>
    <w:rsid w:val="003D0C1A"/>
    <w:rsid w:val="003D0C6C"/>
    <w:rsid w:val="003D0C88"/>
    <w:rsid w:val="003D1331"/>
    <w:rsid w:val="003D16BF"/>
    <w:rsid w:val="003D1A3B"/>
    <w:rsid w:val="003D1BB0"/>
    <w:rsid w:val="003D1F76"/>
    <w:rsid w:val="003D2081"/>
    <w:rsid w:val="003D223B"/>
    <w:rsid w:val="003D237F"/>
    <w:rsid w:val="003D2F2E"/>
    <w:rsid w:val="003D3177"/>
    <w:rsid w:val="003D33B9"/>
    <w:rsid w:val="003D342D"/>
    <w:rsid w:val="003D360E"/>
    <w:rsid w:val="003D3BDD"/>
    <w:rsid w:val="003D3E61"/>
    <w:rsid w:val="003D4711"/>
    <w:rsid w:val="003D4F3E"/>
    <w:rsid w:val="003D50FA"/>
    <w:rsid w:val="003D54EA"/>
    <w:rsid w:val="003D56E7"/>
    <w:rsid w:val="003D68CD"/>
    <w:rsid w:val="003D6A13"/>
    <w:rsid w:val="003D6CEA"/>
    <w:rsid w:val="003D717B"/>
    <w:rsid w:val="003D7375"/>
    <w:rsid w:val="003D7653"/>
    <w:rsid w:val="003D7F11"/>
    <w:rsid w:val="003E04EA"/>
    <w:rsid w:val="003E0617"/>
    <w:rsid w:val="003E0A0B"/>
    <w:rsid w:val="003E0C3D"/>
    <w:rsid w:val="003E150B"/>
    <w:rsid w:val="003E2095"/>
    <w:rsid w:val="003E26ED"/>
    <w:rsid w:val="003E2C34"/>
    <w:rsid w:val="003E334C"/>
    <w:rsid w:val="003E357D"/>
    <w:rsid w:val="003E3AB2"/>
    <w:rsid w:val="003E3D00"/>
    <w:rsid w:val="003E3F00"/>
    <w:rsid w:val="003E3FA1"/>
    <w:rsid w:val="003E3FD5"/>
    <w:rsid w:val="003E4143"/>
    <w:rsid w:val="003E4D3A"/>
    <w:rsid w:val="003E4DE2"/>
    <w:rsid w:val="003E5AA3"/>
    <w:rsid w:val="003E5CC9"/>
    <w:rsid w:val="003E624B"/>
    <w:rsid w:val="003E6BE1"/>
    <w:rsid w:val="003E6D05"/>
    <w:rsid w:val="003E6E99"/>
    <w:rsid w:val="003E708D"/>
    <w:rsid w:val="003E75E2"/>
    <w:rsid w:val="003E7715"/>
    <w:rsid w:val="003E79DB"/>
    <w:rsid w:val="003E7D4F"/>
    <w:rsid w:val="003F0461"/>
    <w:rsid w:val="003F0696"/>
    <w:rsid w:val="003F0C20"/>
    <w:rsid w:val="003F0E7D"/>
    <w:rsid w:val="003F14B1"/>
    <w:rsid w:val="003F1622"/>
    <w:rsid w:val="003F1A09"/>
    <w:rsid w:val="003F1A38"/>
    <w:rsid w:val="003F224A"/>
    <w:rsid w:val="003F2321"/>
    <w:rsid w:val="003F2760"/>
    <w:rsid w:val="003F2836"/>
    <w:rsid w:val="003F28A9"/>
    <w:rsid w:val="003F2D9F"/>
    <w:rsid w:val="003F31D9"/>
    <w:rsid w:val="003F339B"/>
    <w:rsid w:val="003F369F"/>
    <w:rsid w:val="003F4599"/>
    <w:rsid w:val="003F4601"/>
    <w:rsid w:val="003F4687"/>
    <w:rsid w:val="003F46E4"/>
    <w:rsid w:val="003F4B24"/>
    <w:rsid w:val="003F4E1F"/>
    <w:rsid w:val="003F51D8"/>
    <w:rsid w:val="003F526D"/>
    <w:rsid w:val="003F549C"/>
    <w:rsid w:val="003F5ADC"/>
    <w:rsid w:val="003F65C3"/>
    <w:rsid w:val="003F69D0"/>
    <w:rsid w:val="003F78B7"/>
    <w:rsid w:val="003F791D"/>
    <w:rsid w:val="0040032C"/>
    <w:rsid w:val="004003C5"/>
    <w:rsid w:val="0040095C"/>
    <w:rsid w:val="00400A74"/>
    <w:rsid w:val="00400DD1"/>
    <w:rsid w:val="0040102C"/>
    <w:rsid w:val="004010D7"/>
    <w:rsid w:val="00401246"/>
    <w:rsid w:val="0040134E"/>
    <w:rsid w:val="00401554"/>
    <w:rsid w:val="00401788"/>
    <w:rsid w:val="00402402"/>
    <w:rsid w:val="00402416"/>
    <w:rsid w:val="00402A14"/>
    <w:rsid w:val="00403116"/>
    <w:rsid w:val="00403226"/>
    <w:rsid w:val="0040360F"/>
    <w:rsid w:val="00403869"/>
    <w:rsid w:val="00403BF3"/>
    <w:rsid w:val="004042B5"/>
    <w:rsid w:val="00404DFD"/>
    <w:rsid w:val="00404E02"/>
    <w:rsid w:val="004050CE"/>
    <w:rsid w:val="0040539A"/>
    <w:rsid w:val="0040561B"/>
    <w:rsid w:val="004057C1"/>
    <w:rsid w:val="0040621F"/>
    <w:rsid w:val="004069F2"/>
    <w:rsid w:val="00406B3C"/>
    <w:rsid w:val="00407147"/>
    <w:rsid w:val="004072C8"/>
    <w:rsid w:val="00407310"/>
    <w:rsid w:val="004078DE"/>
    <w:rsid w:val="00407A1C"/>
    <w:rsid w:val="00407D04"/>
    <w:rsid w:val="00407EBE"/>
    <w:rsid w:val="0041047D"/>
    <w:rsid w:val="0041173B"/>
    <w:rsid w:val="00411BC6"/>
    <w:rsid w:val="00411CCD"/>
    <w:rsid w:val="0041215C"/>
    <w:rsid w:val="0041220F"/>
    <w:rsid w:val="0041230C"/>
    <w:rsid w:val="00412EF6"/>
    <w:rsid w:val="004131AC"/>
    <w:rsid w:val="00413425"/>
    <w:rsid w:val="004136E7"/>
    <w:rsid w:val="004137A1"/>
    <w:rsid w:val="004138A2"/>
    <w:rsid w:val="00413C99"/>
    <w:rsid w:val="004142B5"/>
    <w:rsid w:val="00414B7D"/>
    <w:rsid w:val="00415262"/>
    <w:rsid w:val="00415AB2"/>
    <w:rsid w:val="00415C31"/>
    <w:rsid w:val="004163D2"/>
    <w:rsid w:val="0041642D"/>
    <w:rsid w:val="0041654C"/>
    <w:rsid w:val="0041655B"/>
    <w:rsid w:val="004167F4"/>
    <w:rsid w:val="00416AB8"/>
    <w:rsid w:val="00416ACC"/>
    <w:rsid w:val="00416C71"/>
    <w:rsid w:val="00416D21"/>
    <w:rsid w:val="00416DB5"/>
    <w:rsid w:val="00416DBE"/>
    <w:rsid w:val="004170D4"/>
    <w:rsid w:val="0041741B"/>
    <w:rsid w:val="00417ABF"/>
    <w:rsid w:val="00417E70"/>
    <w:rsid w:val="00417FDB"/>
    <w:rsid w:val="00420AEB"/>
    <w:rsid w:val="00420BC0"/>
    <w:rsid w:val="00420DAF"/>
    <w:rsid w:val="00420F78"/>
    <w:rsid w:val="00421362"/>
    <w:rsid w:val="0042162A"/>
    <w:rsid w:val="00421656"/>
    <w:rsid w:val="00421668"/>
    <w:rsid w:val="00421C98"/>
    <w:rsid w:val="00421E9C"/>
    <w:rsid w:val="00422089"/>
    <w:rsid w:val="00422128"/>
    <w:rsid w:val="00422149"/>
    <w:rsid w:val="00422713"/>
    <w:rsid w:val="00422C39"/>
    <w:rsid w:val="00422CB9"/>
    <w:rsid w:val="004232E0"/>
    <w:rsid w:val="004237ED"/>
    <w:rsid w:val="00423BCB"/>
    <w:rsid w:val="00423C0E"/>
    <w:rsid w:val="004246C5"/>
    <w:rsid w:val="00424946"/>
    <w:rsid w:val="00424DA8"/>
    <w:rsid w:val="00424E8E"/>
    <w:rsid w:val="00425978"/>
    <w:rsid w:val="00425F85"/>
    <w:rsid w:val="004263EC"/>
    <w:rsid w:val="0042663C"/>
    <w:rsid w:val="00426A54"/>
    <w:rsid w:val="00426D42"/>
    <w:rsid w:val="00426E19"/>
    <w:rsid w:val="0042740A"/>
    <w:rsid w:val="0042744C"/>
    <w:rsid w:val="004274BE"/>
    <w:rsid w:val="0042766D"/>
    <w:rsid w:val="00427B43"/>
    <w:rsid w:val="00427D34"/>
    <w:rsid w:val="00427D9F"/>
    <w:rsid w:val="004301ED"/>
    <w:rsid w:val="00430390"/>
    <w:rsid w:val="004307D3"/>
    <w:rsid w:val="00430E57"/>
    <w:rsid w:val="004314E8"/>
    <w:rsid w:val="00431975"/>
    <w:rsid w:val="00431C2E"/>
    <w:rsid w:val="00432025"/>
    <w:rsid w:val="00432268"/>
    <w:rsid w:val="004322EE"/>
    <w:rsid w:val="0043251F"/>
    <w:rsid w:val="00432CC1"/>
    <w:rsid w:val="00433818"/>
    <w:rsid w:val="00433CB5"/>
    <w:rsid w:val="00434060"/>
    <w:rsid w:val="0043487A"/>
    <w:rsid w:val="00434D05"/>
    <w:rsid w:val="004350AB"/>
    <w:rsid w:val="00435530"/>
    <w:rsid w:val="004355EC"/>
    <w:rsid w:val="00436216"/>
    <w:rsid w:val="00436413"/>
    <w:rsid w:val="00436A29"/>
    <w:rsid w:val="00436A7E"/>
    <w:rsid w:val="00437234"/>
    <w:rsid w:val="00437666"/>
    <w:rsid w:val="00437D13"/>
    <w:rsid w:val="00437E30"/>
    <w:rsid w:val="00437EA1"/>
    <w:rsid w:val="004405DF"/>
    <w:rsid w:val="0044067A"/>
    <w:rsid w:val="00440A4B"/>
    <w:rsid w:val="00440CAC"/>
    <w:rsid w:val="00441B3E"/>
    <w:rsid w:val="00441D30"/>
    <w:rsid w:val="004432BF"/>
    <w:rsid w:val="004434AA"/>
    <w:rsid w:val="00443C15"/>
    <w:rsid w:val="00443D4C"/>
    <w:rsid w:val="00443DAF"/>
    <w:rsid w:val="00443E0E"/>
    <w:rsid w:val="00443F27"/>
    <w:rsid w:val="0044475A"/>
    <w:rsid w:val="00444B50"/>
    <w:rsid w:val="00444C50"/>
    <w:rsid w:val="0044560F"/>
    <w:rsid w:val="00446253"/>
    <w:rsid w:val="00446624"/>
    <w:rsid w:val="004467F9"/>
    <w:rsid w:val="00446DB6"/>
    <w:rsid w:val="0044791B"/>
    <w:rsid w:val="00447CB2"/>
    <w:rsid w:val="00447DF3"/>
    <w:rsid w:val="00447E5B"/>
    <w:rsid w:val="0045019F"/>
    <w:rsid w:val="0045039E"/>
    <w:rsid w:val="0045078E"/>
    <w:rsid w:val="004509B9"/>
    <w:rsid w:val="00450C42"/>
    <w:rsid w:val="00451195"/>
    <w:rsid w:val="0045144A"/>
    <w:rsid w:val="004528C8"/>
    <w:rsid w:val="00453393"/>
    <w:rsid w:val="00453CC4"/>
    <w:rsid w:val="004542B8"/>
    <w:rsid w:val="004548DB"/>
    <w:rsid w:val="00454DEC"/>
    <w:rsid w:val="004552B2"/>
    <w:rsid w:val="0045580F"/>
    <w:rsid w:val="00455D6B"/>
    <w:rsid w:val="00455D7E"/>
    <w:rsid w:val="00455E7B"/>
    <w:rsid w:val="004563CC"/>
    <w:rsid w:val="00456A7D"/>
    <w:rsid w:val="00456B3D"/>
    <w:rsid w:val="00456D41"/>
    <w:rsid w:val="0045713A"/>
    <w:rsid w:val="004571BC"/>
    <w:rsid w:val="004577DA"/>
    <w:rsid w:val="004577F4"/>
    <w:rsid w:val="004603B2"/>
    <w:rsid w:val="0046056B"/>
    <w:rsid w:val="004607D6"/>
    <w:rsid w:val="00460EDF"/>
    <w:rsid w:val="00461037"/>
    <w:rsid w:val="00461047"/>
    <w:rsid w:val="00461062"/>
    <w:rsid w:val="00461A8F"/>
    <w:rsid w:val="00461D87"/>
    <w:rsid w:val="0046216F"/>
    <w:rsid w:val="00462819"/>
    <w:rsid w:val="00462899"/>
    <w:rsid w:val="00462F6E"/>
    <w:rsid w:val="0046314E"/>
    <w:rsid w:val="00463327"/>
    <w:rsid w:val="0046333E"/>
    <w:rsid w:val="004634DF"/>
    <w:rsid w:val="00463753"/>
    <w:rsid w:val="004638A6"/>
    <w:rsid w:val="00464B90"/>
    <w:rsid w:val="00464F8D"/>
    <w:rsid w:val="00465020"/>
    <w:rsid w:val="004652DA"/>
    <w:rsid w:val="004654FA"/>
    <w:rsid w:val="00465702"/>
    <w:rsid w:val="004658DD"/>
    <w:rsid w:val="00465C88"/>
    <w:rsid w:val="00466175"/>
    <w:rsid w:val="004661B0"/>
    <w:rsid w:val="004664D1"/>
    <w:rsid w:val="0046670E"/>
    <w:rsid w:val="00466AF6"/>
    <w:rsid w:val="00466C45"/>
    <w:rsid w:val="00466FB9"/>
    <w:rsid w:val="00467230"/>
    <w:rsid w:val="0046739C"/>
    <w:rsid w:val="0046775C"/>
    <w:rsid w:val="00467B3B"/>
    <w:rsid w:val="004700DD"/>
    <w:rsid w:val="00470415"/>
    <w:rsid w:val="00470AAE"/>
    <w:rsid w:val="00470C97"/>
    <w:rsid w:val="00471558"/>
    <w:rsid w:val="00471575"/>
    <w:rsid w:val="00472444"/>
    <w:rsid w:val="0047283C"/>
    <w:rsid w:val="004730A5"/>
    <w:rsid w:val="004731CA"/>
    <w:rsid w:val="00473638"/>
    <w:rsid w:val="004738D4"/>
    <w:rsid w:val="00473A20"/>
    <w:rsid w:val="00473C11"/>
    <w:rsid w:val="00473D43"/>
    <w:rsid w:val="00473D66"/>
    <w:rsid w:val="00473EFB"/>
    <w:rsid w:val="00473FA9"/>
    <w:rsid w:val="0047422A"/>
    <w:rsid w:val="00474431"/>
    <w:rsid w:val="00474789"/>
    <w:rsid w:val="004749DC"/>
    <w:rsid w:val="00474C83"/>
    <w:rsid w:val="00474E78"/>
    <w:rsid w:val="00475415"/>
    <w:rsid w:val="00475B6A"/>
    <w:rsid w:val="004760A0"/>
    <w:rsid w:val="00476F93"/>
    <w:rsid w:val="004777D9"/>
    <w:rsid w:val="0047789D"/>
    <w:rsid w:val="00477E5A"/>
    <w:rsid w:val="00477EC6"/>
    <w:rsid w:val="00481089"/>
    <w:rsid w:val="00481375"/>
    <w:rsid w:val="00481AB8"/>
    <w:rsid w:val="00482E91"/>
    <w:rsid w:val="0048307E"/>
    <w:rsid w:val="00483495"/>
    <w:rsid w:val="004839EF"/>
    <w:rsid w:val="004847D6"/>
    <w:rsid w:val="00484D28"/>
    <w:rsid w:val="00485639"/>
    <w:rsid w:val="00486006"/>
    <w:rsid w:val="00486194"/>
    <w:rsid w:val="004861C4"/>
    <w:rsid w:val="0048690F"/>
    <w:rsid w:val="00486A03"/>
    <w:rsid w:val="00486C8A"/>
    <w:rsid w:val="0048702E"/>
    <w:rsid w:val="00487124"/>
    <w:rsid w:val="00487306"/>
    <w:rsid w:val="004877F1"/>
    <w:rsid w:val="00487B3A"/>
    <w:rsid w:val="00487F2E"/>
    <w:rsid w:val="00490357"/>
    <w:rsid w:val="00490B79"/>
    <w:rsid w:val="00490C96"/>
    <w:rsid w:val="00490D67"/>
    <w:rsid w:val="00490DE4"/>
    <w:rsid w:val="00491107"/>
    <w:rsid w:val="004911AB"/>
    <w:rsid w:val="004911DE"/>
    <w:rsid w:val="00491263"/>
    <w:rsid w:val="0049128B"/>
    <w:rsid w:val="00491EDE"/>
    <w:rsid w:val="00492090"/>
    <w:rsid w:val="00492BBD"/>
    <w:rsid w:val="004931A9"/>
    <w:rsid w:val="004931EA"/>
    <w:rsid w:val="00493475"/>
    <w:rsid w:val="004935AF"/>
    <w:rsid w:val="00493792"/>
    <w:rsid w:val="0049404D"/>
    <w:rsid w:val="00494263"/>
    <w:rsid w:val="0049480E"/>
    <w:rsid w:val="00494F4B"/>
    <w:rsid w:val="00495A53"/>
    <w:rsid w:val="00495C87"/>
    <w:rsid w:val="00496594"/>
    <w:rsid w:val="0049661C"/>
    <w:rsid w:val="0049676B"/>
    <w:rsid w:val="0049691F"/>
    <w:rsid w:val="00496C58"/>
    <w:rsid w:val="004970E2"/>
    <w:rsid w:val="0049710C"/>
    <w:rsid w:val="004971C5"/>
    <w:rsid w:val="0049734A"/>
    <w:rsid w:val="00497928"/>
    <w:rsid w:val="004A06C3"/>
    <w:rsid w:val="004A07D3"/>
    <w:rsid w:val="004A0C25"/>
    <w:rsid w:val="004A0F59"/>
    <w:rsid w:val="004A1154"/>
    <w:rsid w:val="004A1763"/>
    <w:rsid w:val="004A1ABB"/>
    <w:rsid w:val="004A1E1B"/>
    <w:rsid w:val="004A20A4"/>
    <w:rsid w:val="004A29A1"/>
    <w:rsid w:val="004A2FC1"/>
    <w:rsid w:val="004A3833"/>
    <w:rsid w:val="004A38D7"/>
    <w:rsid w:val="004A3F90"/>
    <w:rsid w:val="004A43E3"/>
    <w:rsid w:val="004A48ED"/>
    <w:rsid w:val="004A4C7B"/>
    <w:rsid w:val="004A4E6F"/>
    <w:rsid w:val="004A5451"/>
    <w:rsid w:val="004A54D7"/>
    <w:rsid w:val="004A5805"/>
    <w:rsid w:val="004A5DF5"/>
    <w:rsid w:val="004A5FC9"/>
    <w:rsid w:val="004A65EF"/>
    <w:rsid w:val="004A69A8"/>
    <w:rsid w:val="004A69F6"/>
    <w:rsid w:val="004A6B79"/>
    <w:rsid w:val="004A7592"/>
    <w:rsid w:val="004A77A8"/>
    <w:rsid w:val="004A7F13"/>
    <w:rsid w:val="004B007C"/>
    <w:rsid w:val="004B0D9A"/>
    <w:rsid w:val="004B1BB7"/>
    <w:rsid w:val="004B1D28"/>
    <w:rsid w:val="004B1F49"/>
    <w:rsid w:val="004B2142"/>
    <w:rsid w:val="004B266A"/>
    <w:rsid w:val="004B2DCB"/>
    <w:rsid w:val="004B311A"/>
    <w:rsid w:val="004B315D"/>
    <w:rsid w:val="004B391E"/>
    <w:rsid w:val="004B3E9F"/>
    <w:rsid w:val="004B427C"/>
    <w:rsid w:val="004B4640"/>
    <w:rsid w:val="004B49E3"/>
    <w:rsid w:val="004B4AA6"/>
    <w:rsid w:val="004B5710"/>
    <w:rsid w:val="004B5BD3"/>
    <w:rsid w:val="004B60E3"/>
    <w:rsid w:val="004B648C"/>
    <w:rsid w:val="004B6956"/>
    <w:rsid w:val="004B6CBF"/>
    <w:rsid w:val="004B711C"/>
    <w:rsid w:val="004B72A3"/>
    <w:rsid w:val="004B745B"/>
    <w:rsid w:val="004B7B07"/>
    <w:rsid w:val="004B7C3D"/>
    <w:rsid w:val="004C0101"/>
    <w:rsid w:val="004C0218"/>
    <w:rsid w:val="004C04B2"/>
    <w:rsid w:val="004C0E33"/>
    <w:rsid w:val="004C1943"/>
    <w:rsid w:val="004C1FCE"/>
    <w:rsid w:val="004C2355"/>
    <w:rsid w:val="004C2607"/>
    <w:rsid w:val="004C26A9"/>
    <w:rsid w:val="004C28B1"/>
    <w:rsid w:val="004C2A2B"/>
    <w:rsid w:val="004C2B31"/>
    <w:rsid w:val="004C2CA3"/>
    <w:rsid w:val="004C2F90"/>
    <w:rsid w:val="004C30E8"/>
    <w:rsid w:val="004C390A"/>
    <w:rsid w:val="004C3A1B"/>
    <w:rsid w:val="004C3C3A"/>
    <w:rsid w:val="004C3C5F"/>
    <w:rsid w:val="004C3EFA"/>
    <w:rsid w:val="004C4919"/>
    <w:rsid w:val="004C4A62"/>
    <w:rsid w:val="004C4AE5"/>
    <w:rsid w:val="004C506C"/>
    <w:rsid w:val="004C5079"/>
    <w:rsid w:val="004C5502"/>
    <w:rsid w:val="004C5A87"/>
    <w:rsid w:val="004C5B73"/>
    <w:rsid w:val="004C5F0F"/>
    <w:rsid w:val="004C60CA"/>
    <w:rsid w:val="004C64F2"/>
    <w:rsid w:val="004C6793"/>
    <w:rsid w:val="004C7134"/>
    <w:rsid w:val="004D00C5"/>
    <w:rsid w:val="004D0917"/>
    <w:rsid w:val="004D0AAA"/>
    <w:rsid w:val="004D12EA"/>
    <w:rsid w:val="004D15BD"/>
    <w:rsid w:val="004D174F"/>
    <w:rsid w:val="004D1889"/>
    <w:rsid w:val="004D1C37"/>
    <w:rsid w:val="004D2EC0"/>
    <w:rsid w:val="004D3029"/>
    <w:rsid w:val="004D311E"/>
    <w:rsid w:val="004D3563"/>
    <w:rsid w:val="004D40BC"/>
    <w:rsid w:val="004D4273"/>
    <w:rsid w:val="004D4305"/>
    <w:rsid w:val="004D4A67"/>
    <w:rsid w:val="004D4E42"/>
    <w:rsid w:val="004D51A7"/>
    <w:rsid w:val="004D5489"/>
    <w:rsid w:val="004D59D0"/>
    <w:rsid w:val="004D5B80"/>
    <w:rsid w:val="004D5EB6"/>
    <w:rsid w:val="004D6901"/>
    <w:rsid w:val="004D6D07"/>
    <w:rsid w:val="004D75A1"/>
    <w:rsid w:val="004D766B"/>
    <w:rsid w:val="004E01EC"/>
    <w:rsid w:val="004E0899"/>
    <w:rsid w:val="004E0CB7"/>
    <w:rsid w:val="004E0E63"/>
    <w:rsid w:val="004E0FF2"/>
    <w:rsid w:val="004E1186"/>
    <w:rsid w:val="004E1303"/>
    <w:rsid w:val="004E15ED"/>
    <w:rsid w:val="004E245D"/>
    <w:rsid w:val="004E245E"/>
    <w:rsid w:val="004E28D4"/>
    <w:rsid w:val="004E2A4B"/>
    <w:rsid w:val="004E2D91"/>
    <w:rsid w:val="004E342E"/>
    <w:rsid w:val="004E40CC"/>
    <w:rsid w:val="004E426B"/>
    <w:rsid w:val="004E470C"/>
    <w:rsid w:val="004E48F5"/>
    <w:rsid w:val="004E5BEF"/>
    <w:rsid w:val="004E602D"/>
    <w:rsid w:val="004E6179"/>
    <w:rsid w:val="004E62F6"/>
    <w:rsid w:val="004E65B4"/>
    <w:rsid w:val="004E678C"/>
    <w:rsid w:val="004E7073"/>
    <w:rsid w:val="004E77A5"/>
    <w:rsid w:val="004E77CE"/>
    <w:rsid w:val="004F05ED"/>
    <w:rsid w:val="004F0ADA"/>
    <w:rsid w:val="004F0B44"/>
    <w:rsid w:val="004F0C25"/>
    <w:rsid w:val="004F1367"/>
    <w:rsid w:val="004F197A"/>
    <w:rsid w:val="004F1984"/>
    <w:rsid w:val="004F2DEF"/>
    <w:rsid w:val="004F2F11"/>
    <w:rsid w:val="004F34E2"/>
    <w:rsid w:val="004F38D9"/>
    <w:rsid w:val="004F3BEA"/>
    <w:rsid w:val="004F3C04"/>
    <w:rsid w:val="004F51FB"/>
    <w:rsid w:val="004F5202"/>
    <w:rsid w:val="004F54B3"/>
    <w:rsid w:val="004F56DA"/>
    <w:rsid w:val="004F5889"/>
    <w:rsid w:val="004F588F"/>
    <w:rsid w:val="004F5B28"/>
    <w:rsid w:val="004F6558"/>
    <w:rsid w:val="004F66C7"/>
    <w:rsid w:val="004F6714"/>
    <w:rsid w:val="004F6A5E"/>
    <w:rsid w:val="004F6EE6"/>
    <w:rsid w:val="004F6FCA"/>
    <w:rsid w:val="004F72ED"/>
    <w:rsid w:val="004F73CF"/>
    <w:rsid w:val="004F7B26"/>
    <w:rsid w:val="005000A0"/>
    <w:rsid w:val="00500497"/>
    <w:rsid w:val="005006C5"/>
    <w:rsid w:val="00500B43"/>
    <w:rsid w:val="00500DA9"/>
    <w:rsid w:val="00500FBF"/>
    <w:rsid w:val="005012D1"/>
    <w:rsid w:val="005017E2"/>
    <w:rsid w:val="00501863"/>
    <w:rsid w:val="00501D17"/>
    <w:rsid w:val="00501E8C"/>
    <w:rsid w:val="00502063"/>
    <w:rsid w:val="005020D0"/>
    <w:rsid w:val="00502174"/>
    <w:rsid w:val="0050231B"/>
    <w:rsid w:val="00502552"/>
    <w:rsid w:val="00502A3A"/>
    <w:rsid w:val="00502ECF"/>
    <w:rsid w:val="005030E1"/>
    <w:rsid w:val="00503151"/>
    <w:rsid w:val="00503257"/>
    <w:rsid w:val="00503D2F"/>
    <w:rsid w:val="00504D45"/>
    <w:rsid w:val="00504DCE"/>
    <w:rsid w:val="0050510C"/>
    <w:rsid w:val="00505114"/>
    <w:rsid w:val="005054F0"/>
    <w:rsid w:val="005055E1"/>
    <w:rsid w:val="00506035"/>
    <w:rsid w:val="00506C49"/>
    <w:rsid w:val="00506D34"/>
    <w:rsid w:val="0050744F"/>
    <w:rsid w:val="0050788C"/>
    <w:rsid w:val="00507F67"/>
    <w:rsid w:val="005106FA"/>
    <w:rsid w:val="00510C51"/>
    <w:rsid w:val="00510F8C"/>
    <w:rsid w:val="0051165F"/>
    <w:rsid w:val="0051179B"/>
    <w:rsid w:val="0051197C"/>
    <w:rsid w:val="0051197F"/>
    <w:rsid w:val="00511B1D"/>
    <w:rsid w:val="00511B48"/>
    <w:rsid w:val="00511BC3"/>
    <w:rsid w:val="00511E0C"/>
    <w:rsid w:val="005124A5"/>
    <w:rsid w:val="005138F5"/>
    <w:rsid w:val="00513D3C"/>
    <w:rsid w:val="005145FF"/>
    <w:rsid w:val="0051519B"/>
    <w:rsid w:val="00515632"/>
    <w:rsid w:val="00515952"/>
    <w:rsid w:val="00515D6C"/>
    <w:rsid w:val="00515E6D"/>
    <w:rsid w:val="00515F0B"/>
    <w:rsid w:val="005161BA"/>
    <w:rsid w:val="0051624C"/>
    <w:rsid w:val="00516CB9"/>
    <w:rsid w:val="00516CEA"/>
    <w:rsid w:val="005170DC"/>
    <w:rsid w:val="00517669"/>
    <w:rsid w:val="00517B79"/>
    <w:rsid w:val="00517BA5"/>
    <w:rsid w:val="00517BB9"/>
    <w:rsid w:val="00517CA0"/>
    <w:rsid w:val="00521036"/>
    <w:rsid w:val="0052163C"/>
    <w:rsid w:val="00521E79"/>
    <w:rsid w:val="00521EE9"/>
    <w:rsid w:val="005224C2"/>
    <w:rsid w:val="00522B24"/>
    <w:rsid w:val="005230B7"/>
    <w:rsid w:val="005231A7"/>
    <w:rsid w:val="0052322B"/>
    <w:rsid w:val="00523818"/>
    <w:rsid w:val="00523A8E"/>
    <w:rsid w:val="00523F80"/>
    <w:rsid w:val="00524224"/>
    <w:rsid w:val="005242EF"/>
    <w:rsid w:val="0052450C"/>
    <w:rsid w:val="00524ECC"/>
    <w:rsid w:val="0052506B"/>
    <w:rsid w:val="005251CD"/>
    <w:rsid w:val="005258FB"/>
    <w:rsid w:val="00526154"/>
    <w:rsid w:val="0052654A"/>
    <w:rsid w:val="00526580"/>
    <w:rsid w:val="005269D7"/>
    <w:rsid w:val="00526B78"/>
    <w:rsid w:val="005272A0"/>
    <w:rsid w:val="005272BD"/>
    <w:rsid w:val="0052731D"/>
    <w:rsid w:val="00527A45"/>
    <w:rsid w:val="00527B3B"/>
    <w:rsid w:val="00530A47"/>
    <w:rsid w:val="00530DA8"/>
    <w:rsid w:val="00531407"/>
    <w:rsid w:val="00531510"/>
    <w:rsid w:val="00531534"/>
    <w:rsid w:val="00531B24"/>
    <w:rsid w:val="005324FF"/>
    <w:rsid w:val="00532F5E"/>
    <w:rsid w:val="0053330D"/>
    <w:rsid w:val="00533BF4"/>
    <w:rsid w:val="00533FDC"/>
    <w:rsid w:val="0053409B"/>
    <w:rsid w:val="005343D1"/>
    <w:rsid w:val="00534667"/>
    <w:rsid w:val="00534A7E"/>
    <w:rsid w:val="00534CD5"/>
    <w:rsid w:val="005354BB"/>
    <w:rsid w:val="00535804"/>
    <w:rsid w:val="00536058"/>
    <w:rsid w:val="00536330"/>
    <w:rsid w:val="00536521"/>
    <w:rsid w:val="0053656E"/>
    <w:rsid w:val="00536828"/>
    <w:rsid w:val="00536905"/>
    <w:rsid w:val="0053781F"/>
    <w:rsid w:val="005379B9"/>
    <w:rsid w:val="00537F10"/>
    <w:rsid w:val="00537FBF"/>
    <w:rsid w:val="005402F9"/>
    <w:rsid w:val="00540652"/>
    <w:rsid w:val="00541066"/>
    <w:rsid w:val="005410B6"/>
    <w:rsid w:val="005417EB"/>
    <w:rsid w:val="005419FB"/>
    <w:rsid w:val="00541AF5"/>
    <w:rsid w:val="00541AFD"/>
    <w:rsid w:val="00541B8D"/>
    <w:rsid w:val="00541E28"/>
    <w:rsid w:val="00541FA0"/>
    <w:rsid w:val="00541FBC"/>
    <w:rsid w:val="00542857"/>
    <w:rsid w:val="00542934"/>
    <w:rsid w:val="00542AF2"/>
    <w:rsid w:val="00542BC3"/>
    <w:rsid w:val="00542C2D"/>
    <w:rsid w:val="00542E56"/>
    <w:rsid w:val="00543C9F"/>
    <w:rsid w:val="00543E53"/>
    <w:rsid w:val="00543EB1"/>
    <w:rsid w:val="00544383"/>
    <w:rsid w:val="00544BE8"/>
    <w:rsid w:val="00544D8A"/>
    <w:rsid w:val="005451B9"/>
    <w:rsid w:val="005453AB"/>
    <w:rsid w:val="00545A37"/>
    <w:rsid w:val="00545AEC"/>
    <w:rsid w:val="00546557"/>
    <w:rsid w:val="00546612"/>
    <w:rsid w:val="005466A1"/>
    <w:rsid w:val="00546762"/>
    <w:rsid w:val="00546AB8"/>
    <w:rsid w:val="00546C24"/>
    <w:rsid w:val="0054720E"/>
    <w:rsid w:val="00547AEB"/>
    <w:rsid w:val="00547C8D"/>
    <w:rsid w:val="00550255"/>
    <w:rsid w:val="0055045C"/>
    <w:rsid w:val="00550649"/>
    <w:rsid w:val="005506F8"/>
    <w:rsid w:val="005509B5"/>
    <w:rsid w:val="00550CCC"/>
    <w:rsid w:val="005515E4"/>
    <w:rsid w:val="005516B5"/>
    <w:rsid w:val="0055176A"/>
    <w:rsid w:val="00552B5B"/>
    <w:rsid w:val="00552BC1"/>
    <w:rsid w:val="005533F1"/>
    <w:rsid w:val="005542C3"/>
    <w:rsid w:val="00554691"/>
    <w:rsid w:val="00554D0A"/>
    <w:rsid w:val="005550D8"/>
    <w:rsid w:val="0055517F"/>
    <w:rsid w:val="005551E3"/>
    <w:rsid w:val="0055574C"/>
    <w:rsid w:val="005563D7"/>
    <w:rsid w:val="005564C4"/>
    <w:rsid w:val="005564CA"/>
    <w:rsid w:val="0055656F"/>
    <w:rsid w:val="00556B90"/>
    <w:rsid w:val="00556B9D"/>
    <w:rsid w:val="005571DF"/>
    <w:rsid w:val="0055737D"/>
    <w:rsid w:val="005575A6"/>
    <w:rsid w:val="005575AF"/>
    <w:rsid w:val="00557BFD"/>
    <w:rsid w:val="00557FF9"/>
    <w:rsid w:val="0056004D"/>
    <w:rsid w:val="0056019A"/>
    <w:rsid w:val="0056066F"/>
    <w:rsid w:val="00560962"/>
    <w:rsid w:val="00560D69"/>
    <w:rsid w:val="00561821"/>
    <w:rsid w:val="00561B07"/>
    <w:rsid w:val="00561BA3"/>
    <w:rsid w:val="00561C82"/>
    <w:rsid w:val="00561FA5"/>
    <w:rsid w:val="0056217D"/>
    <w:rsid w:val="005621B3"/>
    <w:rsid w:val="00562B84"/>
    <w:rsid w:val="00562D0C"/>
    <w:rsid w:val="0056351C"/>
    <w:rsid w:val="00563824"/>
    <w:rsid w:val="0056398C"/>
    <w:rsid w:val="00563C93"/>
    <w:rsid w:val="00564115"/>
    <w:rsid w:val="00564144"/>
    <w:rsid w:val="005643A7"/>
    <w:rsid w:val="0056483B"/>
    <w:rsid w:val="00564925"/>
    <w:rsid w:val="00564A01"/>
    <w:rsid w:val="00564E1C"/>
    <w:rsid w:val="0056528E"/>
    <w:rsid w:val="005656A2"/>
    <w:rsid w:val="00565EEC"/>
    <w:rsid w:val="005660E4"/>
    <w:rsid w:val="0056614B"/>
    <w:rsid w:val="005667CF"/>
    <w:rsid w:val="00566A54"/>
    <w:rsid w:val="00567295"/>
    <w:rsid w:val="00567570"/>
    <w:rsid w:val="00567622"/>
    <w:rsid w:val="00570E17"/>
    <w:rsid w:val="00570F0F"/>
    <w:rsid w:val="005724F7"/>
    <w:rsid w:val="00573020"/>
    <w:rsid w:val="00573127"/>
    <w:rsid w:val="00573213"/>
    <w:rsid w:val="0057377B"/>
    <w:rsid w:val="00573AA7"/>
    <w:rsid w:val="005740F7"/>
    <w:rsid w:val="0057454B"/>
    <w:rsid w:val="00575B2F"/>
    <w:rsid w:val="0057606C"/>
    <w:rsid w:val="005762A5"/>
    <w:rsid w:val="005764C4"/>
    <w:rsid w:val="005771EC"/>
    <w:rsid w:val="005772F4"/>
    <w:rsid w:val="00577F89"/>
    <w:rsid w:val="00580773"/>
    <w:rsid w:val="00580ABB"/>
    <w:rsid w:val="00580DE6"/>
    <w:rsid w:val="0058115D"/>
    <w:rsid w:val="00581B34"/>
    <w:rsid w:val="0058209C"/>
    <w:rsid w:val="005831BB"/>
    <w:rsid w:val="00583414"/>
    <w:rsid w:val="005836A8"/>
    <w:rsid w:val="00583C3C"/>
    <w:rsid w:val="00583DFC"/>
    <w:rsid w:val="00583E4E"/>
    <w:rsid w:val="005842DB"/>
    <w:rsid w:val="0058478B"/>
    <w:rsid w:val="00584B80"/>
    <w:rsid w:val="00585016"/>
    <w:rsid w:val="0058515B"/>
    <w:rsid w:val="005851D6"/>
    <w:rsid w:val="005857D1"/>
    <w:rsid w:val="00585BEB"/>
    <w:rsid w:val="005866E5"/>
    <w:rsid w:val="00587033"/>
    <w:rsid w:val="0058715D"/>
    <w:rsid w:val="005877E8"/>
    <w:rsid w:val="00587813"/>
    <w:rsid w:val="00587B38"/>
    <w:rsid w:val="00587B52"/>
    <w:rsid w:val="00587CBB"/>
    <w:rsid w:val="00590154"/>
    <w:rsid w:val="0059020A"/>
    <w:rsid w:val="005906B5"/>
    <w:rsid w:val="005909DF"/>
    <w:rsid w:val="00591155"/>
    <w:rsid w:val="005911B0"/>
    <w:rsid w:val="00591805"/>
    <w:rsid w:val="0059183D"/>
    <w:rsid w:val="0059192D"/>
    <w:rsid w:val="00591BAC"/>
    <w:rsid w:val="00591E06"/>
    <w:rsid w:val="00592035"/>
    <w:rsid w:val="00592051"/>
    <w:rsid w:val="0059227A"/>
    <w:rsid w:val="00592896"/>
    <w:rsid w:val="005928A8"/>
    <w:rsid w:val="005929E9"/>
    <w:rsid w:val="00592CE4"/>
    <w:rsid w:val="00593209"/>
    <w:rsid w:val="005933DA"/>
    <w:rsid w:val="00593605"/>
    <w:rsid w:val="00593665"/>
    <w:rsid w:val="005937D0"/>
    <w:rsid w:val="00593B89"/>
    <w:rsid w:val="00594081"/>
    <w:rsid w:val="00594B14"/>
    <w:rsid w:val="005951A6"/>
    <w:rsid w:val="00595385"/>
    <w:rsid w:val="005953CA"/>
    <w:rsid w:val="00595743"/>
    <w:rsid w:val="00596149"/>
    <w:rsid w:val="005963F1"/>
    <w:rsid w:val="0059690B"/>
    <w:rsid w:val="00596BBE"/>
    <w:rsid w:val="00596DAC"/>
    <w:rsid w:val="0059700A"/>
    <w:rsid w:val="00597060"/>
    <w:rsid w:val="005973D9"/>
    <w:rsid w:val="005973EB"/>
    <w:rsid w:val="005974B2"/>
    <w:rsid w:val="005974DC"/>
    <w:rsid w:val="00597ACA"/>
    <w:rsid w:val="00597EA3"/>
    <w:rsid w:val="005A057C"/>
    <w:rsid w:val="005A05BF"/>
    <w:rsid w:val="005A0675"/>
    <w:rsid w:val="005A0806"/>
    <w:rsid w:val="005A0FEE"/>
    <w:rsid w:val="005A159F"/>
    <w:rsid w:val="005A15E3"/>
    <w:rsid w:val="005A1BAC"/>
    <w:rsid w:val="005A1BB7"/>
    <w:rsid w:val="005A1ECA"/>
    <w:rsid w:val="005A21CC"/>
    <w:rsid w:val="005A2479"/>
    <w:rsid w:val="005A25B2"/>
    <w:rsid w:val="005A298F"/>
    <w:rsid w:val="005A2992"/>
    <w:rsid w:val="005A2CD1"/>
    <w:rsid w:val="005A2EDF"/>
    <w:rsid w:val="005A31EC"/>
    <w:rsid w:val="005A34E0"/>
    <w:rsid w:val="005A3986"/>
    <w:rsid w:val="005A3C07"/>
    <w:rsid w:val="005A4162"/>
    <w:rsid w:val="005A4917"/>
    <w:rsid w:val="005A51F0"/>
    <w:rsid w:val="005A54EF"/>
    <w:rsid w:val="005A609C"/>
    <w:rsid w:val="005A667D"/>
    <w:rsid w:val="005A69BB"/>
    <w:rsid w:val="005A7A6A"/>
    <w:rsid w:val="005A7A8C"/>
    <w:rsid w:val="005A7B99"/>
    <w:rsid w:val="005A7F71"/>
    <w:rsid w:val="005B004A"/>
    <w:rsid w:val="005B0077"/>
    <w:rsid w:val="005B050F"/>
    <w:rsid w:val="005B072A"/>
    <w:rsid w:val="005B0989"/>
    <w:rsid w:val="005B0C6A"/>
    <w:rsid w:val="005B0F7D"/>
    <w:rsid w:val="005B1054"/>
    <w:rsid w:val="005B166E"/>
    <w:rsid w:val="005B1AE4"/>
    <w:rsid w:val="005B1C45"/>
    <w:rsid w:val="005B1F75"/>
    <w:rsid w:val="005B20F8"/>
    <w:rsid w:val="005B32B9"/>
    <w:rsid w:val="005B384B"/>
    <w:rsid w:val="005B3D26"/>
    <w:rsid w:val="005B3D2A"/>
    <w:rsid w:val="005B3D59"/>
    <w:rsid w:val="005B3D7F"/>
    <w:rsid w:val="005B408E"/>
    <w:rsid w:val="005B4670"/>
    <w:rsid w:val="005B47ED"/>
    <w:rsid w:val="005B62D2"/>
    <w:rsid w:val="005B6646"/>
    <w:rsid w:val="005B68D2"/>
    <w:rsid w:val="005B6916"/>
    <w:rsid w:val="005B696A"/>
    <w:rsid w:val="005B6A5E"/>
    <w:rsid w:val="005B6B6E"/>
    <w:rsid w:val="005B70A0"/>
    <w:rsid w:val="005B7171"/>
    <w:rsid w:val="005B7252"/>
    <w:rsid w:val="005B77B7"/>
    <w:rsid w:val="005B7A9A"/>
    <w:rsid w:val="005B7AE1"/>
    <w:rsid w:val="005C055A"/>
    <w:rsid w:val="005C084F"/>
    <w:rsid w:val="005C0CF8"/>
    <w:rsid w:val="005C10E2"/>
    <w:rsid w:val="005C1D47"/>
    <w:rsid w:val="005C1E10"/>
    <w:rsid w:val="005C22B0"/>
    <w:rsid w:val="005C255A"/>
    <w:rsid w:val="005C25E5"/>
    <w:rsid w:val="005C2836"/>
    <w:rsid w:val="005C2845"/>
    <w:rsid w:val="005C28C6"/>
    <w:rsid w:val="005C2FD4"/>
    <w:rsid w:val="005C3086"/>
    <w:rsid w:val="005C347C"/>
    <w:rsid w:val="005C3672"/>
    <w:rsid w:val="005C3DDE"/>
    <w:rsid w:val="005C3F42"/>
    <w:rsid w:val="005C4336"/>
    <w:rsid w:val="005C4723"/>
    <w:rsid w:val="005C4E96"/>
    <w:rsid w:val="005C5042"/>
    <w:rsid w:val="005C5249"/>
    <w:rsid w:val="005C531A"/>
    <w:rsid w:val="005C53B4"/>
    <w:rsid w:val="005C5A72"/>
    <w:rsid w:val="005C5C0E"/>
    <w:rsid w:val="005C5FED"/>
    <w:rsid w:val="005C6149"/>
    <w:rsid w:val="005C6257"/>
    <w:rsid w:val="005C63D6"/>
    <w:rsid w:val="005C65EF"/>
    <w:rsid w:val="005C68A1"/>
    <w:rsid w:val="005C6A2C"/>
    <w:rsid w:val="005C6EC2"/>
    <w:rsid w:val="005C7246"/>
    <w:rsid w:val="005C73D7"/>
    <w:rsid w:val="005C79FC"/>
    <w:rsid w:val="005C7E94"/>
    <w:rsid w:val="005D00DF"/>
    <w:rsid w:val="005D123B"/>
    <w:rsid w:val="005D1315"/>
    <w:rsid w:val="005D138F"/>
    <w:rsid w:val="005D1440"/>
    <w:rsid w:val="005D18F8"/>
    <w:rsid w:val="005D1F40"/>
    <w:rsid w:val="005D22AD"/>
    <w:rsid w:val="005D2558"/>
    <w:rsid w:val="005D3068"/>
    <w:rsid w:val="005D4198"/>
    <w:rsid w:val="005D4685"/>
    <w:rsid w:val="005D4774"/>
    <w:rsid w:val="005D4854"/>
    <w:rsid w:val="005D50ED"/>
    <w:rsid w:val="005D54C2"/>
    <w:rsid w:val="005D55E7"/>
    <w:rsid w:val="005D589F"/>
    <w:rsid w:val="005D5B5B"/>
    <w:rsid w:val="005D5D4F"/>
    <w:rsid w:val="005D600B"/>
    <w:rsid w:val="005D6E9A"/>
    <w:rsid w:val="005D75CD"/>
    <w:rsid w:val="005D7F1F"/>
    <w:rsid w:val="005E0B52"/>
    <w:rsid w:val="005E0BE1"/>
    <w:rsid w:val="005E0C01"/>
    <w:rsid w:val="005E10FB"/>
    <w:rsid w:val="005E138F"/>
    <w:rsid w:val="005E15C4"/>
    <w:rsid w:val="005E1AA3"/>
    <w:rsid w:val="005E1C02"/>
    <w:rsid w:val="005E2690"/>
    <w:rsid w:val="005E26AD"/>
    <w:rsid w:val="005E29BF"/>
    <w:rsid w:val="005E312C"/>
    <w:rsid w:val="005E32D2"/>
    <w:rsid w:val="005E43E9"/>
    <w:rsid w:val="005E4D40"/>
    <w:rsid w:val="005E5277"/>
    <w:rsid w:val="005E5472"/>
    <w:rsid w:val="005E557E"/>
    <w:rsid w:val="005E5608"/>
    <w:rsid w:val="005E5683"/>
    <w:rsid w:val="005E57E5"/>
    <w:rsid w:val="005E59C5"/>
    <w:rsid w:val="005E59F5"/>
    <w:rsid w:val="005E5A5A"/>
    <w:rsid w:val="005E5BD0"/>
    <w:rsid w:val="005E5C57"/>
    <w:rsid w:val="005E5DC0"/>
    <w:rsid w:val="005E6419"/>
    <w:rsid w:val="005E6578"/>
    <w:rsid w:val="005E6799"/>
    <w:rsid w:val="005E6C33"/>
    <w:rsid w:val="005E7048"/>
    <w:rsid w:val="005E75CE"/>
    <w:rsid w:val="005E7A3B"/>
    <w:rsid w:val="005E7EDF"/>
    <w:rsid w:val="005F0722"/>
    <w:rsid w:val="005F0888"/>
    <w:rsid w:val="005F088E"/>
    <w:rsid w:val="005F2102"/>
    <w:rsid w:val="005F2723"/>
    <w:rsid w:val="005F2880"/>
    <w:rsid w:val="005F2972"/>
    <w:rsid w:val="005F2AA2"/>
    <w:rsid w:val="005F2B80"/>
    <w:rsid w:val="005F2CD0"/>
    <w:rsid w:val="005F33B1"/>
    <w:rsid w:val="005F34FF"/>
    <w:rsid w:val="005F365C"/>
    <w:rsid w:val="005F3A2E"/>
    <w:rsid w:val="005F3A5E"/>
    <w:rsid w:val="005F3ED6"/>
    <w:rsid w:val="005F434B"/>
    <w:rsid w:val="005F449E"/>
    <w:rsid w:val="005F4504"/>
    <w:rsid w:val="005F4CF4"/>
    <w:rsid w:val="005F5483"/>
    <w:rsid w:val="005F55C3"/>
    <w:rsid w:val="005F573E"/>
    <w:rsid w:val="005F5BB9"/>
    <w:rsid w:val="005F6246"/>
    <w:rsid w:val="005F6308"/>
    <w:rsid w:val="005F68EC"/>
    <w:rsid w:val="005F6BD4"/>
    <w:rsid w:val="005F6DDC"/>
    <w:rsid w:val="005F6DE7"/>
    <w:rsid w:val="005F6EDA"/>
    <w:rsid w:val="005F6F22"/>
    <w:rsid w:val="005F7301"/>
    <w:rsid w:val="005F7415"/>
    <w:rsid w:val="005F77AC"/>
    <w:rsid w:val="006000F8"/>
    <w:rsid w:val="00600FFF"/>
    <w:rsid w:val="006010EF"/>
    <w:rsid w:val="00601575"/>
    <w:rsid w:val="00601C7C"/>
    <w:rsid w:val="00601E28"/>
    <w:rsid w:val="0060208B"/>
    <w:rsid w:val="006021FB"/>
    <w:rsid w:val="006023D1"/>
    <w:rsid w:val="0060250D"/>
    <w:rsid w:val="0060272E"/>
    <w:rsid w:val="00602DC1"/>
    <w:rsid w:val="00602EC8"/>
    <w:rsid w:val="0060318E"/>
    <w:rsid w:val="006032FB"/>
    <w:rsid w:val="00603721"/>
    <w:rsid w:val="00603B39"/>
    <w:rsid w:val="00604137"/>
    <w:rsid w:val="00604D35"/>
    <w:rsid w:val="0060598D"/>
    <w:rsid w:val="00605F00"/>
    <w:rsid w:val="00605FCD"/>
    <w:rsid w:val="00606026"/>
    <w:rsid w:val="0060622E"/>
    <w:rsid w:val="006062D1"/>
    <w:rsid w:val="0060649A"/>
    <w:rsid w:val="00606722"/>
    <w:rsid w:val="00606BFF"/>
    <w:rsid w:val="00606F2E"/>
    <w:rsid w:val="00607527"/>
    <w:rsid w:val="00607696"/>
    <w:rsid w:val="00607869"/>
    <w:rsid w:val="00607F32"/>
    <w:rsid w:val="00607FF2"/>
    <w:rsid w:val="00610333"/>
    <w:rsid w:val="006107F9"/>
    <w:rsid w:val="00610FD3"/>
    <w:rsid w:val="0061100E"/>
    <w:rsid w:val="0061144A"/>
    <w:rsid w:val="006116B2"/>
    <w:rsid w:val="0061179D"/>
    <w:rsid w:val="006118EF"/>
    <w:rsid w:val="00611ABD"/>
    <w:rsid w:val="00611B86"/>
    <w:rsid w:val="00611C45"/>
    <w:rsid w:val="006128E2"/>
    <w:rsid w:val="00612B5D"/>
    <w:rsid w:val="00612C9E"/>
    <w:rsid w:val="00613014"/>
    <w:rsid w:val="006130D1"/>
    <w:rsid w:val="00613142"/>
    <w:rsid w:val="00613343"/>
    <w:rsid w:val="00613E32"/>
    <w:rsid w:val="00614477"/>
    <w:rsid w:val="00614FB0"/>
    <w:rsid w:val="006151C3"/>
    <w:rsid w:val="00615CBB"/>
    <w:rsid w:val="00615E63"/>
    <w:rsid w:val="0061605E"/>
    <w:rsid w:val="00616C5A"/>
    <w:rsid w:val="006178B5"/>
    <w:rsid w:val="006179AC"/>
    <w:rsid w:val="00617E2C"/>
    <w:rsid w:val="0062036C"/>
    <w:rsid w:val="00620735"/>
    <w:rsid w:val="00620D59"/>
    <w:rsid w:val="00620E85"/>
    <w:rsid w:val="00620FD4"/>
    <w:rsid w:val="0062110C"/>
    <w:rsid w:val="006218C9"/>
    <w:rsid w:val="00621C72"/>
    <w:rsid w:val="006221D6"/>
    <w:rsid w:val="006226E7"/>
    <w:rsid w:val="006228BD"/>
    <w:rsid w:val="00622C41"/>
    <w:rsid w:val="00623303"/>
    <w:rsid w:val="006237E0"/>
    <w:rsid w:val="00623E75"/>
    <w:rsid w:val="00623EE5"/>
    <w:rsid w:val="00623FFD"/>
    <w:rsid w:val="00624254"/>
    <w:rsid w:val="0062467F"/>
    <w:rsid w:val="00624964"/>
    <w:rsid w:val="00624B39"/>
    <w:rsid w:val="00624EC8"/>
    <w:rsid w:val="00624F11"/>
    <w:rsid w:val="006251CD"/>
    <w:rsid w:val="00625AC0"/>
    <w:rsid w:val="00625C48"/>
    <w:rsid w:val="00625E3A"/>
    <w:rsid w:val="006262AE"/>
    <w:rsid w:val="00626687"/>
    <w:rsid w:val="006267F3"/>
    <w:rsid w:val="00626BDC"/>
    <w:rsid w:val="00627671"/>
    <w:rsid w:val="00627F0D"/>
    <w:rsid w:val="006304CF"/>
    <w:rsid w:val="00630551"/>
    <w:rsid w:val="0063083D"/>
    <w:rsid w:val="00630AB8"/>
    <w:rsid w:val="00631A59"/>
    <w:rsid w:val="00631E0C"/>
    <w:rsid w:val="00631EC9"/>
    <w:rsid w:val="00632A4C"/>
    <w:rsid w:val="00633E25"/>
    <w:rsid w:val="0063430C"/>
    <w:rsid w:val="006345C8"/>
    <w:rsid w:val="006353FA"/>
    <w:rsid w:val="00635683"/>
    <w:rsid w:val="006357D5"/>
    <w:rsid w:val="00635847"/>
    <w:rsid w:val="00635DA6"/>
    <w:rsid w:val="006360C7"/>
    <w:rsid w:val="00636355"/>
    <w:rsid w:val="006363A8"/>
    <w:rsid w:val="0063679F"/>
    <w:rsid w:val="0063685D"/>
    <w:rsid w:val="00636DDF"/>
    <w:rsid w:val="00636E24"/>
    <w:rsid w:val="00636FA2"/>
    <w:rsid w:val="006370E7"/>
    <w:rsid w:val="0063724B"/>
    <w:rsid w:val="00637312"/>
    <w:rsid w:val="00637C15"/>
    <w:rsid w:val="006406B1"/>
    <w:rsid w:val="006406D2"/>
    <w:rsid w:val="00640BF1"/>
    <w:rsid w:val="00641087"/>
    <w:rsid w:val="006410CF"/>
    <w:rsid w:val="00641C1D"/>
    <w:rsid w:val="00641C33"/>
    <w:rsid w:val="00641DF2"/>
    <w:rsid w:val="006422AC"/>
    <w:rsid w:val="006422D1"/>
    <w:rsid w:val="00642887"/>
    <w:rsid w:val="00642C48"/>
    <w:rsid w:val="00642EEF"/>
    <w:rsid w:val="006430F4"/>
    <w:rsid w:val="006431DF"/>
    <w:rsid w:val="0064353B"/>
    <w:rsid w:val="00643A4B"/>
    <w:rsid w:val="0064405F"/>
    <w:rsid w:val="006445B2"/>
    <w:rsid w:val="00644764"/>
    <w:rsid w:val="006448EC"/>
    <w:rsid w:val="00644EF0"/>
    <w:rsid w:val="00645224"/>
    <w:rsid w:val="00645358"/>
    <w:rsid w:val="0064553A"/>
    <w:rsid w:val="00645B08"/>
    <w:rsid w:val="00645B9E"/>
    <w:rsid w:val="00645FBB"/>
    <w:rsid w:val="0064615B"/>
    <w:rsid w:val="00646548"/>
    <w:rsid w:val="00647330"/>
    <w:rsid w:val="0064749D"/>
    <w:rsid w:val="00647756"/>
    <w:rsid w:val="0064794A"/>
    <w:rsid w:val="00647AEA"/>
    <w:rsid w:val="006500C4"/>
    <w:rsid w:val="00650408"/>
    <w:rsid w:val="0065065D"/>
    <w:rsid w:val="006518FC"/>
    <w:rsid w:val="00651AEA"/>
    <w:rsid w:val="00651CB9"/>
    <w:rsid w:val="00651E22"/>
    <w:rsid w:val="00651FCB"/>
    <w:rsid w:val="006526B7"/>
    <w:rsid w:val="00652A73"/>
    <w:rsid w:val="006534EB"/>
    <w:rsid w:val="006536FE"/>
    <w:rsid w:val="0065389F"/>
    <w:rsid w:val="00653AAB"/>
    <w:rsid w:val="00653B82"/>
    <w:rsid w:val="00653BCC"/>
    <w:rsid w:val="00654029"/>
    <w:rsid w:val="0065545A"/>
    <w:rsid w:val="00656712"/>
    <w:rsid w:val="006567C7"/>
    <w:rsid w:val="00656BBE"/>
    <w:rsid w:val="00656F76"/>
    <w:rsid w:val="00656FC6"/>
    <w:rsid w:val="0065710C"/>
    <w:rsid w:val="0065721F"/>
    <w:rsid w:val="006573BE"/>
    <w:rsid w:val="00657786"/>
    <w:rsid w:val="00657891"/>
    <w:rsid w:val="00657AFA"/>
    <w:rsid w:val="00657F79"/>
    <w:rsid w:val="00660649"/>
    <w:rsid w:val="00660CCC"/>
    <w:rsid w:val="00661060"/>
    <w:rsid w:val="0066121C"/>
    <w:rsid w:val="006615E4"/>
    <w:rsid w:val="006617E6"/>
    <w:rsid w:val="006618A3"/>
    <w:rsid w:val="00661F04"/>
    <w:rsid w:val="00661F8A"/>
    <w:rsid w:val="00663408"/>
    <w:rsid w:val="006635A6"/>
    <w:rsid w:val="00663CE4"/>
    <w:rsid w:val="006644D7"/>
    <w:rsid w:val="006655C3"/>
    <w:rsid w:val="00666180"/>
    <w:rsid w:val="0066662A"/>
    <w:rsid w:val="006672B1"/>
    <w:rsid w:val="00667421"/>
    <w:rsid w:val="00667B26"/>
    <w:rsid w:val="00670525"/>
    <w:rsid w:val="00670619"/>
    <w:rsid w:val="00670B6A"/>
    <w:rsid w:val="00671062"/>
    <w:rsid w:val="00671749"/>
    <w:rsid w:val="00672294"/>
    <w:rsid w:val="0067258A"/>
    <w:rsid w:val="0067294F"/>
    <w:rsid w:val="00672954"/>
    <w:rsid w:val="00672D64"/>
    <w:rsid w:val="006732DA"/>
    <w:rsid w:val="006735C2"/>
    <w:rsid w:val="00673B40"/>
    <w:rsid w:val="00673FBD"/>
    <w:rsid w:val="006742C6"/>
    <w:rsid w:val="00674AFE"/>
    <w:rsid w:val="00674F92"/>
    <w:rsid w:val="00675374"/>
    <w:rsid w:val="006753F5"/>
    <w:rsid w:val="0067545C"/>
    <w:rsid w:val="006765A9"/>
    <w:rsid w:val="00676E05"/>
    <w:rsid w:val="006772BD"/>
    <w:rsid w:val="006775F9"/>
    <w:rsid w:val="0067764A"/>
    <w:rsid w:val="0067774C"/>
    <w:rsid w:val="00677BA7"/>
    <w:rsid w:val="006800B1"/>
    <w:rsid w:val="006801DF"/>
    <w:rsid w:val="0068023B"/>
    <w:rsid w:val="0068099E"/>
    <w:rsid w:val="00680B7A"/>
    <w:rsid w:val="00681211"/>
    <w:rsid w:val="00681362"/>
    <w:rsid w:val="0068141A"/>
    <w:rsid w:val="00681455"/>
    <w:rsid w:val="0068164C"/>
    <w:rsid w:val="00681783"/>
    <w:rsid w:val="00681AE7"/>
    <w:rsid w:val="006821B3"/>
    <w:rsid w:val="00682236"/>
    <w:rsid w:val="006822EE"/>
    <w:rsid w:val="006823DC"/>
    <w:rsid w:val="006823F4"/>
    <w:rsid w:val="00682546"/>
    <w:rsid w:val="00682712"/>
    <w:rsid w:val="0068309F"/>
    <w:rsid w:val="00683355"/>
    <w:rsid w:val="006833B6"/>
    <w:rsid w:val="00683516"/>
    <w:rsid w:val="00683A5B"/>
    <w:rsid w:val="00684091"/>
    <w:rsid w:val="006840D1"/>
    <w:rsid w:val="0068414E"/>
    <w:rsid w:val="00684E21"/>
    <w:rsid w:val="00684F89"/>
    <w:rsid w:val="00685793"/>
    <w:rsid w:val="006859CE"/>
    <w:rsid w:val="00685BC0"/>
    <w:rsid w:val="00686AEE"/>
    <w:rsid w:val="00686F4E"/>
    <w:rsid w:val="00686F62"/>
    <w:rsid w:val="00690144"/>
    <w:rsid w:val="0069069C"/>
    <w:rsid w:val="00690817"/>
    <w:rsid w:val="00690D72"/>
    <w:rsid w:val="00690DDE"/>
    <w:rsid w:val="00691187"/>
    <w:rsid w:val="00691590"/>
    <w:rsid w:val="00691BCE"/>
    <w:rsid w:val="00692055"/>
    <w:rsid w:val="0069222E"/>
    <w:rsid w:val="006926F8"/>
    <w:rsid w:val="00693A5F"/>
    <w:rsid w:val="00693E95"/>
    <w:rsid w:val="00693F69"/>
    <w:rsid w:val="0069408D"/>
    <w:rsid w:val="006940A1"/>
    <w:rsid w:val="0069433A"/>
    <w:rsid w:val="006946EE"/>
    <w:rsid w:val="0069475F"/>
    <w:rsid w:val="00694DA8"/>
    <w:rsid w:val="00694F39"/>
    <w:rsid w:val="00694FC4"/>
    <w:rsid w:val="00695C26"/>
    <w:rsid w:val="00695F12"/>
    <w:rsid w:val="00696928"/>
    <w:rsid w:val="00696E22"/>
    <w:rsid w:val="00697C15"/>
    <w:rsid w:val="006A001D"/>
    <w:rsid w:val="006A0493"/>
    <w:rsid w:val="006A04EC"/>
    <w:rsid w:val="006A0E0A"/>
    <w:rsid w:val="006A151F"/>
    <w:rsid w:val="006A175E"/>
    <w:rsid w:val="006A1CBA"/>
    <w:rsid w:val="006A1E94"/>
    <w:rsid w:val="006A20B2"/>
    <w:rsid w:val="006A30FF"/>
    <w:rsid w:val="006A331F"/>
    <w:rsid w:val="006A3432"/>
    <w:rsid w:val="006A3487"/>
    <w:rsid w:val="006A34E5"/>
    <w:rsid w:val="006A3D67"/>
    <w:rsid w:val="006A3F4F"/>
    <w:rsid w:val="006A4726"/>
    <w:rsid w:val="006A4775"/>
    <w:rsid w:val="006A4C09"/>
    <w:rsid w:val="006A4D9B"/>
    <w:rsid w:val="006A4DB9"/>
    <w:rsid w:val="006A5482"/>
    <w:rsid w:val="006A6154"/>
    <w:rsid w:val="006A6237"/>
    <w:rsid w:val="006A632B"/>
    <w:rsid w:val="006A63A5"/>
    <w:rsid w:val="006A66B7"/>
    <w:rsid w:val="006A680F"/>
    <w:rsid w:val="006A6B00"/>
    <w:rsid w:val="006A6BC9"/>
    <w:rsid w:val="006A6C81"/>
    <w:rsid w:val="006A6E5E"/>
    <w:rsid w:val="006A7261"/>
    <w:rsid w:val="006A73D2"/>
    <w:rsid w:val="006A7827"/>
    <w:rsid w:val="006A7D8B"/>
    <w:rsid w:val="006A7F18"/>
    <w:rsid w:val="006B002B"/>
    <w:rsid w:val="006B073A"/>
    <w:rsid w:val="006B0767"/>
    <w:rsid w:val="006B08D8"/>
    <w:rsid w:val="006B08D9"/>
    <w:rsid w:val="006B0F17"/>
    <w:rsid w:val="006B16E9"/>
    <w:rsid w:val="006B1D9C"/>
    <w:rsid w:val="006B202F"/>
    <w:rsid w:val="006B21FE"/>
    <w:rsid w:val="006B22FF"/>
    <w:rsid w:val="006B2323"/>
    <w:rsid w:val="006B250A"/>
    <w:rsid w:val="006B28FA"/>
    <w:rsid w:val="006B2A43"/>
    <w:rsid w:val="006B309B"/>
    <w:rsid w:val="006B329C"/>
    <w:rsid w:val="006B3495"/>
    <w:rsid w:val="006B34E5"/>
    <w:rsid w:val="006B38A0"/>
    <w:rsid w:val="006B3AF0"/>
    <w:rsid w:val="006B4A49"/>
    <w:rsid w:val="006B4A91"/>
    <w:rsid w:val="006B4B03"/>
    <w:rsid w:val="006B5533"/>
    <w:rsid w:val="006B578E"/>
    <w:rsid w:val="006B5872"/>
    <w:rsid w:val="006B5D9F"/>
    <w:rsid w:val="006B62CB"/>
    <w:rsid w:val="006B6322"/>
    <w:rsid w:val="006B6640"/>
    <w:rsid w:val="006B6818"/>
    <w:rsid w:val="006B693E"/>
    <w:rsid w:val="006B74F0"/>
    <w:rsid w:val="006B7985"/>
    <w:rsid w:val="006B7F95"/>
    <w:rsid w:val="006C0249"/>
    <w:rsid w:val="006C0371"/>
    <w:rsid w:val="006C061A"/>
    <w:rsid w:val="006C0A33"/>
    <w:rsid w:val="006C0EA6"/>
    <w:rsid w:val="006C1492"/>
    <w:rsid w:val="006C1AAE"/>
    <w:rsid w:val="006C1B0A"/>
    <w:rsid w:val="006C1B18"/>
    <w:rsid w:val="006C1DB4"/>
    <w:rsid w:val="006C2454"/>
    <w:rsid w:val="006C267F"/>
    <w:rsid w:val="006C26D9"/>
    <w:rsid w:val="006C2D38"/>
    <w:rsid w:val="006C2F2E"/>
    <w:rsid w:val="006C2FAA"/>
    <w:rsid w:val="006C31BD"/>
    <w:rsid w:val="006C36A2"/>
    <w:rsid w:val="006C384B"/>
    <w:rsid w:val="006C4071"/>
    <w:rsid w:val="006C423F"/>
    <w:rsid w:val="006C4247"/>
    <w:rsid w:val="006C4521"/>
    <w:rsid w:val="006C4B7B"/>
    <w:rsid w:val="006C5B71"/>
    <w:rsid w:val="006C5DA2"/>
    <w:rsid w:val="006C617C"/>
    <w:rsid w:val="006C6300"/>
    <w:rsid w:val="006C67EB"/>
    <w:rsid w:val="006C6852"/>
    <w:rsid w:val="006C72EF"/>
    <w:rsid w:val="006C772C"/>
    <w:rsid w:val="006C7EFC"/>
    <w:rsid w:val="006D0158"/>
    <w:rsid w:val="006D024A"/>
    <w:rsid w:val="006D06BE"/>
    <w:rsid w:val="006D0A5D"/>
    <w:rsid w:val="006D11E0"/>
    <w:rsid w:val="006D1275"/>
    <w:rsid w:val="006D1896"/>
    <w:rsid w:val="006D1EAD"/>
    <w:rsid w:val="006D228B"/>
    <w:rsid w:val="006D2B8A"/>
    <w:rsid w:val="006D2D66"/>
    <w:rsid w:val="006D2F76"/>
    <w:rsid w:val="006D3132"/>
    <w:rsid w:val="006D3181"/>
    <w:rsid w:val="006D39E4"/>
    <w:rsid w:val="006D40A9"/>
    <w:rsid w:val="006D4191"/>
    <w:rsid w:val="006D4714"/>
    <w:rsid w:val="006D4A99"/>
    <w:rsid w:val="006D4E28"/>
    <w:rsid w:val="006D51FB"/>
    <w:rsid w:val="006D623F"/>
    <w:rsid w:val="006D63F4"/>
    <w:rsid w:val="006D69E4"/>
    <w:rsid w:val="006D703E"/>
    <w:rsid w:val="006D73A2"/>
    <w:rsid w:val="006D7C02"/>
    <w:rsid w:val="006E02E7"/>
    <w:rsid w:val="006E08A2"/>
    <w:rsid w:val="006E0F2B"/>
    <w:rsid w:val="006E10B1"/>
    <w:rsid w:val="006E15B9"/>
    <w:rsid w:val="006E1616"/>
    <w:rsid w:val="006E1635"/>
    <w:rsid w:val="006E1BA2"/>
    <w:rsid w:val="006E23E6"/>
    <w:rsid w:val="006E2B74"/>
    <w:rsid w:val="006E2BF8"/>
    <w:rsid w:val="006E2D67"/>
    <w:rsid w:val="006E3081"/>
    <w:rsid w:val="006E35D3"/>
    <w:rsid w:val="006E35F9"/>
    <w:rsid w:val="006E38CA"/>
    <w:rsid w:val="006E406C"/>
    <w:rsid w:val="006E40E4"/>
    <w:rsid w:val="006E40F8"/>
    <w:rsid w:val="006E4118"/>
    <w:rsid w:val="006E4152"/>
    <w:rsid w:val="006E4ED4"/>
    <w:rsid w:val="006E5400"/>
    <w:rsid w:val="006E5564"/>
    <w:rsid w:val="006E5CB3"/>
    <w:rsid w:val="006E607E"/>
    <w:rsid w:val="006E64AA"/>
    <w:rsid w:val="006E684A"/>
    <w:rsid w:val="006E6949"/>
    <w:rsid w:val="006E695F"/>
    <w:rsid w:val="006E6B74"/>
    <w:rsid w:val="006E6BAD"/>
    <w:rsid w:val="006E6BDE"/>
    <w:rsid w:val="006E7764"/>
    <w:rsid w:val="006E7BA0"/>
    <w:rsid w:val="006E7C69"/>
    <w:rsid w:val="006E7CE4"/>
    <w:rsid w:val="006E7F04"/>
    <w:rsid w:val="006E7FD1"/>
    <w:rsid w:val="006F0484"/>
    <w:rsid w:val="006F0CF4"/>
    <w:rsid w:val="006F0F1A"/>
    <w:rsid w:val="006F17D8"/>
    <w:rsid w:val="006F1855"/>
    <w:rsid w:val="006F1F99"/>
    <w:rsid w:val="006F2369"/>
    <w:rsid w:val="006F2573"/>
    <w:rsid w:val="006F35B2"/>
    <w:rsid w:val="006F366D"/>
    <w:rsid w:val="006F4308"/>
    <w:rsid w:val="006F450D"/>
    <w:rsid w:val="006F4540"/>
    <w:rsid w:val="006F51EA"/>
    <w:rsid w:val="006F5353"/>
    <w:rsid w:val="006F56DF"/>
    <w:rsid w:val="006F5BD1"/>
    <w:rsid w:val="006F68AB"/>
    <w:rsid w:val="006F6A0B"/>
    <w:rsid w:val="006F7300"/>
    <w:rsid w:val="006F7893"/>
    <w:rsid w:val="006F79DF"/>
    <w:rsid w:val="00700676"/>
    <w:rsid w:val="00700777"/>
    <w:rsid w:val="00700F84"/>
    <w:rsid w:val="0070100C"/>
    <w:rsid w:val="0070153F"/>
    <w:rsid w:val="00701F63"/>
    <w:rsid w:val="00702367"/>
    <w:rsid w:val="007025BB"/>
    <w:rsid w:val="00702600"/>
    <w:rsid w:val="00702B7D"/>
    <w:rsid w:val="00702CA4"/>
    <w:rsid w:val="00702FF1"/>
    <w:rsid w:val="00703398"/>
    <w:rsid w:val="007042F2"/>
    <w:rsid w:val="00704C5E"/>
    <w:rsid w:val="00704D5E"/>
    <w:rsid w:val="00705723"/>
    <w:rsid w:val="00705782"/>
    <w:rsid w:val="00705A69"/>
    <w:rsid w:val="00705D1D"/>
    <w:rsid w:val="0070668E"/>
    <w:rsid w:val="007066B6"/>
    <w:rsid w:val="00706C64"/>
    <w:rsid w:val="00707A0B"/>
    <w:rsid w:val="00707D02"/>
    <w:rsid w:val="00707EE6"/>
    <w:rsid w:val="007103E0"/>
    <w:rsid w:val="00710453"/>
    <w:rsid w:val="00711373"/>
    <w:rsid w:val="00711648"/>
    <w:rsid w:val="00711C94"/>
    <w:rsid w:val="00712392"/>
    <w:rsid w:val="007125D2"/>
    <w:rsid w:val="007127A3"/>
    <w:rsid w:val="007127C9"/>
    <w:rsid w:val="00712BE8"/>
    <w:rsid w:val="00713E56"/>
    <w:rsid w:val="007144C2"/>
    <w:rsid w:val="00714554"/>
    <w:rsid w:val="007163CA"/>
    <w:rsid w:val="00716610"/>
    <w:rsid w:val="00716EE5"/>
    <w:rsid w:val="0071758E"/>
    <w:rsid w:val="00717B65"/>
    <w:rsid w:val="00717B6D"/>
    <w:rsid w:val="007202B5"/>
    <w:rsid w:val="00720411"/>
    <w:rsid w:val="00720917"/>
    <w:rsid w:val="00720963"/>
    <w:rsid w:val="00720D6F"/>
    <w:rsid w:val="00720DAA"/>
    <w:rsid w:val="007214B4"/>
    <w:rsid w:val="00721691"/>
    <w:rsid w:val="0072169E"/>
    <w:rsid w:val="00721BB7"/>
    <w:rsid w:val="00721F98"/>
    <w:rsid w:val="007222EB"/>
    <w:rsid w:val="007224CC"/>
    <w:rsid w:val="007224D9"/>
    <w:rsid w:val="007227BB"/>
    <w:rsid w:val="007229BC"/>
    <w:rsid w:val="00722F01"/>
    <w:rsid w:val="00722FA1"/>
    <w:rsid w:val="00723553"/>
    <w:rsid w:val="007238D8"/>
    <w:rsid w:val="00723A09"/>
    <w:rsid w:val="00723D1F"/>
    <w:rsid w:val="00723DA7"/>
    <w:rsid w:val="007241CB"/>
    <w:rsid w:val="0072467F"/>
    <w:rsid w:val="00724793"/>
    <w:rsid w:val="007247D2"/>
    <w:rsid w:val="00724A51"/>
    <w:rsid w:val="00724DCE"/>
    <w:rsid w:val="00725202"/>
    <w:rsid w:val="007252F9"/>
    <w:rsid w:val="007253BD"/>
    <w:rsid w:val="007256F6"/>
    <w:rsid w:val="00725705"/>
    <w:rsid w:val="007258D4"/>
    <w:rsid w:val="00726DC7"/>
    <w:rsid w:val="007273E0"/>
    <w:rsid w:val="0072756F"/>
    <w:rsid w:val="0072797D"/>
    <w:rsid w:val="00727DB5"/>
    <w:rsid w:val="00727ECF"/>
    <w:rsid w:val="00730551"/>
    <w:rsid w:val="007306DC"/>
    <w:rsid w:val="007307A1"/>
    <w:rsid w:val="00730BEB"/>
    <w:rsid w:val="00730C58"/>
    <w:rsid w:val="00730D6F"/>
    <w:rsid w:val="00731108"/>
    <w:rsid w:val="007315FB"/>
    <w:rsid w:val="007317D2"/>
    <w:rsid w:val="007322FA"/>
    <w:rsid w:val="00732A71"/>
    <w:rsid w:val="00732AB8"/>
    <w:rsid w:val="00732C62"/>
    <w:rsid w:val="00732E30"/>
    <w:rsid w:val="007330BA"/>
    <w:rsid w:val="00733376"/>
    <w:rsid w:val="00733B9C"/>
    <w:rsid w:val="007341A0"/>
    <w:rsid w:val="00734475"/>
    <w:rsid w:val="007345CF"/>
    <w:rsid w:val="00734A8E"/>
    <w:rsid w:val="00734AEF"/>
    <w:rsid w:val="00734F0C"/>
    <w:rsid w:val="00734F14"/>
    <w:rsid w:val="00735471"/>
    <w:rsid w:val="00735C16"/>
    <w:rsid w:val="007361B9"/>
    <w:rsid w:val="007362CF"/>
    <w:rsid w:val="0073630C"/>
    <w:rsid w:val="007370FC"/>
    <w:rsid w:val="0073765D"/>
    <w:rsid w:val="00737702"/>
    <w:rsid w:val="0074028D"/>
    <w:rsid w:val="00740A80"/>
    <w:rsid w:val="00740BBE"/>
    <w:rsid w:val="00740D8E"/>
    <w:rsid w:val="00740E83"/>
    <w:rsid w:val="00741243"/>
    <w:rsid w:val="007412BE"/>
    <w:rsid w:val="00741733"/>
    <w:rsid w:val="0074180B"/>
    <w:rsid w:val="00741A80"/>
    <w:rsid w:val="00742060"/>
    <w:rsid w:val="007420EF"/>
    <w:rsid w:val="00742A17"/>
    <w:rsid w:val="0074350A"/>
    <w:rsid w:val="00743F3B"/>
    <w:rsid w:val="0074420D"/>
    <w:rsid w:val="0074422F"/>
    <w:rsid w:val="00744512"/>
    <w:rsid w:val="0074496E"/>
    <w:rsid w:val="00744975"/>
    <w:rsid w:val="00744AE1"/>
    <w:rsid w:val="00744DD7"/>
    <w:rsid w:val="007459F8"/>
    <w:rsid w:val="007462A6"/>
    <w:rsid w:val="007467D4"/>
    <w:rsid w:val="00746CDC"/>
    <w:rsid w:val="0074700F"/>
    <w:rsid w:val="0074709A"/>
    <w:rsid w:val="007472A1"/>
    <w:rsid w:val="00747640"/>
    <w:rsid w:val="0074775B"/>
    <w:rsid w:val="00747816"/>
    <w:rsid w:val="00747952"/>
    <w:rsid w:val="007503FA"/>
    <w:rsid w:val="00750C85"/>
    <w:rsid w:val="007514C4"/>
    <w:rsid w:val="00751A4F"/>
    <w:rsid w:val="00751AC5"/>
    <w:rsid w:val="00751B0A"/>
    <w:rsid w:val="00751C9A"/>
    <w:rsid w:val="007522B8"/>
    <w:rsid w:val="00752444"/>
    <w:rsid w:val="0075424B"/>
    <w:rsid w:val="007547AD"/>
    <w:rsid w:val="00754936"/>
    <w:rsid w:val="00754F38"/>
    <w:rsid w:val="007550E1"/>
    <w:rsid w:val="00755109"/>
    <w:rsid w:val="0075514F"/>
    <w:rsid w:val="007551D4"/>
    <w:rsid w:val="00755208"/>
    <w:rsid w:val="007552A4"/>
    <w:rsid w:val="00755400"/>
    <w:rsid w:val="007561A0"/>
    <w:rsid w:val="007562E1"/>
    <w:rsid w:val="00756AB7"/>
    <w:rsid w:val="00756CAE"/>
    <w:rsid w:val="00757246"/>
    <w:rsid w:val="007604C8"/>
    <w:rsid w:val="00760598"/>
    <w:rsid w:val="00760BEE"/>
    <w:rsid w:val="00760D8C"/>
    <w:rsid w:val="00762097"/>
    <w:rsid w:val="007620D1"/>
    <w:rsid w:val="00762AB8"/>
    <w:rsid w:val="00762C61"/>
    <w:rsid w:val="00762DA4"/>
    <w:rsid w:val="00762DBF"/>
    <w:rsid w:val="00762E71"/>
    <w:rsid w:val="007636B5"/>
    <w:rsid w:val="00763812"/>
    <w:rsid w:val="00764025"/>
    <w:rsid w:val="007641CF"/>
    <w:rsid w:val="00764703"/>
    <w:rsid w:val="00764BBC"/>
    <w:rsid w:val="00764BEC"/>
    <w:rsid w:val="0076501F"/>
    <w:rsid w:val="007653A7"/>
    <w:rsid w:val="00765AC2"/>
    <w:rsid w:val="00766148"/>
    <w:rsid w:val="0076638E"/>
    <w:rsid w:val="00767613"/>
    <w:rsid w:val="00767619"/>
    <w:rsid w:val="00767975"/>
    <w:rsid w:val="00770000"/>
    <w:rsid w:val="00770439"/>
    <w:rsid w:val="0077057B"/>
    <w:rsid w:val="007705BD"/>
    <w:rsid w:val="0077083D"/>
    <w:rsid w:val="007712F8"/>
    <w:rsid w:val="00771660"/>
    <w:rsid w:val="00771879"/>
    <w:rsid w:val="00773D65"/>
    <w:rsid w:val="00773E2C"/>
    <w:rsid w:val="0077468E"/>
    <w:rsid w:val="00774C16"/>
    <w:rsid w:val="00775063"/>
    <w:rsid w:val="00775486"/>
    <w:rsid w:val="007757C2"/>
    <w:rsid w:val="007759A1"/>
    <w:rsid w:val="00775B60"/>
    <w:rsid w:val="00775CC1"/>
    <w:rsid w:val="00775FAE"/>
    <w:rsid w:val="00776BF3"/>
    <w:rsid w:val="00776DB7"/>
    <w:rsid w:val="00777851"/>
    <w:rsid w:val="007779A9"/>
    <w:rsid w:val="00777ED3"/>
    <w:rsid w:val="00780461"/>
    <w:rsid w:val="0078048A"/>
    <w:rsid w:val="00782723"/>
    <w:rsid w:val="00782819"/>
    <w:rsid w:val="00782D70"/>
    <w:rsid w:val="0078344F"/>
    <w:rsid w:val="007837B5"/>
    <w:rsid w:val="00783D69"/>
    <w:rsid w:val="00783ED8"/>
    <w:rsid w:val="00783F04"/>
    <w:rsid w:val="00784B1A"/>
    <w:rsid w:val="00784D84"/>
    <w:rsid w:val="00784E9D"/>
    <w:rsid w:val="007853C2"/>
    <w:rsid w:val="0078644C"/>
    <w:rsid w:val="00786951"/>
    <w:rsid w:val="007869C8"/>
    <w:rsid w:val="00786A5F"/>
    <w:rsid w:val="00786BB1"/>
    <w:rsid w:val="00786BB3"/>
    <w:rsid w:val="00786BC8"/>
    <w:rsid w:val="0078730A"/>
    <w:rsid w:val="007879AD"/>
    <w:rsid w:val="00787B5D"/>
    <w:rsid w:val="007903F1"/>
    <w:rsid w:val="0079141C"/>
    <w:rsid w:val="0079164D"/>
    <w:rsid w:val="0079192A"/>
    <w:rsid w:val="00791F20"/>
    <w:rsid w:val="0079244B"/>
    <w:rsid w:val="00792478"/>
    <w:rsid w:val="007925E8"/>
    <w:rsid w:val="00792D0C"/>
    <w:rsid w:val="007932DB"/>
    <w:rsid w:val="00793B17"/>
    <w:rsid w:val="00793C79"/>
    <w:rsid w:val="00793D3D"/>
    <w:rsid w:val="00793D7D"/>
    <w:rsid w:val="007940A6"/>
    <w:rsid w:val="00794251"/>
    <w:rsid w:val="0079451A"/>
    <w:rsid w:val="007947C4"/>
    <w:rsid w:val="007947FE"/>
    <w:rsid w:val="00794C92"/>
    <w:rsid w:val="00794F1D"/>
    <w:rsid w:val="00794FC6"/>
    <w:rsid w:val="00795289"/>
    <w:rsid w:val="007954BA"/>
    <w:rsid w:val="007959F9"/>
    <w:rsid w:val="00795B5C"/>
    <w:rsid w:val="00795BD3"/>
    <w:rsid w:val="00795F8F"/>
    <w:rsid w:val="007960C6"/>
    <w:rsid w:val="007964FA"/>
    <w:rsid w:val="00796DD7"/>
    <w:rsid w:val="00797091"/>
    <w:rsid w:val="00797634"/>
    <w:rsid w:val="0079773E"/>
    <w:rsid w:val="00797B4D"/>
    <w:rsid w:val="00797E2B"/>
    <w:rsid w:val="007A019F"/>
    <w:rsid w:val="007A01D4"/>
    <w:rsid w:val="007A0A39"/>
    <w:rsid w:val="007A1374"/>
    <w:rsid w:val="007A14F6"/>
    <w:rsid w:val="007A1759"/>
    <w:rsid w:val="007A1A19"/>
    <w:rsid w:val="007A1C66"/>
    <w:rsid w:val="007A2130"/>
    <w:rsid w:val="007A2506"/>
    <w:rsid w:val="007A2770"/>
    <w:rsid w:val="007A36C3"/>
    <w:rsid w:val="007A381E"/>
    <w:rsid w:val="007A3927"/>
    <w:rsid w:val="007A4810"/>
    <w:rsid w:val="007A48A4"/>
    <w:rsid w:val="007A5709"/>
    <w:rsid w:val="007A5A8C"/>
    <w:rsid w:val="007A643B"/>
    <w:rsid w:val="007A6639"/>
    <w:rsid w:val="007A6B17"/>
    <w:rsid w:val="007A6D01"/>
    <w:rsid w:val="007A6F3B"/>
    <w:rsid w:val="007A707C"/>
    <w:rsid w:val="007A75A0"/>
    <w:rsid w:val="007A7B41"/>
    <w:rsid w:val="007A7F17"/>
    <w:rsid w:val="007B0820"/>
    <w:rsid w:val="007B0A1A"/>
    <w:rsid w:val="007B0E75"/>
    <w:rsid w:val="007B0FC2"/>
    <w:rsid w:val="007B14BB"/>
    <w:rsid w:val="007B1B62"/>
    <w:rsid w:val="007B1E52"/>
    <w:rsid w:val="007B25FA"/>
    <w:rsid w:val="007B276A"/>
    <w:rsid w:val="007B28F0"/>
    <w:rsid w:val="007B2D86"/>
    <w:rsid w:val="007B2FFA"/>
    <w:rsid w:val="007B39A3"/>
    <w:rsid w:val="007B3A2C"/>
    <w:rsid w:val="007B3A8F"/>
    <w:rsid w:val="007B3B30"/>
    <w:rsid w:val="007B3E16"/>
    <w:rsid w:val="007B47B7"/>
    <w:rsid w:val="007B554A"/>
    <w:rsid w:val="007B5E35"/>
    <w:rsid w:val="007B64DC"/>
    <w:rsid w:val="007B6518"/>
    <w:rsid w:val="007B653A"/>
    <w:rsid w:val="007B6962"/>
    <w:rsid w:val="007B6DA0"/>
    <w:rsid w:val="007B6E8F"/>
    <w:rsid w:val="007B7025"/>
    <w:rsid w:val="007B7435"/>
    <w:rsid w:val="007B76C6"/>
    <w:rsid w:val="007B76D5"/>
    <w:rsid w:val="007B7CC0"/>
    <w:rsid w:val="007B7ECF"/>
    <w:rsid w:val="007C03EE"/>
    <w:rsid w:val="007C0872"/>
    <w:rsid w:val="007C0A6B"/>
    <w:rsid w:val="007C0B54"/>
    <w:rsid w:val="007C0D62"/>
    <w:rsid w:val="007C1B43"/>
    <w:rsid w:val="007C280D"/>
    <w:rsid w:val="007C2FF0"/>
    <w:rsid w:val="007C3144"/>
    <w:rsid w:val="007C3EBE"/>
    <w:rsid w:val="007C4097"/>
    <w:rsid w:val="007C4809"/>
    <w:rsid w:val="007C4C53"/>
    <w:rsid w:val="007C5885"/>
    <w:rsid w:val="007C58CE"/>
    <w:rsid w:val="007C5A9F"/>
    <w:rsid w:val="007C6098"/>
    <w:rsid w:val="007C61C1"/>
    <w:rsid w:val="007C647F"/>
    <w:rsid w:val="007C6499"/>
    <w:rsid w:val="007C6E36"/>
    <w:rsid w:val="007C720A"/>
    <w:rsid w:val="007C7A0E"/>
    <w:rsid w:val="007C7E4C"/>
    <w:rsid w:val="007D1092"/>
    <w:rsid w:val="007D221C"/>
    <w:rsid w:val="007D2520"/>
    <w:rsid w:val="007D290A"/>
    <w:rsid w:val="007D291B"/>
    <w:rsid w:val="007D2A28"/>
    <w:rsid w:val="007D2F25"/>
    <w:rsid w:val="007D304B"/>
    <w:rsid w:val="007D32D2"/>
    <w:rsid w:val="007D375F"/>
    <w:rsid w:val="007D3EAD"/>
    <w:rsid w:val="007D3ED9"/>
    <w:rsid w:val="007D4048"/>
    <w:rsid w:val="007D44EE"/>
    <w:rsid w:val="007D4C67"/>
    <w:rsid w:val="007D5297"/>
    <w:rsid w:val="007D5F55"/>
    <w:rsid w:val="007D653B"/>
    <w:rsid w:val="007D67D3"/>
    <w:rsid w:val="007D6FC3"/>
    <w:rsid w:val="007D70A1"/>
    <w:rsid w:val="007D7834"/>
    <w:rsid w:val="007E0529"/>
    <w:rsid w:val="007E0551"/>
    <w:rsid w:val="007E0C97"/>
    <w:rsid w:val="007E0E73"/>
    <w:rsid w:val="007E1AC1"/>
    <w:rsid w:val="007E1E75"/>
    <w:rsid w:val="007E2313"/>
    <w:rsid w:val="007E2511"/>
    <w:rsid w:val="007E25A3"/>
    <w:rsid w:val="007E2718"/>
    <w:rsid w:val="007E29A5"/>
    <w:rsid w:val="007E2F0C"/>
    <w:rsid w:val="007E338C"/>
    <w:rsid w:val="007E379D"/>
    <w:rsid w:val="007E3C94"/>
    <w:rsid w:val="007E3E16"/>
    <w:rsid w:val="007E3F83"/>
    <w:rsid w:val="007E3FDC"/>
    <w:rsid w:val="007E4041"/>
    <w:rsid w:val="007E40CE"/>
    <w:rsid w:val="007E4541"/>
    <w:rsid w:val="007E4592"/>
    <w:rsid w:val="007E45D2"/>
    <w:rsid w:val="007E5649"/>
    <w:rsid w:val="007E5F0A"/>
    <w:rsid w:val="007E5F93"/>
    <w:rsid w:val="007E5FE9"/>
    <w:rsid w:val="007E70EA"/>
    <w:rsid w:val="007E756C"/>
    <w:rsid w:val="007E77C0"/>
    <w:rsid w:val="007E7823"/>
    <w:rsid w:val="007E7CC9"/>
    <w:rsid w:val="007F0192"/>
    <w:rsid w:val="007F0321"/>
    <w:rsid w:val="007F03E6"/>
    <w:rsid w:val="007F120E"/>
    <w:rsid w:val="007F141C"/>
    <w:rsid w:val="007F14F9"/>
    <w:rsid w:val="007F166A"/>
    <w:rsid w:val="007F1890"/>
    <w:rsid w:val="007F1EC6"/>
    <w:rsid w:val="007F23EE"/>
    <w:rsid w:val="007F247F"/>
    <w:rsid w:val="007F29BD"/>
    <w:rsid w:val="007F29C2"/>
    <w:rsid w:val="007F2E0D"/>
    <w:rsid w:val="007F3152"/>
    <w:rsid w:val="007F36E9"/>
    <w:rsid w:val="007F3786"/>
    <w:rsid w:val="007F39D1"/>
    <w:rsid w:val="007F3A53"/>
    <w:rsid w:val="007F41ED"/>
    <w:rsid w:val="007F4A9C"/>
    <w:rsid w:val="007F4AA6"/>
    <w:rsid w:val="007F4DCA"/>
    <w:rsid w:val="007F53DE"/>
    <w:rsid w:val="007F53FE"/>
    <w:rsid w:val="007F5441"/>
    <w:rsid w:val="007F61D6"/>
    <w:rsid w:val="007F671C"/>
    <w:rsid w:val="007F6765"/>
    <w:rsid w:val="007F6C6C"/>
    <w:rsid w:val="007F70A4"/>
    <w:rsid w:val="007F738A"/>
    <w:rsid w:val="007F77BB"/>
    <w:rsid w:val="007F7B7B"/>
    <w:rsid w:val="007F7CEF"/>
    <w:rsid w:val="007F7FEE"/>
    <w:rsid w:val="00800F39"/>
    <w:rsid w:val="00801363"/>
    <w:rsid w:val="008014C1"/>
    <w:rsid w:val="008019D4"/>
    <w:rsid w:val="008019E5"/>
    <w:rsid w:val="00801A7F"/>
    <w:rsid w:val="00801E39"/>
    <w:rsid w:val="008021C4"/>
    <w:rsid w:val="00802407"/>
    <w:rsid w:val="00802777"/>
    <w:rsid w:val="00802D13"/>
    <w:rsid w:val="00802E7A"/>
    <w:rsid w:val="00802F23"/>
    <w:rsid w:val="008032CB"/>
    <w:rsid w:val="008035E5"/>
    <w:rsid w:val="00803B9D"/>
    <w:rsid w:val="00803BB3"/>
    <w:rsid w:val="00803BC4"/>
    <w:rsid w:val="00803E03"/>
    <w:rsid w:val="00804252"/>
    <w:rsid w:val="0080483C"/>
    <w:rsid w:val="008049FD"/>
    <w:rsid w:val="00805032"/>
    <w:rsid w:val="00805064"/>
    <w:rsid w:val="00805757"/>
    <w:rsid w:val="008058DD"/>
    <w:rsid w:val="00805AF3"/>
    <w:rsid w:val="00806066"/>
    <w:rsid w:val="008065D1"/>
    <w:rsid w:val="008068A3"/>
    <w:rsid w:val="008069AF"/>
    <w:rsid w:val="008069C3"/>
    <w:rsid w:val="00806BAC"/>
    <w:rsid w:val="00806C27"/>
    <w:rsid w:val="00806C41"/>
    <w:rsid w:val="00806F0F"/>
    <w:rsid w:val="00806FB1"/>
    <w:rsid w:val="008077D0"/>
    <w:rsid w:val="00807F58"/>
    <w:rsid w:val="0080BBB0"/>
    <w:rsid w:val="0081007C"/>
    <w:rsid w:val="00810093"/>
    <w:rsid w:val="008102FF"/>
    <w:rsid w:val="00811E4E"/>
    <w:rsid w:val="008122F3"/>
    <w:rsid w:val="008123C7"/>
    <w:rsid w:val="0081266E"/>
    <w:rsid w:val="00812C6F"/>
    <w:rsid w:val="00813042"/>
    <w:rsid w:val="00813339"/>
    <w:rsid w:val="008135EC"/>
    <w:rsid w:val="008136CB"/>
    <w:rsid w:val="008138ED"/>
    <w:rsid w:val="00813CFD"/>
    <w:rsid w:val="00814660"/>
    <w:rsid w:val="00814995"/>
    <w:rsid w:val="00814B26"/>
    <w:rsid w:val="00815FC8"/>
    <w:rsid w:val="00816370"/>
    <w:rsid w:val="0081680F"/>
    <w:rsid w:val="00817172"/>
    <w:rsid w:val="0081724C"/>
    <w:rsid w:val="008174B2"/>
    <w:rsid w:val="00817604"/>
    <w:rsid w:val="00817707"/>
    <w:rsid w:val="0081779C"/>
    <w:rsid w:val="008177CC"/>
    <w:rsid w:val="00817F7B"/>
    <w:rsid w:val="00820061"/>
    <w:rsid w:val="00820A49"/>
    <w:rsid w:val="00820F0E"/>
    <w:rsid w:val="00821113"/>
    <w:rsid w:val="008222C1"/>
    <w:rsid w:val="00822662"/>
    <w:rsid w:val="00822768"/>
    <w:rsid w:val="00822892"/>
    <w:rsid w:val="00822CFF"/>
    <w:rsid w:val="00822E44"/>
    <w:rsid w:val="00823587"/>
    <w:rsid w:val="00823FFB"/>
    <w:rsid w:val="00824758"/>
    <w:rsid w:val="00824B81"/>
    <w:rsid w:val="00825095"/>
    <w:rsid w:val="00825482"/>
    <w:rsid w:val="00825956"/>
    <w:rsid w:val="00825B15"/>
    <w:rsid w:val="00826064"/>
    <w:rsid w:val="00826170"/>
    <w:rsid w:val="00827ADD"/>
    <w:rsid w:val="00827BB3"/>
    <w:rsid w:val="00827BDA"/>
    <w:rsid w:val="00827C8C"/>
    <w:rsid w:val="00827D5C"/>
    <w:rsid w:val="00830019"/>
    <w:rsid w:val="0083070D"/>
    <w:rsid w:val="00830DD1"/>
    <w:rsid w:val="00831C1B"/>
    <w:rsid w:val="00831E7D"/>
    <w:rsid w:val="00832246"/>
    <w:rsid w:val="0083224F"/>
    <w:rsid w:val="008325D7"/>
    <w:rsid w:val="008328AA"/>
    <w:rsid w:val="008337BD"/>
    <w:rsid w:val="00833AC3"/>
    <w:rsid w:val="00833F44"/>
    <w:rsid w:val="008342C0"/>
    <w:rsid w:val="00834673"/>
    <w:rsid w:val="008346CA"/>
    <w:rsid w:val="0083506F"/>
    <w:rsid w:val="008352C0"/>
    <w:rsid w:val="00835322"/>
    <w:rsid w:val="00835384"/>
    <w:rsid w:val="0083544D"/>
    <w:rsid w:val="008354EE"/>
    <w:rsid w:val="00835F31"/>
    <w:rsid w:val="00836548"/>
    <w:rsid w:val="00836E10"/>
    <w:rsid w:val="00836E43"/>
    <w:rsid w:val="00836E7D"/>
    <w:rsid w:val="00836F00"/>
    <w:rsid w:val="00837173"/>
    <w:rsid w:val="0083755F"/>
    <w:rsid w:val="00837E37"/>
    <w:rsid w:val="00840134"/>
    <w:rsid w:val="00840251"/>
    <w:rsid w:val="008405E1"/>
    <w:rsid w:val="00840E6C"/>
    <w:rsid w:val="00841185"/>
    <w:rsid w:val="00841370"/>
    <w:rsid w:val="008415A4"/>
    <w:rsid w:val="00841B1D"/>
    <w:rsid w:val="00841D9B"/>
    <w:rsid w:val="0084249E"/>
    <w:rsid w:val="00842B48"/>
    <w:rsid w:val="008431D7"/>
    <w:rsid w:val="0084321C"/>
    <w:rsid w:val="008435FB"/>
    <w:rsid w:val="00843782"/>
    <w:rsid w:val="008437DD"/>
    <w:rsid w:val="00844F96"/>
    <w:rsid w:val="00845027"/>
    <w:rsid w:val="0084538D"/>
    <w:rsid w:val="00845786"/>
    <w:rsid w:val="008460F5"/>
    <w:rsid w:val="008464A3"/>
    <w:rsid w:val="00846D85"/>
    <w:rsid w:val="00847025"/>
    <w:rsid w:val="008470BF"/>
    <w:rsid w:val="00847A7B"/>
    <w:rsid w:val="00847B4A"/>
    <w:rsid w:val="00847C22"/>
    <w:rsid w:val="00847E26"/>
    <w:rsid w:val="00847F80"/>
    <w:rsid w:val="0085049B"/>
    <w:rsid w:val="00850555"/>
    <w:rsid w:val="008507CC"/>
    <w:rsid w:val="008507FE"/>
    <w:rsid w:val="008508CB"/>
    <w:rsid w:val="00850ADF"/>
    <w:rsid w:val="00851BF4"/>
    <w:rsid w:val="00851D8E"/>
    <w:rsid w:val="00852035"/>
    <w:rsid w:val="0085230B"/>
    <w:rsid w:val="008524D9"/>
    <w:rsid w:val="00852734"/>
    <w:rsid w:val="00852BFD"/>
    <w:rsid w:val="0085339C"/>
    <w:rsid w:val="00853505"/>
    <w:rsid w:val="0085383C"/>
    <w:rsid w:val="008539F3"/>
    <w:rsid w:val="00853F5B"/>
    <w:rsid w:val="0085478B"/>
    <w:rsid w:val="00855BD0"/>
    <w:rsid w:val="00856487"/>
    <w:rsid w:val="00856681"/>
    <w:rsid w:val="008568B3"/>
    <w:rsid w:val="00856A2D"/>
    <w:rsid w:val="00856D3C"/>
    <w:rsid w:val="00856F9B"/>
    <w:rsid w:val="00857AD5"/>
    <w:rsid w:val="0086083B"/>
    <w:rsid w:val="0086084C"/>
    <w:rsid w:val="00860D23"/>
    <w:rsid w:val="00860E92"/>
    <w:rsid w:val="00860F3A"/>
    <w:rsid w:val="0086118E"/>
    <w:rsid w:val="008611F3"/>
    <w:rsid w:val="008623B4"/>
    <w:rsid w:val="00862967"/>
    <w:rsid w:val="00862D98"/>
    <w:rsid w:val="00863109"/>
    <w:rsid w:val="008632A2"/>
    <w:rsid w:val="008632F7"/>
    <w:rsid w:val="008633F0"/>
    <w:rsid w:val="00863476"/>
    <w:rsid w:val="00863A68"/>
    <w:rsid w:val="00863C4E"/>
    <w:rsid w:val="00863DA9"/>
    <w:rsid w:val="0086483E"/>
    <w:rsid w:val="00864880"/>
    <w:rsid w:val="008648DF"/>
    <w:rsid w:val="008650B3"/>
    <w:rsid w:val="00865291"/>
    <w:rsid w:val="0086556E"/>
    <w:rsid w:val="00865C9E"/>
    <w:rsid w:val="00865D96"/>
    <w:rsid w:val="008664C2"/>
    <w:rsid w:val="0086683B"/>
    <w:rsid w:val="0086706C"/>
    <w:rsid w:val="0086714D"/>
    <w:rsid w:val="00867350"/>
    <w:rsid w:val="0086736B"/>
    <w:rsid w:val="00867C65"/>
    <w:rsid w:val="0087003C"/>
    <w:rsid w:val="00870AC0"/>
    <w:rsid w:val="00870ADE"/>
    <w:rsid w:val="00871347"/>
    <w:rsid w:val="00871732"/>
    <w:rsid w:val="00871E71"/>
    <w:rsid w:val="00872204"/>
    <w:rsid w:val="00872317"/>
    <w:rsid w:val="0087275F"/>
    <w:rsid w:val="00872EA2"/>
    <w:rsid w:val="00872FDF"/>
    <w:rsid w:val="00873390"/>
    <w:rsid w:val="008734BD"/>
    <w:rsid w:val="00873F1B"/>
    <w:rsid w:val="00874172"/>
    <w:rsid w:val="008748B8"/>
    <w:rsid w:val="00874E42"/>
    <w:rsid w:val="00874EA2"/>
    <w:rsid w:val="00875264"/>
    <w:rsid w:val="008753DA"/>
    <w:rsid w:val="0087540D"/>
    <w:rsid w:val="0087560A"/>
    <w:rsid w:val="00875661"/>
    <w:rsid w:val="008757F2"/>
    <w:rsid w:val="00875B21"/>
    <w:rsid w:val="0087666B"/>
    <w:rsid w:val="00876D64"/>
    <w:rsid w:val="0087709E"/>
    <w:rsid w:val="008774E2"/>
    <w:rsid w:val="0087752E"/>
    <w:rsid w:val="0087759D"/>
    <w:rsid w:val="00877663"/>
    <w:rsid w:val="0087789B"/>
    <w:rsid w:val="00880775"/>
    <w:rsid w:val="00880863"/>
    <w:rsid w:val="00880AF2"/>
    <w:rsid w:val="00880B2E"/>
    <w:rsid w:val="00880CBE"/>
    <w:rsid w:val="0088107F"/>
    <w:rsid w:val="008811E7"/>
    <w:rsid w:val="0088132A"/>
    <w:rsid w:val="008813A3"/>
    <w:rsid w:val="00881553"/>
    <w:rsid w:val="008815DA"/>
    <w:rsid w:val="008819B6"/>
    <w:rsid w:val="00881DE2"/>
    <w:rsid w:val="00882637"/>
    <w:rsid w:val="00882689"/>
    <w:rsid w:val="00884029"/>
    <w:rsid w:val="008840FE"/>
    <w:rsid w:val="0088415B"/>
    <w:rsid w:val="00884630"/>
    <w:rsid w:val="0088494E"/>
    <w:rsid w:val="00884C6B"/>
    <w:rsid w:val="00884F02"/>
    <w:rsid w:val="0088507C"/>
    <w:rsid w:val="00885130"/>
    <w:rsid w:val="00885162"/>
    <w:rsid w:val="008857B3"/>
    <w:rsid w:val="00886727"/>
    <w:rsid w:val="00886CE6"/>
    <w:rsid w:val="00886E00"/>
    <w:rsid w:val="00886E16"/>
    <w:rsid w:val="00886ED2"/>
    <w:rsid w:val="008870CA"/>
    <w:rsid w:val="00887361"/>
    <w:rsid w:val="008873B6"/>
    <w:rsid w:val="008876BF"/>
    <w:rsid w:val="00887A1D"/>
    <w:rsid w:val="00887E61"/>
    <w:rsid w:val="00887E88"/>
    <w:rsid w:val="00887EB1"/>
    <w:rsid w:val="008900F4"/>
    <w:rsid w:val="008901BB"/>
    <w:rsid w:val="00890314"/>
    <w:rsid w:val="008905DE"/>
    <w:rsid w:val="00890B2D"/>
    <w:rsid w:val="00890F7E"/>
    <w:rsid w:val="008912D8"/>
    <w:rsid w:val="00891E34"/>
    <w:rsid w:val="00892029"/>
    <w:rsid w:val="008928F3"/>
    <w:rsid w:val="00892B9C"/>
    <w:rsid w:val="00893248"/>
    <w:rsid w:val="00893B40"/>
    <w:rsid w:val="00893C44"/>
    <w:rsid w:val="00893EB2"/>
    <w:rsid w:val="00894513"/>
    <w:rsid w:val="0089465F"/>
    <w:rsid w:val="00894930"/>
    <w:rsid w:val="00894C33"/>
    <w:rsid w:val="00894F70"/>
    <w:rsid w:val="008955B7"/>
    <w:rsid w:val="00895868"/>
    <w:rsid w:val="00896186"/>
    <w:rsid w:val="008961CE"/>
    <w:rsid w:val="008966C0"/>
    <w:rsid w:val="00896C5D"/>
    <w:rsid w:val="00896E87"/>
    <w:rsid w:val="00897A31"/>
    <w:rsid w:val="00897E9C"/>
    <w:rsid w:val="00897FB5"/>
    <w:rsid w:val="008A0403"/>
    <w:rsid w:val="008A1700"/>
    <w:rsid w:val="008A1C03"/>
    <w:rsid w:val="008A21E1"/>
    <w:rsid w:val="008A2ADE"/>
    <w:rsid w:val="008A305B"/>
    <w:rsid w:val="008A312A"/>
    <w:rsid w:val="008A3AC7"/>
    <w:rsid w:val="008A3E33"/>
    <w:rsid w:val="008A3F09"/>
    <w:rsid w:val="008A3F93"/>
    <w:rsid w:val="008A4077"/>
    <w:rsid w:val="008A4165"/>
    <w:rsid w:val="008A4A09"/>
    <w:rsid w:val="008A4EF0"/>
    <w:rsid w:val="008A5719"/>
    <w:rsid w:val="008A5929"/>
    <w:rsid w:val="008A5DDB"/>
    <w:rsid w:val="008A5F10"/>
    <w:rsid w:val="008A69A9"/>
    <w:rsid w:val="008A75C5"/>
    <w:rsid w:val="008A78C1"/>
    <w:rsid w:val="008A7C6A"/>
    <w:rsid w:val="008A7E05"/>
    <w:rsid w:val="008A7EDE"/>
    <w:rsid w:val="008B01FF"/>
    <w:rsid w:val="008B138F"/>
    <w:rsid w:val="008B14C8"/>
    <w:rsid w:val="008B2369"/>
    <w:rsid w:val="008B2906"/>
    <w:rsid w:val="008B3024"/>
    <w:rsid w:val="008B317C"/>
    <w:rsid w:val="008B3653"/>
    <w:rsid w:val="008B3F34"/>
    <w:rsid w:val="008B40A0"/>
    <w:rsid w:val="008B41C8"/>
    <w:rsid w:val="008B44D2"/>
    <w:rsid w:val="008B4BCC"/>
    <w:rsid w:val="008B51EA"/>
    <w:rsid w:val="008B5390"/>
    <w:rsid w:val="008B53D0"/>
    <w:rsid w:val="008B5660"/>
    <w:rsid w:val="008B5DFE"/>
    <w:rsid w:val="008B6379"/>
    <w:rsid w:val="008B668A"/>
    <w:rsid w:val="008B66EF"/>
    <w:rsid w:val="008B69C0"/>
    <w:rsid w:val="008B6C50"/>
    <w:rsid w:val="008B70CC"/>
    <w:rsid w:val="008B7F62"/>
    <w:rsid w:val="008C0398"/>
    <w:rsid w:val="008C0E0C"/>
    <w:rsid w:val="008C110F"/>
    <w:rsid w:val="008C13AF"/>
    <w:rsid w:val="008C1F91"/>
    <w:rsid w:val="008C27FF"/>
    <w:rsid w:val="008C2AF7"/>
    <w:rsid w:val="008C2BF3"/>
    <w:rsid w:val="008C2C0E"/>
    <w:rsid w:val="008C32C3"/>
    <w:rsid w:val="008C338F"/>
    <w:rsid w:val="008C39A2"/>
    <w:rsid w:val="008C3C04"/>
    <w:rsid w:val="008C3F76"/>
    <w:rsid w:val="008C4A10"/>
    <w:rsid w:val="008C4ABB"/>
    <w:rsid w:val="008C4AE2"/>
    <w:rsid w:val="008C4C5E"/>
    <w:rsid w:val="008C5802"/>
    <w:rsid w:val="008C5B13"/>
    <w:rsid w:val="008C5C20"/>
    <w:rsid w:val="008C5D2A"/>
    <w:rsid w:val="008C5E42"/>
    <w:rsid w:val="008C6601"/>
    <w:rsid w:val="008C683B"/>
    <w:rsid w:val="008C68DF"/>
    <w:rsid w:val="008C702E"/>
    <w:rsid w:val="008C74A4"/>
    <w:rsid w:val="008C74BA"/>
    <w:rsid w:val="008C78C1"/>
    <w:rsid w:val="008C7BEA"/>
    <w:rsid w:val="008C7F63"/>
    <w:rsid w:val="008D0124"/>
    <w:rsid w:val="008D0811"/>
    <w:rsid w:val="008D08FF"/>
    <w:rsid w:val="008D0B5A"/>
    <w:rsid w:val="008D14E2"/>
    <w:rsid w:val="008D1F71"/>
    <w:rsid w:val="008D2305"/>
    <w:rsid w:val="008D2417"/>
    <w:rsid w:val="008D2486"/>
    <w:rsid w:val="008D2AC6"/>
    <w:rsid w:val="008D2C0D"/>
    <w:rsid w:val="008D2C5A"/>
    <w:rsid w:val="008D2E6A"/>
    <w:rsid w:val="008D3343"/>
    <w:rsid w:val="008D37B8"/>
    <w:rsid w:val="008D4087"/>
    <w:rsid w:val="008D4464"/>
    <w:rsid w:val="008D4629"/>
    <w:rsid w:val="008D471C"/>
    <w:rsid w:val="008D492E"/>
    <w:rsid w:val="008D5142"/>
    <w:rsid w:val="008D5DA2"/>
    <w:rsid w:val="008D6419"/>
    <w:rsid w:val="008D6458"/>
    <w:rsid w:val="008D66E4"/>
    <w:rsid w:val="008D6888"/>
    <w:rsid w:val="008D6926"/>
    <w:rsid w:val="008D6A0D"/>
    <w:rsid w:val="008D6B64"/>
    <w:rsid w:val="008D6C86"/>
    <w:rsid w:val="008D7133"/>
    <w:rsid w:val="008D7360"/>
    <w:rsid w:val="008D7734"/>
    <w:rsid w:val="008D7AF4"/>
    <w:rsid w:val="008E0057"/>
    <w:rsid w:val="008E0148"/>
    <w:rsid w:val="008E037E"/>
    <w:rsid w:val="008E0491"/>
    <w:rsid w:val="008E0A4D"/>
    <w:rsid w:val="008E0CC6"/>
    <w:rsid w:val="008E1D31"/>
    <w:rsid w:val="008E2525"/>
    <w:rsid w:val="008E29AF"/>
    <w:rsid w:val="008E309C"/>
    <w:rsid w:val="008E34F2"/>
    <w:rsid w:val="008E3606"/>
    <w:rsid w:val="008E36D1"/>
    <w:rsid w:val="008E4160"/>
    <w:rsid w:val="008E42EC"/>
    <w:rsid w:val="008E4FCD"/>
    <w:rsid w:val="008E5595"/>
    <w:rsid w:val="008E5ADD"/>
    <w:rsid w:val="008E5D1B"/>
    <w:rsid w:val="008E618B"/>
    <w:rsid w:val="008E62FB"/>
    <w:rsid w:val="008E71AA"/>
    <w:rsid w:val="008E7484"/>
    <w:rsid w:val="008E7E83"/>
    <w:rsid w:val="008F0496"/>
    <w:rsid w:val="008F0B40"/>
    <w:rsid w:val="008F115B"/>
    <w:rsid w:val="008F1B68"/>
    <w:rsid w:val="008F1F65"/>
    <w:rsid w:val="008F295F"/>
    <w:rsid w:val="008F2FE1"/>
    <w:rsid w:val="008F327B"/>
    <w:rsid w:val="008F355D"/>
    <w:rsid w:val="008F380A"/>
    <w:rsid w:val="008F4824"/>
    <w:rsid w:val="008F4AD1"/>
    <w:rsid w:val="008F4CD1"/>
    <w:rsid w:val="008F4F5B"/>
    <w:rsid w:val="008F4FF1"/>
    <w:rsid w:val="008F5158"/>
    <w:rsid w:val="008F57E1"/>
    <w:rsid w:val="008F599D"/>
    <w:rsid w:val="008F660E"/>
    <w:rsid w:val="008F68B4"/>
    <w:rsid w:val="008F6AA8"/>
    <w:rsid w:val="008F6E95"/>
    <w:rsid w:val="008F6EF6"/>
    <w:rsid w:val="008F708C"/>
    <w:rsid w:val="008F715D"/>
    <w:rsid w:val="008F72B2"/>
    <w:rsid w:val="008F739B"/>
    <w:rsid w:val="008F762F"/>
    <w:rsid w:val="008F7C9C"/>
    <w:rsid w:val="008F7CFD"/>
    <w:rsid w:val="008F7E6E"/>
    <w:rsid w:val="009002CB"/>
    <w:rsid w:val="009008D6"/>
    <w:rsid w:val="00900AA8"/>
    <w:rsid w:val="009010C5"/>
    <w:rsid w:val="0090110F"/>
    <w:rsid w:val="009012D6"/>
    <w:rsid w:val="009015A0"/>
    <w:rsid w:val="009015CB"/>
    <w:rsid w:val="009016A7"/>
    <w:rsid w:val="0090246F"/>
    <w:rsid w:val="00902ABF"/>
    <w:rsid w:val="009030D3"/>
    <w:rsid w:val="00903193"/>
    <w:rsid w:val="009033B0"/>
    <w:rsid w:val="009036B4"/>
    <w:rsid w:val="0090395F"/>
    <w:rsid w:val="00903DDB"/>
    <w:rsid w:val="009046BC"/>
    <w:rsid w:val="00904730"/>
    <w:rsid w:val="00904E99"/>
    <w:rsid w:val="00904ED2"/>
    <w:rsid w:val="009055BB"/>
    <w:rsid w:val="00905A0B"/>
    <w:rsid w:val="00905E90"/>
    <w:rsid w:val="00905FFB"/>
    <w:rsid w:val="0090603E"/>
    <w:rsid w:val="009062E2"/>
    <w:rsid w:val="00906437"/>
    <w:rsid w:val="009064A5"/>
    <w:rsid w:val="00907675"/>
    <w:rsid w:val="009079D6"/>
    <w:rsid w:val="00910318"/>
    <w:rsid w:val="00910357"/>
    <w:rsid w:val="009108F6"/>
    <w:rsid w:val="00910B61"/>
    <w:rsid w:val="00910BBC"/>
    <w:rsid w:val="00910D11"/>
    <w:rsid w:val="00910F2F"/>
    <w:rsid w:val="00910FAA"/>
    <w:rsid w:val="009113D6"/>
    <w:rsid w:val="00911487"/>
    <w:rsid w:val="009119E3"/>
    <w:rsid w:val="00911D58"/>
    <w:rsid w:val="009121A8"/>
    <w:rsid w:val="009124CD"/>
    <w:rsid w:val="009124E2"/>
    <w:rsid w:val="00913AF6"/>
    <w:rsid w:val="00913B0E"/>
    <w:rsid w:val="00913DA6"/>
    <w:rsid w:val="00914B87"/>
    <w:rsid w:val="00915169"/>
    <w:rsid w:val="009152A0"/>
    <w:rsid w:val="00915DF9"/>
    <w:rsid w:val="00916586"/>
    <w:rsid w:val="00916645"/>
    <w:rsid w:val="0091671E"/>
    <w:rsid w:val="0091737F"/>
    <w:rsid w:val="0091774C"/>
    <w:rsid w:val="00920144"/>
    <w:rsid w:val="0092023B"/>
    <w:rsid w:val="00920310"/>
    <w:rsid w:val="00920AE5"/>
    <w:rsid w:val="00921268"/>
    <w:rsid w:val="00921581"/>
    <w:rsid w:val="00921E32"/>
    <w:rsid w:val="00921F79"/>
    <w:rsid w:val="009227CC"/>
    <w:rsid w:val="009232AC"/>
    <w:rsid w:val="00923BBF"/>
    <w:rsid w:val="00923EB7"/>
    <w:rsid w:val="00924158"/>
    <w:rsid w:val="009248A4"/>
    <w:rsid w:val="00924958"/>
    <w:rsid w:val="0092519E"/>
    <w:rsid w:val="00925240"/>
    <w:rsid w:val="0092526E"/>
    <w:rsid w:val="00925FEB"/>
    <w:rsid w:val="00926007"/>
    <w:rsid w:val="00926316"/>
    <w:rsid w:val="009263C5"/>
    <w:rsid w:val="00926516"/>
    <w:rsid w:val="00927287"/>
    <w:rsid w:val="009272EA"/>
    <w:rsid w:val="009273E9"/>
    <w:rsid w:val="00927427"/>
    <w:rsid w:val="0092742A"/>
    <w:rsid w:val="0092755F"/>
    <w:rsid w:val="00927AE3"/>
    <w:rsid w:val="00927B3B"/>
    <w:rsid w:val="00927DFF"/>
    <w:rsid w:val="0093067B"/>
    <w:rsid w:val="0093128F"/>
    <w:rsid w:val="00931940"/>
    <w:rsid w:val="00931C14"/>
    <w:rsid w:val="00931D9D"/>
    <w:rsid w:val="009325FF"/>
    <w:rsid w:val="00932747"/>
    <w:rsid w:val="00932CA7"/>
    <w:rsid w:val="00932DDB"/>
    <w:rsid w:val="00933034"/>
    <w:rsid w:val="009333CE"/>
    <w:rsid w:val="00933644"/>
    <w:rsid w:val="00933734"/>
    <w:rsid w:val="009338E6"/>
    <w:rsid w:val="0093436B"/>
    <w:rsid w:val="00934660"/>
    <w:rsid w:val="00934A83"/>
    <w:rsid w:val="00935080"/>
    <w:rsid w:val="00935153"/>
    <w:rsid w:val="00935F3D"/>
    <w:rsid w:val="00936785"/>
    <w:rsid w:val="00936A1F"/>
    <w:rsid w:val="00936CC8"/>
    <w:rsid w:val="00936F1A"/>
    <w:rsid w:val="00937C7D"/>
    <w:rsid w:val="009402CE"/>
    <w:rsid w:val="0094057A"/>
    <w:rsid w:val="0094068C"/>
    <w:rsid w:val="00940C21"/>
    <w:rsid w:val="00940EA6"/>
    <w:rsid w:val="00940F9B"/>
    <w:rsid w:val="009410D2"/>
    <w:rsid w:val="009412E2"/>
    <w:rsid w:val="0094164A"/>
    <w:rsid w:val="009416AE"/>
    <w:rsid w:val="009416B6"/>
    <w:rsid w:val="0094210B"/>
    <w:rsid w:val="0094230B"/>
    <w:rsid w:val="00942439"/>
    <w:rsid w:val="0094266A"/>
    <w:rsid w:val="0094301F"/>
    <w:rsid w:val="009434B1"/>
    <w:rsid w:val="009435E0"/>
    <w:rsid w:val="00943791"/>
    <w:rsid w:val="00943945"/>
    <w:rsid w:val="00943E24"/>
    <w:rsid w:val="00944177"/>
    <w:rsid w:val="0094439D"/>
    <w:rsid w:val="009446D7"/>
    <w:rsid w:val="00944A29"/>
    <w:rsid w:val="00944C7F"/>
    <w:rsid w:val="0094531C"/>
    <w:rsid w:val="0094566C"/>
    <w:rsid w:val="00945AE2"/>
    <w:rsid w:val="00945F1E"/>
    <w:rsid w:val="0094607A"/>
    <w:rsid w:val="00947063"/>
    <w:rsid w:val="00947300"/>
    <w:rsid w:val="0094768D"/>
    <w:rsid w:val="00947E2C"/>
    <w:rsid w:val="009505E2"/>
    <w:rsid w:val="00950695"/>
    <w:rsid w:val="00950C2C"/>
    <w:rsid w:val="00950FDF"/>
    <w:rsid w:val="009512E7"/>
    <w:rsid w:val="0095196B"/>
    <w:rsid w:val="00951BD6"/>
    <w:rsid w:val="00952212"/>
    <w:rsid w:val="0095260C"/>
    <w:rsid w:val="00952699"/>
    <w:rsid w:val="0095292B"/>
    <w:rsid w:val="00953495"/>
    <w:rsid w:val="00953A38"/>
    <w:rsid w:val="00954447"/>
    <w:rsid w:val="009545F5"/>
    <w:rsid w:val="00954803"/>
    <w:rsid w:val="00954D36"/>
    <w:rsid w:val="009550B8"/>
    <w:rsid w:val="00955134"/>
    <w:rsid w:val="00955585"/>
    <w:rsid w:val="009557F8"/>
    <w:rsid w:val="0095620E"/>
    <w:rsid w:val="0095624B"/>
    <w:rsid w:val="009564DF"/>
    <w:rsid w:val="00956759"/>
    <w:rsid w:val="00956FB9"/>
    <w:rsid w:val="00957207"/>
    <w:rsid w:val="009576B6"/>
    <w:rsid w:val="009578B1"/>
    <w:rsid w:val="00957EEF"/>
    <w:rsid w:val="00960D1A"/>
    <w:rsid w:val="00960E89"/>
    <w:rsid w:val="009610F8"/>
    <w:rsid w:val="00961851"/>
    <w:rsid w:val="009621CA"/>
    <w:rsid w:val="00962BB7"/>
    <w:rsid w:val="00962F0D"/>
    <w:rsid w:val="009636E1"/>
    <w:rsid w:val="009638CE"/>
    <w:rsid w:val="009639E0"/>
    <w:rsid w:val="00963F0A"/>
    <w:rsid w:val="009645DB"/>
    <w:rsid w:val="00964B2F"/>
    <w:rsid w:val="0096566A"/>
    <w:rsid w:val="009657CB"/>
    <w:rsid w:val="00965A06"/>
    <w:rsid w:val="00965D6B"/>
    <w:rsid w:val="00965FC9"/>
    <w:rsid w:val="00966985"/>
    <w:rsid w:val="0096699F"/>
    <w:rsid w:val="009669F8"/>
    <w:rsid w:val="00966BBE"/>
    <w:rsid w:val="009676DB"/>
    <w:rsid w:val="00967AC2"/>
    <w:rsid w:val="00967E7B"/>
    <w:rsid w:val="009707BB"/>
    <w:rsid w:val="00971487"/>
    <w:rsid w:val="0097188B"/>
    <w:rsid w:val="009719B0"/>
    <w:rsid w:val="0097204C"/>
    <w:rsid w:val="00972083"/>
    <w:rsid w:val="00972423"/>
    <w:rsid w:val="00972506"/>
    <w:rsid w:val="0097251B"/>
    <w:rsid w:val="00972FC1"/>
    <w:rsid w:val="009732A2"/>
    <w:rsid w:val="0097346C"/>
    <w:rsid w:val="0097364A"/>
    <w:rsid w:val="00973909"/>
    <w:rsid w:val="00973F19"/>
    <w:rsid w:val="0097434D"/>
    <w:rsid w:val="0097457A"/>
    <w:rsid w:val="009746C2"/>
    <w:rsid w:val="0097486B"/>
    <w:rsid w:val="009748F9"/>
    <w:rsid w:val="00974B54"/>
    <w:rsid w:val="00974E7F"/>
    <w:rsid w:val="0097569C"/>
    <w:rsid w:val="009757D8"/>
    <w:rsid w:val="00975989"/>
    <w:rsid w:val="00975D62"/>
    <w:rsid w:val="00975F76"/>
    <w:rsid w:val="009762B6"/>
    <w:rsid w:val="00976434"/>
    <w:rsid w:val="009764B7"/>
    <w:rsid w:val="00976A05"/>
    <w:rsid w:val="00976B9A"/>
    <w:rsid w:val="00976BEB"/>
    <w:rsid w:val="00977053"/>
    <w:rsid w:val="00977270"/>
    <w:rsid w:val="00977BD2"/>
    <w:rsid w:val="00977CC7"/>
    <w:rsid w:val="00977FAF"/>
    <w:rsid w:val="00980D4B"/>
    <w:rsid w:val="0098111C"/>
    <w:rsid w:val="009811D0"/>
    <w:rsid w:val="00981272"/>
    <w:rsid w:val="009818B2"/>
    <w:rsid w:val="00981A74"/>
    <w:rsid w:val="00981A9F"/>
    <w:rsid w:val="00981D0B"/>
    <w:rsid w:val="0098211B"/>
    <w:rsid w:val="00982328"/>
    <w:rsid w:val="00982BC6"/>
    <w:rsid w:val="00982FD3"/>
    <w:rsid w:val="00983008"/>
    <w:rsid w:val="009836AB"/>
    <w:rsid w:val="00983FF7"/>
    <w:rsid w:val="0098439D"/>
    <w:rsid w:val="009849E7"/>
    <w:rsid w:val="00985642"/>
    <w:rsid w:val="009858AC"/>
    <w:rsid w:val="00985BA9"/>
    <w:rsid w:val="0098638F"/>
    <w:rsid w:val="00986707"/>
    <w:rsid w:val="009870C2"/>
    <w:rsid w:val="00987466"/>
    <w:rsid w:val="00987708"/>
    <w:rsid w:val="009878A1"/>
    <w:rsid w:val="00987C2C"/>
    <w:rsid w:val="00987E42"/>
    <w:rsid w:val="0099071D"/>
    <w:rsid w:val="00990939"/>
    <w:rsid w:val="009910DD"/>
    <w:rsid w:val="00991702"/>
    <w:rsid w:val="009919B7"/>
    <w:rsid w:val="00992351"/>
    <w:rsid w:val="00992400"/>
    <w:rsid w:val="00992729"/>
    <w:rsid w:val="00992B5C"/>
    <w:rsid w:val="00992D9F"/>
    <w:rsid w:val="00992DC1"/>
    <w:rsid w:val="00992F92"/>
    <w:rsid w:val="00993060"/>
    <w:rsid w:val="00993579"/>
    <w:rsid w:val="0099357D"/>
    <w:rsid w:val="00993817"/>
    <w:rsid w:val="0099391D"/>
    <w:rsid w:val="00994293"/>
    <w:rsid w:val="00994308"/>
    <w:rsid w:val="009952C2"/>
    <w:rsid w:val="00995605"/>
    <w:rsid w:val="009956E0"/>
    <w:rsid w:val="00995769"/>
    <w:rsid w:val="009959EC"/>
    <w:rsid w:val="00995A22"/>
    <w:rsid w:val="00996143"/>
    <w:rsid w:val="0099632F"/>
    <w:rsid w:val="0099666B"/>
    <w:rsid w:val="00996B91"/>
    <w:rsid w:val="00996CDE"/>
    <w:rsid w:val="0099785A"/>
    <w:rsid w:val="00997C8F"/>
    <w:rsid w:val="00997D24"/>
    <w:rsid w:val="00997EDB"/>
    <w:rsid w:val="009A0292"/>
    <w:rsid w:val="009A042C"/>
    <w:rsid w:val="009A0645"/>
    <w:rsid w:val="009A068B"/>
    <w:rsid w:val="009A0C25"/>
    <w:rsid w:val="009A0F5A"/>
    <w:rsid w:val="009A13A6"/>
    <w:rsid w:val="009A1613"/>
    <w:rsid w:val="009A18CB"/>
    <w:rsid w:val="009A19D1"/>
    <w:rsid w:val="009A2608"/>
    <w:rsid w:val="009A2727"/>
    <w:rsid w:val="009A27D8"/>
    <w:rsid w:val="009A27DC"/>
    <w:rsid w:val="009A2CE7"/>
    <w:rsid w:val="009A2D8C"/>
    <w:rsid w:val="009A321B"/>
    <w:rsid w:val="009A3273"/>
    <w:rsid w:val="009A3451"/>
    <w:rsid w:val="009A355C"/>
    <w:rsid w:val="009A36B5"/>
    <w:rsid w:val="009A3A4A"/>
    <w:rsid w:val="009A3C05"/>
    <w:rsid w:val="009A3D66"/>
    <w:rsid w:val="009A3E41"/>
    <w:rsid w:val="009A4010"/>
    <w:rsid w:val="009A4099"/>
    <w:rsid w:val="009A4368"/>
    <w:rsid w:val="009A4A9D"/>
    <w:rsid w:val="009A4B8F"/>
    <w:rsid w:val="009A4F45"/>
    <w:rsid w:val="009A5306"/>
    <w:rsid w:val="009A5BDB"/>
    <w:rsid w:val="009A6082"/>
    <w:rsid w:val="009A64FE"/>
    <w:rsid w:val="009A67EB"/>
    <w:rsid w:val="009A6AB8"/>
    <w:rsid w:val="009A6B2F"/>
    <w:rsid w:val="009A6E5E"/>
    <w:rsid w:val="009A7018"/>
    <w:rsid w:val="009A77BA"/>
    <w:rsid w:val="009B0494"/>
    <w:rsid w:val="009B05C2"/>
    <w:rsid w:val="009B0910"/>
    <w:rsid w:val="009B0A64"/>
    <w:rsid w:val="009B0E06"/>
    <w:rsid w:val="009B121D"/>
    <w:rsid w:val="009B1A5A"/>
    <w:rsid w:val="009B1D8B"/>
    <w:rsid w:val="009B1EFD"/>
    <w:rsid w:val="009B2D1D"/>
    <w:rsid w:val="009B3764"/>
    <w:rsid w:val="009B3853"/>
    <w:rsid w:val="009B4417"/>
    <w:rsid w:val="009B44F5"/>
    <w:rsid w:val="009B4804"/>
    <w:rsid w:val="009B4834"/>
    <w:rsid w:val="009B4C85"/>
    <w:rsid w:val="009B502D"/>
    <w:rsid w:val="009B5204"/>
    <w:rsid w:val="009B55C8"/>
    <w:rsid w:val="009B5B5D"/>
    <w:rsid w:val="009B5CFE"/>
    <w:rsid w:val="009B6370"/>
    <w:rsid w:val="009B67C3"/>
    <w:rsid w:val="009B698E"/>
    <w:rsid w:val="009B6A86"/>
    <w:rsid w:val="009B6DBA"/>
    <w:rsid w:val="009B71C9"/>
    <w:rsid w:val="009B7333"/>
    <w:rsid w:val="009B741B"/>
    <w:rsid w:val="009B74E2"/>
    <w:rsid w:val="009B767F"/>
    <w:rsid w:val="009B779D"/>
    <w:rsid w:val="009B7DFA"/>
    <w:rsid w:val="009B7E21"/>
    <w:rsid w:val="009C0B2D"/>
    <w:rsid w:val="009C0E64"/>
    <w:rsid w:val="009C1190"/>
    <w:rsid w:val="009C11BA"/>
    <w:rsid w:val="009C1722"/>
    <w:rsid w:val="009C1989"/>
    <w:rsid w:val="009C1A8F"/>
    <w:rsid w:val="009C27F4"/>
    <w:rsid w:val="009C3C13"/>
    <w:rsid w:val="009C3E58"/>
    <w:rsid w:val="009C468C"/>
    <w:rsid w:val="009C4CB0"/>
    <w:rsid w:val="009C4EA8"/>
    <w:rsid w:val="009C5B4C"/>
    <w:rsid w:val="009C5BF7"/>
    <w:rsid w:val="009C5C49"/>
    <w:rsid w:val="009C6001"/>
    <w:rsid w:val="009C61B4"/>
    <w:rsid w:val="009C68C0"/>
    <w:rsid w:val="009C68FC"/>
    <w:rsid w:val="009C6DE8"/>
    <w:rsid w:val="009C6E9C"/>
    <w:rsid w:val="009C7350"/>
    <w:rsid w:val="009C76C6"/>
    <w:rsid w:val="009C7755"/>
    <w:rsid w:val="009C7B72"/>
    <w:rsid w:val="009D030D"/>
    <w:rsid w:val="009D0841"/>
    <w:rsid w:val="009D0905"/>
    <w:rsid w:val="009D1532"/>
    <w:rsid w:val="009D176B"/>
    <w:rsid w:val="009D1E67"/>
    <w:rsid w:val="009D24D8"/>
    <w:rsid w:val="009D3297"/>
    <w:rsid w:val="009D3530"/>
    <w:rsid w:val="009D3B9B"/>
    <w:rsid w:val="009D443E"/>
    <w:rsid w:val="009D4476"/>
    <w:rsid w:val="009D490E"/>
    <w:rsid w:val="009D4B7C"/>
    <w:rsid w:val="009D4C3D"/>
    <w:rsid w:val="009D4DF6"/>
    <w:rsid w:val="009D5216"/>
    <w:rsid w:val="009D56FD"/>
    <w:rsid w:val="009D5A4F"/>
    <w:rsid w:val="009D6121"/>
    <w:rsid w:val="009D63B1"/>
    <w:rsid w:val="009D66FB"/>
    <w:rsid w:val="009D68C1"/>
    <w:rsid w:val="009D6C55"/>
    <w:rsid w:val="009D6D17"/>
    <w:rsid w:val="009D6EF2"/>
    <w:rsid w:val="009D7042"/>
    <w:rsid w:val="009D7D6C"/>
    <w:rsid w:val="009E0278"/>
    <w:rsid w:val="009E03FF"/>
    <w:rsid w:val="009E13C5"/>
    <w:rsid w:val="009E204D"/>
    <w:rsid w:val="009E2123"/>
    <w:rsid w:val="009E2394"/>
    <w:rsid w:val="009E29D4"/>
    <w:rsid w:val="009E2D78"/>
    <w:rsid w:val="009E2F29"/>
    <w:rsid w:val="009E2F3D"/>
    <w:rsid w:val="009E347A"/>
    <w:rsid w:val="009E3939"/>
    <w:rsid w:val="009E442F"/>
    <w:rsid w:val="009E44FB"/>
    <w:rsid w:val="009E49CA"/>
    <w:rsid w:val="009E4F26"/>
    <w:rsid w:val="009E4FDE"/>
    <w:rsid w:val="009E50E9"/>
    <w:rsid w:val="009E5788"/>
    <w:rsid w:val="009E5C26"/>
    <w:rsid w:val="009E618F"/>
    <w:rsid w:val="009E643A"/>
    <w:rsid w:val="009E66E0"/>
    <w:rsid w:val="009E68FC"/>
    <w:rsid w:val="009E6996"/>
    <w:rsid w:val="009E6B8E"/>
    <w:rsid w:val="009E7214"/>
    <w:rsid w:val="009E771A"/>
    <w:rsid w:val="009E7756"/>
    <w:rsid w:val="009E7945"/>
    <w:rsid w:val="009E798B"/>
    <w:rsid w:val="009E7EB1"/>
    <w:rsid w:val="009F0516"/>
    <w:rsid w:val="009F09E4"/>
    <w:rsid w:val="009F0A34"/>
    <w:rsid w:val="009F0EF1"/>
    <w:rsid w:val="009F0F44"/>
    <w:rsid w:val="009F15CE"/>
    <w:rsid w:val="009F1892"/>
    <w:rsid w:val="009F1AB6"/>
    <w:rsid w:val="009F1ADE"/>
    <w:rsid w:val="009F1D56"/>
    <w:rsid w:val="009F21E7"/>
    <w:rsid w:val="009F2BAA"/>
    <w:rsid w:val="009F308E"/>
    <w:rsid w:val="009F3E88"/>
    <w:rsid w:val="009F3FAB"/>
    <w:rsid w:val="009F462D"/>
    <w:rsid w:val="009F476F"/>
    <w:rsid w:val="009F48AB"/>
    <w:rsid w:val="009F51FE"/>
    <w:rsid w:val="009F58A1"/>
    <w:rsid w:val="009F59FC"/>
    <w:rsid w:val="009F639F"/>
    <w:rsid w:val="009F65F9"/>
    <w:rsid w:val="009F6887"/>
    <w:rsid w:val="009F6B26"/>
    <w:rsid w:val="009F73CE"/>
    <w:rsid w:val="009F7917"/>
    <w:rsid w:val="009F7ACB"/>
    <w:rsid w:val="009F7FD8"/>
    <w:rsid w:val="00A00080"/>
    <w:rsid w:val="00A00900"/>
    <w:rsid w:val="00A00A61"/>
    <w:rsid w:val="00A00F3B"/>
    <w:rsid w:val="00A00FD9"/>
    <w:rsid w:val="00A011DF"/>
    <w:rsid w:val="00A01393"/>
    <w:rsid w:val="00A01749"/>
    <w:rsid w:val="00A02065"/>
    <w:rsid w:val="00A0236E"/>
    <w:rsid w:val="00A02598"/>
    <w:rsid w:val="00A028DA"/>
    <w:rsid w:val="00A02976"/>
    <w:rsid w:val="00A02C0F"/>
    <w:rsid w:val="00A033D5"/>
    <w:rsid w:val="00A03DB4"/>
    <w:rsid w:val="00A03DED"/>
    <w:rsid w:val="00A03E32"/>
    <w:rsid w:val="00A04182"/>
    <w:rsid w:val="00A04EA6"/>
    <w:rsid w:val="00A05484"/>
    <w:rsid w:val="00A05668"/>
    <w:rsid w:val="00A057D4"/>
    <w:rsid w:val="00A05855"/>
    <w:rsid w:val="00A059E8"/>
    <w:rsid w:val="00A06457"/>
    <w:rsid w:val="00A064E3"/>
    <w:rsid w:val="00A06653"/>
    <w:rsid w:val="00A066EA"/>
    <w:rsid w:val="00A06CD4"/>
    <w:rsid w:val="00A07080"/>
    <w:rsid w:val="00A07095"/>
    <w:rsid w:val="00A070DD"/>
    <w:rsid w:val="00A071AC"/>
    <w:rsid w:val="00A0748E"/>
    <w:rsid w:val="00A07E66"/>
    <w:rsid w:val="00A10169"/>
    <w:rsid w:val="00A10A8A"/>
    <w:rsid w:val="00A1120E"/>
    <w:rsid w:val="00A113AD"/>
    <w:rsid w:val="00A11550"/>
    <w:rsid w:val="00A11700"/>
    <w:rsid w:val="00A1176A"/>
    <w:rsid w:val="00A11E41"/>
    <w:rsid w:val="00A1234C"/>
    <w:rsid w:val="00A123C8"/>
    <w:rsid w:val="00A124E8"/>
    <w:rsid w:val="00A12AC2"/>
    <w:rsid w:val="00A12FB5"/>
    <w:rsid w:val="00A12FD0"/>
    <w:rsid w:val="00A133E3"/>
    <w:rsid w:val="00A134B2"/>
    <w:rsid w:val="00A1369F"/>
    <w:rsid w:val="00A1377D"/>
    <w:rsid w:val="00A13B2B"/>
    <w:rsid w:val="00A14257"/>
    <w:rsid w:val="00A14401"/>
    <w:rsid w:val="00A14C64"/>
    <w:rsid w:val="00A14C7C"/>
    <w:rsid w:val="00A14FAE"/>
    <w:rsid w:val="00A1541A"/>
    <w:rsid w:val="00A1583D"/>
    <w:rsid w:val="00A15A05"/>
    <w:rsid w:val="00A15B07"/>
    <w:rsid w:val="00A160AE"/>
    <w:rsid w:val="00A1654E"/>
    <w:rsid w:val="00A16807"/>
    <w:rsid w:val="00A168A1"/>
    <w:rsid w:val="00A16DC8"/>
    <w:rsid w:val="00A17750"/>
    <w:rsid w:val="00A1799E"/>
    <w:rsid w:val="00A17DF2"/>
    <w:rsid w:val="00A20027"/>
    <w:rsid w:val="00A201F3"/>
    <w:rsid w:val="00A2021C"/>
    <w:rsid w:val="00A20868"/>
    <w:rsid w:val="00A20E25"/>
    <w:rsid w:val="00A20EEE"/>
    <w:rsid w:val="00A21134"/>
    <w:rsid w:val="00A2145C"/>
    <w:rsid w:val="00A2194A"/>
    <w:rsid w:val="00A21B96"/>
    <w:rsid w:val="00A21BF6"/>
    <w:rsid w:val="00A21C6F"/>
    <w:rsid w:val="00A21F7D"/>
    <w:rsid w:val="00A22299"/>
    <w:rsid w:val="00A223CC"/>
    <w:rsid w:val="00A22E9C"/>
    <w:rsid w:val="00A22F50"/>
    <w:rsid w:val="00A23054"/>
    <w:rsid w:val="00A233DE"/>
    <w:rsid w:val="00A238FA"/>
    <w:rsid w:val="00A23B19"/>
    <w:rsid w:val="00A241D4"/>
    <w:rsid w:val="00A242CD"/>
    <w:rsid w:val="00A24463"/>
    <w:rsid w:val="00A24BDA"/>
    <w:rsid w:val="00A24F35"/>
    <w:rsid w:val="00A254C7"/>
    <w:rsid w:val="00A25796"/>
    <w:rsid w:val="00A25D1D"/>
    <w:rsid w:val="00A26185"/>
    <w:rsid w:val="00A262EA"/>
    <w:rsid w:val="00A266BB"/>
    <w:rsid w:val="00A26771"/>
    <w:rsid w:val="00A26D3F"/>
    <w:rsid w:val="00A26D64"/>
    <w:rsid w:val="00A26FE0"/>
    <w:rsid w:val="00A2753C"/>
    <w:rsid w:val="00A27740"/>
    <w:rsid w:val="00A279FD"/>
    <w:rsid w:val="00A27F54"/>
    <w:rsid w:val="00A30488"/>
    <w:rsid w:val="00A30C78"/>
    <w:rsid w:val="00A30CA7"/>
    <w:rsid w:val="00A310A0"/>
    <w:rsid w:val="00A3122A"/>
    <w:rsid w:val="00A31331"/>
    <w:rsid w:val="00A31823"/>
    <w:rsid w:val="00A31AC0"/>
    <w:rsid w:val="00A3218C"/>
    <w:rsid w:val="00A32B37"/>
    <w:rsid w:val="00A331EF"/>
    <w:rsid w:val="00A34636"/>
    <w:rsid w:val="00A346EE"/>
    <w:rsid w:val="00A34CA3"/>
    <w:rsid w:val="00A34DC0"/>
    <w:rsid w:val="00A34F18"/>
    <w:rsid w:val="00A3538D"/>
    <w:rsid w:val="00A3549E"/>
    <w:rsid w:val="00A35594"/>
    <w:rsid w:val="00A3573D"/>
    <w:rsid w:val="00A35762"/>
    <w:rsid w:val="00A35845"/>
    <w:rsid w:val="00A3663D"/>
    <w:rsid w:val="00A3678B"/>
    <w:rsid w:val="00A371FE"/>
    <w:rsid w:val="00A37A92"/>
    <w:rsid w:val="00A37E08"/>
    <w:rsid w:val="00A40059"/>
    <w:rsid w:val="00A4007A"/>
    <w:rsid w:val="00A41373"/>
    <w:rsid w:val="00A4167C"/>
    <w:rsid w:val="00A41FB9"/>
    <w:rsid w:val="00A41FD7"/>
    <w:rsid w:val="00A4260F"/>
    <w:rsid w:val="00A42630"/>
    <w:rsid w:val="00A42A15"/>
    <w:rsid w:val="00A4315D"/>
    <w:rsid w:val="00A432A8"/>
    <w:rsid w:val="00A434BC"/>
    <w:rsid w:val="00A434D0"/>
    <w:rsid w:val="00A4367B"/>
    <w:rsid w:val="00A437A6"/>
    <w:rsid w:val="00A43C49"/>
    <w:rsid w:val="00A43D9A"/>
    <w:rsid w:val="00A441E8"/>
    <w:rsid w:val="00A446B0"/>
    <w:rsid w:val="00A44BF4"/>
    <w:rsid w:val="00A450E4"/>
    <w:rsid w:val="00A45454"/>
    <w:rsid w:val="00A45852"/>
    <w:rsid w:val="00A45E37"/>
    <w:rsid w:val="00A45EC3"/>
    <w:rsid w:val="00A463F5"/>
    <w:rsid w:val="00A46937"/>
    <w:rsid w:val="00A46BEE"/>
    <w:rsid w:val="00A47B89"/>
    <w:rsid w:val="00A47E41"/>
    <w:rsid w:val="00A504DD"/>
    <w:rsid w:val="00A50786"/>
    <w:rsid w:val="00A50C46"/>
    <w:rsid w:val="00A50C81"/>
    <w:rsid w:val="00A50FD6"/>
    <w:rsid w:val="00A5130B"/>
    <w:rsid w:val="00A5130D"/>
    <w:rsid w:val="00A51652"/>
    <w:rsid w:val="00A516E5"/>
    <w:rsid w:val="00A51AE8"/>
    <w:rsid w:val="00A51B6B"/>
    <w:rsid w:val="00A51D5E"/>
    <w:rsid w:val="00A51F66"/>
    <w:rsid w:val="00A521DE"/>
    <w:rsid w:val="00A52538"/>
    <w:rsid w:val="00A527B1"/>
    <w:rsid w:val="00A52AC3"/>
    <w:rsid w:val="00A52D29"/>
    <w:rsid w:val="00A52F41"/>
    <w:rsid w:val="00A532A6"/>
    <w:rsid w:val="00A5344A"/>
    <w:rsid w:val="00A5377B"/>
    <w:rsid w:val="00A53916"/>
    <w:rsid w:val="00A544A1"/>
    <w:rsid w:val="00A5454D"/>
    <w:rsid w:val="00A5517F"/>
    <w:rsid w:val="00A55521"/>
    <w:rsid w:val="00A555DE"/>
    <w:rsid w:val="00A55635"/>
    <w:rsid w:val="00A55989"/>
    <w:rsid w:val="00A55A85"/>
    <w:rsid w:val="00A55B12"/>
    <w:rsid w:val="00A560A3"/>
    <w:rsid w:val="00A56145"/>
    <w:rsid w:val="00A5617C"/>
    <w:rsid w:val="00A562A8"/>
    <w:rsid w:val="00A56573"/>
    <w:rsid w:val="00A567BC"/>
    <w:rsid w:val="00A567EA"/>
    <w:rsid w:val="00A5703D"/>
    <w:rsid w:val="00A57343"/>
    <w:rsid w:val="00A57689"/>
    <w:rsid w:val="00A57B77"/>
    <w:rsid w:val="00A57C63"/>
    <w:rsid w:val="00A57DDA"/>
    <w:rsid w:val="00A57EFC"/>
    <w:rsid w:val="00A60050"/>
    <w:rsid w:val="00A609FF"/>
    <w:rsid w:val="00A60CC9"/>
    <w:rsid w:val="00A60D8D"/>
    <w:rsid w:val="00A60FCB"/>
    <w:rsid w:val="00A61012"/>
    <w:rsid w:val="00A610E1"/>
    <w:rsid w:val="00A61358"/>
    <w:rsid w:val="00A61397"/>
    <w:rsid w:val="00A613A2"/>
    <w:rsid w:val="00A614EA"/>
    <w:rsid w:val="00A616F0"/>
    <w:rsid w:val="00A61835"/>
    <w:rsid w:val="00A61DC9"/>
    <w:rsid w:val="00A61E61"/>
    <w:rsid w:val="00A62049"/>
    <w:rsid w:val="00A62465"/>
    <w:rsid w:val="00A6324A"/>
    <w:rsid w:val="00A637D7"/>
    <w:rsid w:val="00A63930"/>
    <w:rsid w:val="00A64760"/>
    <w:rsid w:val="00A648F0"/>
    <w:rsid w:val="00A64C7F"/>
    <w:rsid w:val="00A6551F"/>
    <w:rsid w:val="00A659DD"/>
    <w:rsid w:val="00A65A1B"/>
    <w:rsid w:val="00A66116"/>
    <w:rsid w:val="00A66260"/>
    <w:rsid w:val="00A66E32"/>
    <w:rsid w:val="00A67830"/>
    <w:rsid w:val="00A67957"/>
    <w:rsid w:val="00A67AF9"/>
    <w:rsid w:val="00A67D18"/>
    <w:rsid w:val="00A7006A"/>
    <w:rsid w:val="00A708A2"/>
    <w:rsid w:val="00A709F0"/>
    <w:rsid w:val="00A70B68"/>
    <w:rsid w:val="00A70C26"/>
    <w:rsid w:val="00A70D10"/>
    <w:rsid w:val="00A70D18"/>
    <w:rsid w:val="00A7112D"/>
    <w:rsid w:val="00A7167F"/>
    <w:rsid w:val="00A7250C"/>
    <w:rsid w:val="00A732B3"/>
    <w:rsid w:val="00A73389"/>
    <w:rsid w:val="00A73406"/>
    <w:rsid w:val="00A73438"/>
    <w:rsid w:val="00A735C2"/>
    <w:rsid w:val="00A73961"/>
    <w:rsid w:val="00A73E32"/>
    <w:rsid w:val="00A73E99"/>
    <w:rsid w:val="00A7434E"/>
    <w:rsid w:val="00A74790"/>
    <w:rsid w:val="00A74BA8"/>
    <w:rsid w:val="00A74D1F"/>
    <w:rsid w:val="00A74EB7"/>
    <w:rsid w:val="00A75716"/>
    <w:rsid w:val="00A75781"/>
    <w:rsid w:val="00A75ABD"/>
    <w:rsid w:val="00A76578"/>
    <w:rsid w:val="00A7682A"/>
    <w:rsid w:val="00A76BC5"/>
    <w:rsid w:val="00A76D37"/>
    <w:rsid w:val="00A76DAB"/>
    <w:rsid w:val="00A770CB"/>
    <w:rsid w:val="00A77AC5"/>
    <w:rsid w:val="00A77CAA"/>
    <w:rsid w:val="00A77F7A"/>
    <w:rsid w:val="00A80334"/>
    <w:rsid w:val="00A808A9"/>
    <w:rsid w:val="00A80BB1"/>
    <w:rsid w:val="00A80BE8"/>
    <w:rsid w:val="00A81F0B"/>
    <w:rsid w:val="00A82192"/>
    <w:rsid w:val="00A823B3"/>
    <w:rsid w:val="00A8272E"/>
    <w:rsid w:val="00A82C1D"/>
    <w:rsid w:val="00A83454"/>
    <w:rsid w:val="00A83681"/>
    <w:rsid w:val="00A83F9D"/>
    <w:rsid w:val="00A842E7"/>
    <w:rsid w:val="00A84556"/>
    <w:rsid w:val="00A84D63"/>
    <w:rsid w:val="00A84D91"/>
    <w:rsid w:val="00A85725"/>
    <w:rsid w:val="00A859A5"/>
    <w:rsid w:val="00A85B19"/>
    <w:rsid w:val="00A85E77"/>
    <w:rsid w:val="00A85EA2"/>
    <w:rsid w:val="00A86FA9"/>
    <w:rsid w:val="00A872DA"/>
    <w:rsid w:val="00A877AE"/>
    <w:rsid w:val="00A90DCA"/>
    <w:rsid w:val="00A90FAF"/>
    <w:rsid w:val="00A9113D"/>
    <w:rsid w:val="00A912C0"/>
    <w:rsid w:val="00A91B34"/>
    <w:rsid w:val="00A91C6C"/>
    <w:rsid w:val="00A91EC1"/>
    <w:rsid w:val="00A924BC"/>
    <w:rsid w:val="00A92F52"/>
    <w:rsid w:val="00A93131"/>
    <w:rsid w:val="00A939D2"/>
    <w:rsid w:val="00A93FE4"/>
    <w:rsid w:val="00A945D2"/>
    <w:rsid w:val="00A94CE8"/>
    <w:rsid w:val="00A94D72"/>
    <w:rsid w:val="00A94DD7"/>
    <w:rsid w:val="00A94E87"/>
    <w:rsid w:val="00A94F20"/>
    <w:rsid w:val="00A9566A"/>
    <w:rsid w:val="00A959D5"/>
    <w:rsid w:val="00A969FC"/>
    <w:rsid w:val="00A96C00"/>
    <w:rsid w:val="00A9714E"/>
    <w:rsid w:val="00A971B8"/>
    <w:rsid w:val="00A973F1"/>
    <w:rsid w:val="00A978C5"/>
    <w:rsid w:val="00A97905"/>
    <w:rsid w:val="00AA0686"/>
    <w:rsid w:val="00AA1287"/>
    <w:rsid w:val="00AA1C9A"/>
    <w:rsid w:val="00AA1F24"/>
    <w:rsid w:val="00AA22B0"/>
    <w:rsid w:val="00AA2421"/>
    <w:rsid w:val="00AA24A3"/>
    <w:rsid w:val="00AA25F9"/>
    <w:rsid w:val="00AA2623"/>
    <w:rsid w:val="00AA272B"/>
    <w:rsid w:val="00AA28C1"/>
    <w:rsid w:val="00AA3228"/>
    <w:rsid w:val="00AA3348"/>
    <w:rsid w:val="00AA33A9"/>
    <w:rsid w:val="00AA3946"/>
    <w:rsid w:val="00AA3C66"/>
    <w:rsid w:val="00AA3E14"/>
    <w:rsid w:val="00AA4154"/>
    <w:rsid w:val="00AA41E1"/>
    <w:rsid w:val="00AA4B42"/>
    <w:rsid w:val="00AA5410"/>
    <w:rsid w:val="00AA5B0F"/>
    <w:rsid w:val="00AA64BB"/>
    <w:rsid w:val="00AA652C"/>
    <w:rsid w:val="00AA6568"/>
    <w:rsid w:val="00AA6AE1"/>
    <w:rsid w:val="00AA6C33"/>
    <w:rsid w:val="00AA6FB6"/>
    <w:rsid w:val="00AA700E"/>
    <w:rsid w:val="00AA71D8"/>
    <w:rsid w:val="00AA7310"/>
    <w:rsid w:val="00AA7497"/>
    <w:rsid w:val="00AA7F06"/>
    <w:rsid w:val="00AB00D5"/>
    <w:rsid w:val="00AB13BC"/>
    <w:rsid w:val="00AB1413"/>
    <w:rsid w:val="00AB1486"/>
    <w:rsid w:val="00AB1B43"/>
    <w:rsid w:val="00AB1CCA"/>
    <w:rsid w:val="00AB2727"/>
    <w:rsid w:val="00AB2E25"/>
    <w:rsid w:val="00AB321F"/>
    <w:rsid w:val="00AB33ED"/>
    <w:rsid w:val="00AB33F4"/>
    <w:rsid w:val="00AB3971"/>
    <w:rsid w:val="00AB39C6"/>
    <w:rsid w:val="00AB3AEF"/>
    <w:rsid w:val="00AB3E6A"/>
    <w:rsid w:val="00AB428C"/>
    <w:rsid w:val="00AB446C"/>
    <w:rsid w:val="00AB45DB"/>
    <w:rsid w:val="00AB463E"/>
    <w:rsid w:val="00AB4785"/>
    <w:rsid w:val="00AB493E"/>
    <w:rsid w:val="00AB4951"/>
    <w:rsid w:val="00AB4D4F"/>
    <w:rsid w:val="00AB4FFA"/>
    <w:rsid w:val="00AB5630"/>
    <w:rsid w:val="00AB57BE"/>
    <w:rsid w:val="00AB61D3"/>
    <w:rsid w:val="00AB64FF"/>
    <w:rsid w:val="00AB6D72"/>
    <w:rsid w:val="00AB6E33"/>
    <w:rsid w:val="00AB6FF2"/>
    <w:rsid w:val="00AB705A"/>
    <w:rsid w:val="00AB7481"/>
    <w:rsid w:val="00AB7633"/>
    <w:rsid w:val="00AB7C88"/>
    <w:rsid w:val="00AB7CC6"/>
    <w:rsid w:val="00AB7E07"/>
    <w:rsid w:val="00AC087F"/>
    <w:rsid w:val="00AC0960"/>
    <w:rsid w:val="00AC09C5"/>
    <w:rsid w:val="00AC0A11"/>
    <w:rsid w:val="00AC0F55"/>
    <w:rsid w:val="00AC185D"/>
    <w:rsid w:val="00AC18A4"/>
    <w:rsid w:val="00AC1EC6"/>
    <w:rsid w:val="00AC2017"/>
    <w:rsid w:val="00AC204E"/>
    <w:rsid w:val="00AC2A19"/>
    <w:rsid w:val="00AC35C9"/>
    <w:rsid w:val="00AC3B90"/>
    <w:rsid w:val="00AC3C87"/>
    <w:rsid w:val="00AC3E80"/>
    <w:rsid w:val="00AC3F02"/>
    <w:rsid w:val="00AC3F04"/>
    <w:rsid w:val="00AC3F9E"/>
    <w:rsid w:val="00AC48BE"/>
    <w:rsid w:val="00AC4BDD"/>
    <w:rsid w:val="00AC4C8F"/>
    <w:rsid w:val="00AC4D55"/>
    <w:rsid w:val="00AC4DF3"/>
    <w:rsid w:val="00AC4E3C"/>
    <w:rsid w:val="00AC50AE"/>
    <w:rsid w:val="00AC615C"/>
    <w:rsid w:val="00AC66E7"/>
    <w:rsid w:val="00AC7027"/>
    <w:rsid w:val="00AC7484"/>
    <w:rsid w:val="00AC7CCB"/>
    <w:rsid w:val="00AC7D3D"/>
    <w:rsid w:val="00AC7D53"/>
    <w:rsid w:val="00AC7F5D"/>
    <w:rsid w:val="00AD0013"/>
    <w:rsid w:val="00AD0261"/>
    <w:rsid w:val="00AD0433"/>
    <w:rsid w:val="00AD0B3E"/>
    <w:rsid w:val="00AD0DB8"/>
    <w:rsid w:val="00AD0F1B"/>
    <w:rsid w:val="00AD1033"/>
    <w:rsid w:val="00AD1491"/>
    <w:rsid w:val="00AD1750"/>
    <w:rsid w:val="00AD1AC0"/>
    <w:rsid w:val="00AD1C0D"/>
    <w:rsid w:val="00AD1C5C"/>
    <w:rsid w:val="00AD251D"/>
    <w:rsid w:val="00AD300A"/>
    <w:rsid w:val="00AD3748"/>
    <w:rsid w:val="00AD3837"/>
    <w:rsid w:val="00AD3E1B"/>
    <w:rsid w:val="00AD3F25"/>
    <w:rsid w:val="00AD405A"/>
    <w:rsid w:val="00AD41E9"/>
    <w:rsid w:val="00AD4277"/>
    <w:rsid w:val="00AD42E0"/>
    <w:rsid w:val="00AD4B44"/>
    <w:rsid w:val="00AD4CE0"/>
    <w:rsid w:val="00AD50FF"/>
    <w:rsid w:val="00AD530F"/>
    <w:rsid w:val="00AD5C94"/>
    <w:rsid w:val="00AD5CEE"/>
    <w:rsid w:val="00AD5D02"/>
    <w:rsid w:val="00AD6693"/>
    <w:rsid w:val="00AD66FB"/>
    <w:rsid w:val="00AD6992"/>
    <w:rsid w:val="00AD6A6C"/>
    <w:rsid w:val="00AD6BF3"/>
    <w:rsid w:val="00AD6FE2"/>
    <w:rsid w:val="00AD7375"/>
    <w:rsid w:val="00AD7536"/>
    <w:rsid w:val="00AE0076"/>
    <w:rsid w:val="00AE0479"/>
    <w:rsid w:val="00AE04CF"/>
    <w:rsid w:val="00AE05B8"/>
    <w:rsid w:val="00AE0690"/>
    <w:rsid w:val="00AE0B06"/>
    <w:rsid w:val="00AE0DA1"/>
    <w:rsid w:val="00AE0EAD"/>
    <w:rsid w:val="00AE11A9"/>
    <w:rsid w:val="00AE1302"/>
    <w:rsid w:val="00AE15A9"/>
    <w:rsid w:val="00AE176A"/>
    <w:rsid w:val="00AE1B0D"/>
    <w:rsid w:val="00AE2B60"/>
    <w:rsid w:val="00AE2EBD"/>
    <w:rsid w:val="00AE3054"/>
    <w:rsid w:val="00AE39BB"/>
    <w:rsid w:val="00AE3B8A"/>
    <w:rsid w:val="00AE3C77"/>
    <w:rsid w:val="00AE4070"/>
    <w:rsid w:val="00AE45AD"/>
    <w:rsid w:val="00AE46CD"/>
    <w:rsid w:val="00AE49BA"/>
    <w:rsid w:val="00AE4A4C"/>
    <w:rsid w:val="00AE4A7F"/>
    <w:rsid w:val="00AE4B00"/>
    <w:rsid w:val="00AE4C61"/>
    <w:rsid w:val="00AE4D08"/>
    <w:rsid w:val="00AE541C"/>
    <w:rsid w:val="00AE571D"/>
    <w:rsid w:val="00AE5948"/>
    <w:rsid w:val="00AE5BFB"/>
    <w:rsid w:val="00AE65CB"/>
    <w:rsid w:val="00AE76C4"/>
    <w:rsid w:val="00AF080A"/>
    <w:rsid w:val="00AF0980"/>
    <w:rsid w:val="00AF154C"/>
    <w:rsid w:val="00AF155E"/>
    <w:rsid w:val="00AF1AB3"/>
    <w:rsid w:val="00AF1DDD"/>
    <w:rsid w:val="00AF1DEE"/>
    <w:rsid w:val="00AF24C2"/>
    <w:rsid w:val="00AF250F"/>
    <w:rsid w:val="00AF2B00"/>
    <w:rsid w:val="00AF3443"/>
    <w:rsid w:val="00AF3913"/>
    <w:rsid w:val="00AF3A32"/>
    <w:rsid w:val="00AF4576"/>
    <w:rsid w:val="00AF4B2E"/>
    <w:rsid w:val="00AF51BE"/>
    <w:rsid w:val="00AF56EB"/>
    <w:rsid w:val="00AF5961"/>
    <w:rsid w:val="00AF5B9D"/>
    <w:rsid w:val="00AF60C1"/>
    <w:rsid w:val="00AF6317"/>
    <w:rsid w:val="00AF63D6"/>
    <w:rsid w:val="00AF7B20"/>
    <w:rsid w:val="00AF7F08"/>
    <w:rsid w:val="00AF7F47"/>
    <w:rsid w:val="00B0024C"/>
    <w:rsid w:val="00B002D0"/>
    <w:rsid w:val="00B003E2"/>
    <w:rsid w:val="00B00462"/>
    <w:rsid w:val="00B0063C"/>
    <w:rsid w:val="00B006C0"/>
    <w:rsid w:val="00B007BC"/>
    <w:rsid w:val="00B007C0"/>
    <w:rsid w:val="00B00D42"/>
    <w:rsid w:val="00B0138E"/>
    <w:rsid w:val="00B013DF"/>
    <w:rsid w:val="00B0231D"/>
    <w:rsid w:val="00B02466"/>
    <w:rsid w:val="00B02474"/>
    <w:rsid w:val="00B0250F"/>
    <w:rsid w:val="00B02964"/>
    <w:rsid w:val="00B02F5D"/>
    <w:rsid w:val="00B03037"/>
    <w:rsid w:val="00B04058"/>
    <w:rsid w:val="00B04D89"/>
    <w:rsid w:val="00B04F99"/>
    <w:rsid w:val="00B055A0"/>
    <w:rsid w:val="00B05630"/>
    <w:rsid w:val="00B0570C"/>
    <w:rsid w:val="00B058D5"/>
    <w:rsid w:val="00B05CE9"/>
    <w:rsid w:val="00B06060"/>
    <w:rsid w:val="00B06763"/>
    <w:rsid w:val="00B06CAB"/>
    <w:rsid w:val="00B07470"/>
    <w:rsid w:val="00B075B6"/>
    <w:rsid w:val="00B07792"/>
    <w:rsid w:val="00B0788E"/>
    <w:rsid w:val="00B078A2"/>
    <w:rsid w:val="00B07A8F"/>
    <w:rsid w:val="00B07BA1"/>
    <w:rsid w:val="00B1073E"/>
    <w:rsid w:val="00B10B5D"/>
    <w:rsid w:val="00B10FA9"/>
    <w:rsid w:val="00B112E7"/>
    <w:rsid w:val="00B115A7"/>
    <w:rsid w:val="00B116D9"/>
    <w:rsid w:val="00B11867"/>
    <w:rsid w:val="00B11A2D"/>
    <w:rsid w:val="00B11D87"/>
    <w:rsid w:val="00B11E69"/>
    <w:rsid w:val="00B11E78"/>
    <w:rsid w:val="00B12126"/>
    <w:rsid w:val="00B1283E"/>
    <w:rsid w:val="00B1308C"/>
    <w:rsid w:val="00B133CF"/>
    <w:rsid w:val="00B13522"/>
    <w:rsid w:val="00B13CB4"/>
    <w:rsid w:val="00B13F27"/>
    <w:rsid w:val="00B140B1"/>
    <w:rsid w:val="00B14325"/>
    <w:rsid w:val="00B144AD"/>
    <w:rsid w:val="00B145DB"/>
    <w:rsid w:val="00B14F8C"/>
    <w:rsid w:val="00B15031"/>
    <w:rsid w:val="00B1515C"/>
    <w:rsid w:val="00B151AF"/>
    <w:rsid w:val="00B15D54"/>
    <w:rsid w:val="00B15FED"/>
    <w:rsid w:val="00B16236"/>
    <w:rsid w:val="00B16C76"/>
    <w:rsid w:val="00B16D9A"/>
    <w:rsid w:val="00B16F43"/>
    <w:rsid w:val="00B1725E"/>
    <w:rsid w:val="00B175DD"/>
    <w:rsid w:val="00B17785"/>
    <w:rsid w:val="00B17DA1"/>
    <w:rsid w:val="00B20766"/>
    <w:rsid w:val="00B20E86"/>
    <w:rsid w:val="00B20F92"/>
    <w:rsid w:val="00B211AF"/>
    <w:rsid w:val="00B216E7"/>
    <w:rsid w:val="00B218C8"/>
    <w:rsid w:val="00B21E49"/>
    <w:rsid w:val="00B2231D"/>
    <w:rsid w:val="00B228FA"/>
    <w:rsid w:val="00B2320D"/>
    <w:rsid w:val="00B23510"/>
    <w:rsid w:val="00B2374B"/>
    <w:rsid w:val="00B23927"/>
    <w:rsid w:val="00B23CDB"/>
    <w:rsid w:val="00B23E89"/>
    <w:rsid w:val="00B23F8C"/>
    <w:rsid w:val="00B23FEA"/>
    <w:rsid w:val="00B2553A"/>
    <w:rsid w:val="00B255F7"/>
    <w:rsid w:val="00B257D7"/>
    <w:rsid w:val="00B25B7B"/>
    <w:rsid w:val="00B260BE"/>
    <w:rsid w:val="00B2613E"/>
    <w:rsid w:val="00B26D65"/>
    <w:rsid w:val="00B2756D"/>
    <w:rsid w:val="00B27A2C"/>
    <w:rsid w:val="00B27AA0"/>
    <w:rsid w:val="00B30281"/>
    <w:rsid w:val="00B30E6B"/>
    <w:rsid w:val="00B31752"/>
    <w:rsid w:val="00B31D25"/>
    <w:rsid w:val="00B32FA2"/>
    <w:rsid w:val="00B33770"/>
    <w:rsid w:val="00B33FF4"/>
    <w:rsid w:val="00B340E6"/>
    <w:rsid w:val="00B343F9"/>
    <w:rsid w:val="00B349F8"/>
    <w:rsid w:val="00B34A30"/>
    <w:rsid w:val="00B3511B"/>
    <w:rsid w:val="00B355C5"/>
    <w:rsid w:val="00B35AB8"/>
    <w:rsid w:val="00B35CE6"/>
    <w:rsid w:val="00B35D66"/>
    <w:rsid w:val="00B36237"/>
    <w:rsid w:val="00B36BA9"/>
    <w:rsid w:val="00B36DA3"/>
    <w:rsid w:val="00B374BF"/>
    <w:rsid w:val="00B379C1"/>
    <w:rsid w:val="00B379E1"/>
    <w:rsid w:val="00B37CB8"/>
    <w:rsid w:val="00B403C5"/>
    <w:rsid w:val="00B405C9"/>
    <w:rsid w:val="00B4067F"/>
    <w:rsid w:val="00B40B1E"/>
    <w:rsid w:val="00B40CC2"/>
    <w:rsid w:val="00B411CD"/>
    <w:rsid w:val="00B41722"/>
    <w:rsid w:val="00B41884"/>
    <w:rsid w:val="00B42816"/>
    <w:rsid w:val="00B42A18"/>
    <w:rsid w:val="00B42A85"/>
    <w:rsid w:val="00B4301C"/>
    <w:rsid w:val="00B43370"/>
    <w:rsid w:val="00B4366A"/>
    <w:rsid w:val="00B4399C"/>
    <w:rsid w:val="00B43BC3"/>
    <w:rsid w:val="00B4402F"/>
    <w:rsid w:val="00B44902"/>
    <w:rsid w:val="00B44970"/>
    <w:rsid w:val="00B45014"/>
    <w:rsid w:val="00B4592A"/>
    <w:rsid w:val="00B46308"/>
    <w:rsid w:val="00B4632B"/>
    <w:rsid w:val="00B46AFF"/>
    <w:rsid w:val="00B46C21"/>
    <w:rsid w:val="00B474A9"/>
    <w:rsid w:val="00B474F6"/>
    <w:rsid w:val="00B47B2F"/>
    <w:rsid w:val="00B5000A"/>
    <w:rsid w:val="00B501A7"/>
    <w:rsid w:val="00B51419"/>
    <w:rsid w:val="00B51A7D"/>
    <w:rsid w:val="00B51A94"/>
    <w:rsid w:val="00B51C2E"/>
    <w:rsid w:val="00B523D7"/>
    <w:rsid w:val="00B525A8"/>
    <w:rsid w:val="00B52B02"/>
    <w:rsid w:val="00B52CB8"/>
    <w:rsid w:val="00B52FB8"/>
    <w:rsid w:val="00B5320B"/>
    <w:rsid w:val="00B533A1"/>
    <w:rsid w:val="00B535BA"/>
    <w:rsid w:val="00B5369D"/>
    <w:rsid w:val="00B53AEF"/>
    <w:rsid w:val="00B53CE8"/>
    <w:rsid w:val="00B54367"/>
    <w:rsid w:val="00B547C4"/>
    <w:rsid w:val="00B54B43"/>
    <w:rsid w:val="00B54C73"/>
    <w:rsid w:val="00B54DD8"/>
    <w:rsid w:val="00B55190"/>
    <w:rsid w:val="00B552A8"/>
    <w:rsid w:val="00B553A1"/>
    <w:rsid w:val="00B55742"/>
    <w:rsid w:val="00B55EF3"/>
    <w:rsid w:val="00B5601C"/>
    <w:rsid w:val="00B560A9"/>
    <w:rsid w:val="00B562E6"/>
    <w:rsid w:val="00B57444"/>
    <w:rsid w:val="00B574E9"/>
    <w:rsid w:val="00B5780B"/>
    <w:rsid w:val="00B579C9"/>
    <w:rsid w:val="00B57BDC"/>
    <w:rsid w:val="00B601FE"/>
    <w:rsid w:val="00B60781"/>
    <w:rsid w:val="00B6080C"/>
    <w:rsid w:val="00B60C50"/>
    <w:rsid w:val="00B61005"/>
    <w:rsid w:val="00B61042"/>
    <w:rsid w:val="00B61100"/>
    <w:rsid w:val="00B6193D"/>
    <w:rsid w:val="00B61D72"/>
    <w:rsid w:val="00B6241B"/>
    <w:rsid w:val="00B62523"/>
    <w:rsid w:val="00B62B2C"/>
    <w:rsid w:val="00B62BCD"/>
    <w:rsid w:val="00B6453E"/>
    <w:rsid w:val="00B6531F"/>
    <w:rsid w:val="00B6538A"/>
    <w:rsid w:val="00B6562C"/>
    <w:rsid w:val="00B65D6F"/>
    <w:rsid w:val="00B65FEB"/>
    <w:rsid w:val="00B662ED"/>
    <w:rsid w:val="00B66402"/>
    <w:rsid w:val="00B6705A"/>
    <w:rsid w:val="00B67061"/>
    <w:rsid w:val="00B670A7"/>
    <w:rsid w:val="00B6710C"/>
    <w:rsid w:val="00B67345"/>
    <w:rsid w:val="00B67534"/>
    <w:rsid w:val="00B677A3"/>
    <w:rsid w:val="00B67A2B"/>
    <w:rsid w:val="00B67BEF"/>
    <w:rsid w:val="00B67ECA"/>
    <w:rsid w:val="00B700D6"/>
    <w:rsid w:val="00B705EA"/>
    <w:rsid w:val="00B706F2"/>
    <w:rsid w:val="00B70885"/>
    <w:rsid w:val="00B70A91"/>
    <w:rsid w:val="00B70AC0"/>
    <w:rsid w:val="00B7119B"/>
    <w:rsid w:val="00B715E3"/>
    <w:rsid w:val="00B7184D"/>
    <w:rsid w:val="00B71ABA"/>
    <w:rsid w:val="00B71AF9"/>
    <w:rsid w:val="00B71D93"/>
    <w:rsid w:val="00B71E46"/>
    <w:rsid w:val="00B7231B"/>
    <w:rsid w:val="00B72399"/>
    <w:rsid w:val="00B72D4C"/>
    <w:rsid w:val="00B732A5"/>
    <w:rsid w:val="00B73528"/>
    <w:rsid w:val="00B73B3B"/>
    <w:rsid w:val="00B73B7B"/>
    <w:rsid w:val="00B73FE3"/>
    <w:rsid w:val="00B7402B"/>
    <w:rsid w:val="00B74384"/>
    <w:rsid w:val="00B74602"/>
    <w:rsid w:val="00B74866"/>
    <w:rsid w:val="00B74C7C"/>
    <w:rsid w:val="00B75019"/>
    <w:rsid w:val="00B75215"/>
    <w:rsid w:val="00B75241"/>
    <w:rsid w:val="00B75656"/>
    <w:rsid w:val="00B75BF1"/>
    <w:rsid w:val="00B75D77"/>
    <w:rsid w:val="00B76593"/>
    <w:rsid w:val="00B76A1F"/>
    <w:rsid w:val="00B76D1A"/>
    <w:rsid w:val="00B773B9"/>
    <w:rsid w:val="00B77852"/>
    <w:rsid w:val="00B77893"/>
    <w:rsid w:val="00B77F9D"/>
    <w:rsid w:val="00B80509"/>
    <w:rsid w:val="00B80B10"/>
    <w:rsid w:val="00B80BA3"/>
    <w:rsid w:val="00B8147C"/>
    <w:rsid w:val="00B81655"/>
    <w:rsid w:val="00B81908"/>
    <w:rsid w:val="00B81CA2"/>
    <w:rsid w:val="00B81FBB"/>
    <w:rsid w:val="00B82E26"/>
    <w:rsid w:val="00B82ED2"/>
    <w:rsid w:val="00B83165"/>
    <w:rsid w:val="00B832AD"/>
    <w:rsid w:val="00B83E9E"/>
    <w:rsid w:val="00B84206"/>
    <w:rsid w:val="00B84489"/>
    <w:rsid w:val="00B84754"/>
    <w:rsid w:val="00B8485B"/>
    <w:rsid w:val="00B84D50"/>
    <w:rsid w:val="00B850BF"/>
    <w:rsid w:val="00B85D9F"/>
    <w:rsid w:val="00B85ED4"/>
    <w:rsid w:val="00B85FED"/>
    <w:rsid w:val="00B860F2"/>
    <w:rsid w:val="00B86464"/>
    <w:rsid w:val="00B86691"/>
    <w:rsid w:val="00B873BB"/>
    <w:rsid w:val="00B874D2"/>
    <w:rsid w:val="00B87B82"/>
    <w:rsid w:val="00B87E07"/>
    <w:rsid w:val="00B87F8E"/>
    <w:rsid w:val="00B903E6"/>
    <w:rsid w:val="00B905F9"/>
    <w:rsid w:val="00B90AFD"/>
    <w:rsid w:val="00B90C8C"/>
    <w:rsid w:val="00B90F10"/>
    <w:rsid w:val="00B91435"/>
    <w:rsid w:val="00B916C4"/>
    <w:rsid w:val="00B92286"/>
    <w:rsid w:val="00B9255B"/>
    <w:rsid w:val="00B93238"/>
    <w:rsid w:val="00B939CE"/>
    <w:rsid w:val="00B93A08"/>
    <w:rsid w:val="00B93C20"/>
    <w:rsid w:val="00B93D45"/>
    <w:rsid w:val="00B94E3A"/>
    <w:rsid w:val="00B951FC"/>
    <w:rsid w:val="00B952E7"/>
    <w:rsid w:val="00B957F1"/>
    <w:rsid w:val="00B95E6B"/>
    <w:rsid w:val="00B95EA4"/>
    <w:rsid w:val="00B96C30"/>
    <w:rsid w:val="00B96ED5"/>
    <w:rsid w:val="00B970BD"/>
    <w:rsid w:val="00B9714E"/>
    <w:rsid w:val="00B9729E"/>
    <w:rsid w:val="00B975D6"/>
    <w:rsid w:val="00B97CDB"/>
    <w:rsid w:val="00BA022A"/>
    <w:rsid w:val="00BA02E9"/>
    <w:rsid w:val="00BA0F86"/>
    <w:rsid w:val="00BA118D"/>
    <w:rsid w:val="00BA14FC"/>
    <w:rsid w:val="00BA192F"/>
    <w:rsid w:val="00BA197C"/>
    <w:rsid w:val="00BA2C03"/>
    <w:rsid w:val="00BA31CB"/>
    <w:rsid w:val="00BA360E"/>
    <w:rsid w:val="00BA3A8E"/>
    <w:rsid w:val="00BA3D1D"/>
    <w:rsid w:val="00BA4ABE"/>
    <w:rsid w:val="00BA4BA4"/>
    <w:rsid w:val="00BA4C8E"/>
    <w:rsid w:val="00BA4E74"/>
    <w:rsid w:val="00BA5267"/>
    <w:rsid w:val="00BA554F"/>
    <w:rsid w:val="00BA5968"/>
    <w:rsid w:val="00BA5B1F"/>
    <w:rsid w:val="00BA5BB1"/>
    <w:rsid w:val="00BA5C57"/>
    <w:rsid w:val="00BA653B"/>
    <w:rsid w:val="00BA6705"/>
    <w:rsid w:val="00BA6E33"/>
    <w:rsid w:val="00BA731B"/>
    <w:rsid w:val="00BA7648"/>
    <w:rsid w:val="00BA7707"/>
    <w:rsid w:val="00BA7DF8"/>
    <w:rsid w:val="00BB005E"/>
    <w:rsid w:val="00BB01C8"/>
    <w:rsid w:val="00BB027F"/>
    <w:rsid w:val="00BB0AB4"/>
    <w:rsid w:val="00BB18F2"/>
    <w:rsid w:val="00BB19DC"/>
    <w:rsid w:val="00BB1B8C"/>
    <w:rsid w:val="00BB1D1D"/>
    <w:rsid w:val="00BB2A09"/>
    <w:rsid w:val="00BB2A6F"/>
    <w:rsid w:val="00BB2C69"/>
    <w:rsid w:val="00BB3BA8"/>
    <w:rsid w:val="00BB3E7F"/>
    <w:rsid w:val="00BB4010"/>
    <w:rsid w:val="00BB44C9"/>
    <w:rsid w:val="00BB48FB"/>
    <w:rsid w:val="00BB50F1"/>
    <w:rsid w:val="00BB5312"/>
    <w:rsid w:val="00BB54AB"/>
    <w:rsid w:val="00BB59F8"/>
    <w:rsid w:val="00BB5B43"/>
    <w:rsid w:val="00BB5C63"/>
    <w:rsid w:val="00BB6300"/>
    <w:rsid w:val="00BB6571"/>
    <w:rsid w:val="00BB6F3E"/>
    <w:rsid w:val="00BB71E6"/>
    <w:rsid w:val="00BB7346"/>
    <w:rsid w:val="00BB75EB"/>
    <w:rsid w:val="00BB7BE9"/>
    <w:rsid w:val="00BB7BFC"/>
    <w:rsid w:val="00BB7CD9"/>
    <w:rsid w:val="00BC0288"/>
    <w:rsid w:val="00BC053F"/>
    <w:rsid w:val="00BC0E0A"/>
    <w:rsid w:val="00BC1069"/>
    <w:rsid w:val="00BC15CD"/>
    <w:rsid w:val="00BC17E7"/>
    <w:rsid w:val="00BC2347"/>
    <w:rsid w:val="00BC23CA"/>
    <w:rsid w:val="00BC23CD"/>
    <w:rsid w:val="00BC2822"/>
    <w:rsid w:val="00BC2B29"/>
    <w:rsid w:val="00BC2D08"/>
    <w:rsid w:val="00BC30DD"/>
    <w:rsid w:val="00BC31B9"/>
    <w:rsid w:val="00BC401D"/>
    <w:rsid w:val="00BC4460"/>
    <w:rsid w:val="00BC450D"/>
    <w:rsid w:val="00BC465B"/>
    <w:rsid w:val="00BC467A"/>
    <w:rsid w:val="00BC4B8E"/>
    <w:rsid w:val="00BC4BB0"/>
    <w:rsid w:val="00BC4FE3"/>
    <w:rsid w:val="00BC5312"/>
    <w:rsid w:val="00BC5535"/>
    <w:rsid w:val="00BC553D"/>
    <w:rsid w:val="00BC5720"/>
    <w:rsid w:val="00BC5759"/>
    <w:rsid w:val="00BC5C68"/>
    <w:rsid w:val="00BC637B"/>
    <w:rsid w:val="00BC6596"/>
    <w:rsid w:val="00BC6F94"/>
    <w:rsid w:val="00BC73CA"/>
    <w:rsid w:val="00BC7791"/>
    <w:rsid w:val="00BC7941"/>
    <w:rsid w:val="00BC7FCD"/>
    <w:rsid w:val="00BD01B9"/>
    <w:rsid w:val="00BD0205"/>
    <w:rsid w:val="00BD08A8"/>
    <w:rsid w:val="00BD0A3E"/>
    <w:rsid w:val="00BD0B11"/>
    <w:rsid w:val="00BD0C83"/>
    <w:rsid w:val="00BD1145"/>
    <w:rsid w:val="00BD1D70"/>
    <w:rsid w:val="00BD1FA9"/>
    <w:rsid w:val="00BD20D0"/>
    <w:rsid w:val="00BD21BE"/>
    <w:rsid w:val="00BD2590"/>
    <w:rsid w:val="00BD28A9"/>
    <w:rsid w:val="00BD30CD"/>
    <w:rsid w:val="00BD380D"/>
    <w:rsid w:val="00BD39E6"/>
    <w:rsid w:val="00BD3B25"/>
    <w:rsid w:val="00BD3D23"/>
    <w:rsid w:val="00BD424A"/>
    <w:rsid w:val="00BD441D"/>
    <w:rsid w:val="00BD49BF"/>
    <w:rsid w:val="00BD4AB3"/>
    <w:rsid w:val="00BD4C9A"/>
    <w:rsid w:val="00BD4FD8"/>
    <w:rsid w:val="00BD50BB"/>
    <w:rsid w:val="00BD5256"/>
    <w:rsid w:val="00BD5AB1"/>
    <w:rsid w:val="00BD5FE6"/>
    <w:rsid w:val="00BD61A5"/>
    <w:rsid w:val="00BD67A1"/>
    <w:rsid w:val="00BD6998"/>
    <w:rsid w:val="00BD6B7D"/>
    <w:rsid w:val="00BD71D1"/>
    <w:rsid w:val="00BD72D0"/>
    <w:rsid w:val="00BD7923"/>
    <w:rsid w:val="00BD79BC"/>
    <w:rsid w:val="00BE0326"/>
    <w:rsid w:val="00BE043A"/>
    <w:rsid w:val="00BE04F0"/>
    <w:rsid w:val="00BE051B"/>
    <w:rsid w:val="00BE0C27"/>
    <w:rsid w:val="00BE1432"/>
    <w:rsid w:val="00BE156B"/>
    <w:rsid w:val="00BE1A30"/>
    <w:rsid w:val="00BE1EB9"/>
    <w:rsid w:val="00BE2380"/>
    <w:rsid w:val="00BE2D55"/>
    <w:rsid w:val="00BE336E"/>
    <w:rsid w:val="00BE3C0C"/>
    <w:rsid w:val="00BE5230"/>
    <w:rsid w:val="00BE53ED"/>
    <w:rsid w:val="00BE5737"/>
    <w:rsid w:val="00BE5AD2"/>
    <w:rsid w:val="00BE5F51"/>
    <w:rsid w:val="00BE6216"/>
    <w:rsid w:val="00BE63AD"/>
    <w:rsid w:val="00BE661E"/>
    <w:rsid w:val="00BE66AD"/>
    <w:rsid w:val="00BE6C65"/>
    <w:rsid w:val="00BE6D0A"/>
    <w:rsid w:val="00BE6D16"/>
    <w:rsid w:val="00BE7045"/>
    <w:rsid w:val="00BE71D2"/>
    <w:rsid w:val="00BE726F"/>
    <w:rsid w:val="00BE7A31"/>
    <w:rsid w:val="00BF04C2"/>
    <w:rsid w:val="00BF07D0"/>
    <w:rsid w:val="00BF1097"/>
    <w:rsid w:val="00BF13F2"/>
    <w:rsid w:val="00BF1A25"/>
    <w:rsid w:val="00BF1BAE"/>
    <w:rsid w:val="00BF20C4"/>
    <w:rsid w:val="00BF234D"/>
    <w:rsid w:val="00BF2695"/>
    <w:rsid w:val="00BF293C"/>
    <w:rsid w:val="00BF3543"/>
    <w:rsid w:val="00BF39AC"/>
    <w:rsid w:val="00BF3EB6"/>
    <w:rsid w:val="00BF3ED5"/>
    <w:rsid w:val="00BF4134"/>
    <w:rsid w:val="00BF441D"/>
    <w:rsid w:val="00BF45E8"/>
    <w:rsid w:val="00BF4754"/>
    <w:rsid w:val="00BF4AC6"/>
    <w:rsid w:val="00BF4C73"/>
    <w:rsid w:val="00BF4FA1"/>
    <w:rsid w:val="00BF5335"/>
    <w:rsid w:val="00BF679F"/>
    <w:rsid w:val="00BF6AE8"/>
    <w:rsid w:val="00BF6CEA"/>
    <w:rsid w:val="00BF74EB"/>
    <w:rsid w:val="00BF7B07"/>
    <w:rsid w:val="00BF7E2E"/>
    <w:rsid w:val="00BF7E48"/>
    <w:rsid w:val="00BF7EBD"/>
    <w:rsid w:val="00C00098"/>
    <w:rsid w:val="00C003C9"/>
    <w:rsid w:val="00C00478"/>
    <w:rsid w:val="00C0049A"/>
    <w:rsid w:val="00C004DC"/>
    <w:rsid w:val="00C00570"/>
    <w:rsid w:val="00C00E98"/>
    <w:rsid w:val="00C00EB3"/>
    <w:rsid w:val="00C0125E"/>
    <w:rsid w:val="00C01785"/>
    <w:rsid w:val="00C01867"/>
    <w:rsid w:val="00C01B43"/>
    <w:rsid w:val="00C020AC"/>
    <w:rsid w:val="00C021FD"/>
    <w:rsid w:val="00C026C1"/>
    <w:rsid w:val="00C0283C"/>
    <w:rsid w:val="00C02870"/>
    <w:rsid w:val="00C02B72"/>
    <w:rsid w:val="00C02D14"/>
    <w:rsid w:val="00C0317B"/>
    <w:rsid w:val="00C0334A"/>
    <w:rsid w:val="00C037C3"/>
    <w:rsid w:val="00C03971"/>
    <w:rsid w:val="00C04408"/>
    <w:rsid w:val="00C04FC0"/>
    <w:rsid w:val="00C05020"/>
    <w:rsid w:val="00C052AD"/>
    <w:rsid w:val="00C055DF"/>
    <w:rsid w:val="00C05A60"/>
    <w:rsid w:val="00C05C81"/>
    <w:rsid w:val="00C0695D"/>
    <w:rsid w:val="00C07A35"/>
    <w:rsid w:val="00C07A98"/>
    <w:rsid w:val="00C07AA9"/>
    <w:rsid w:val="00C07BC3"/>
    <w:rsid w:val="00C106B5"/>
    <w:rsid w:val="00C106DB"/>
    <w:rsid w:val="00C107C6"/>
    <w:rsid w:val="00C10A12"/>
    <w:rsid w:val="00C10C1A"/>
    <w:rsid w:val="00C10CC2"/>
    <w:rsid w:val="00C1103A"/>
    <w:rsid w:val="00C1156A"/>
    <w:rsid w:val="00C116F0"/>
    <w:rsid w:val="00C1204A"/>
    <w:rsid w:val="00C12397"/>
    <w:rsid w:val="00C12569"/>
    <w:rsid w:val="00C12C73"/>
    <w:rsid w:val="00C12C9B"/>
    <w:rsid w:val="00C137B7"/>
    <w:rsid w:val="00C13ED8"/>
    <w:rsid w:val="00C13FBA"/>
    <w:rsid w:val="00C14767"/>
    <w:rsid w:val="00C1551B"/>
    <w:rsid w:val="00C15B4B"/>
    <w:rsid w:val="00C15DA9"/>
    <w:rsid w:val="00C161BD"/>
    <w:rsid w:val="00C161EB"/>
    <w:rsid w:val="00C166FC"/>
    <w:rsid w:val="00C16899"/>
    <w:rsid w:val="00C16BC9"/>
    <w:rsid w:val="00C16D49"/>
    <w:rsid w:val="00C170B2"/>
    <w:rsid w:val="00C170B4"/>
    <w:rsid w:val="00C17C5A"/>
    <w:rsid w:val="00C2001C"/>
    <w:rsid w:val="00C208D6"/>
    <w:rsid w:val="00C20B6C"/>
    <w:rsid w:val="00C20CC9"/>
    <w:rsid w:val="00C21418"/>
    <w:rsid w:val="00C21739"/>
    <w:rsid w:val="00C22240"/>
    <w:rsid w:val="00C2267A"/>
    <w:rsid w:val="00C229CB"/>
    <w:rsid w:val="00C22A41"/>
    <w:rsid w:val="00C22DDD"/>
    <w:rsid w:val="00C22F19"/>
    <w:rsid w:val="00C22FF6"/>
    <w:rsid w:val="00C2304E"/>
    <w:rsid w:val="00C23283"/>
    <w:rsid w:val="00C23C3D"/>
    <w:rsid w:val="00C23F8D"/>
    <w:rsid w:val="00C24B86"/>
    <w:rsid w:val="00C24D6C"/>
    <w:rsid w:val="00C25166"/>
    <w:rsid w:val="00C26483"/>
    <w:rsid w:val="00C26A75"/>
    <w:rsid w:val="00C26AAF"/>
    <w:rsid w:val="00C26E83"/>
    <w:rsid w:val="00C26F6A"/>
    <w:rsid w:val="00C26F8C"/>
    <w:rsid w:val="00C278F3"/>
    <w:rsid w:val="00C279D0"/>
    <w:rsid w:val="00C27D5B"/>
    <w:rsid w:val="00C27DA8"/>
    <w:rsid w:val="00C30022"/>
    <w:rsid w:val="00C3070F"/>
    <w:rsid w:val="00C30A1D"/>
    <w:rsid w:val="00C30D30"/>
    <w:rsid w:val="00C30F32"/>
    <w:rsid w:val="00C311C9"/>
    <w:rsid w:val="00C31525"/>
    <w:rsid w:val="00C3190C"/>
    <w:rsid w:val="00C31AD3"/>
    <w:rsid w:val="00C31B2A"/>
    <w:rsid w:val="00C31BDB"/>
    <w:rsid w:val="00C328D7"/>
    <w:rsid w:val="00C32BC6"/>
    <w:rsid w:val="00C32FC2"/>
    <w:rsid w:val="00C32FC3"/>
    <w:rsid w:val="00C3317B"/>
    <w:rsid w:val="00C333F9"/>
    <w:rsid w:val="00C34238"/>
    <w:rsid w:val="00C342A4"/>
    <w:rsid w:val="00C34AA3"/>
    <w:rsid w:val="00C34E8C"/>
    <w:rsid w:val="00C360D6"/>
    <w:rsid w:val="00C36420"/>
    <w:rsid w:val="00C36504"/>
    <w:rsid w:val="00C36BEA"/>
    <w:rsid w:val="00C36BF3"/>
    <w:rsid w:val="00C374C4"/>
    <w:rsid w:val="00C37A29"/>
    <w:rsid w:val="00C37AD4"/>
    <w:rsid w:val="00C37D60"/>
    <w:rsid w:val="00C40006"/>
    <w:rsid w:val="00C402D0"/>
    <w:rsid w:val="00C406C8"/>
    <w:rsid w:val="00C40A4D"/>
    <w:rsid w:val="00C40BBE"/>
    <w:rsid w:val="00C41210"/>
    <w:rsid w:val="00C415F8"/>
    <w:rsid w:val="00C417AD"/>
    <w:rsid w:val="00C419FF"/>
    <w:rsid w:val="00C42119"/>
    <w:rsid w:val="00C423C0"/>
    <w:rsid w:val="00C42DB6"/>
    <w:rsid w:val="00C43326"/>
    <w:rsid w:val="00C438BB"/>
    <w:rsid w:val="00C4399D"/>
    <w:rsid w:val="00C43C3F"/>
    <w:rsid w:val="00C43FC0"/>
    <w:rsid w:val="00C44449"/>
    <w:rsid w:val="00C44776"/>
    <w:rsid w:val="00C44B2C"/>
    <w:rsid w:val="00C4521E"/>
    <w:rsid w:val="00C454B5"/>
    <w:rsid w:val="00C45540"/>
    <w:rsid w:val="00C45648"/>
    <w:rsid w:val="00C45861"/>
    <w:rsid w:val="00C45A46"/>
    <w:rsid w:val="00C46D76"/>
    <w:rsid w:val="00C47022"/>
    <w:rsid w:val="00C476A6"/>
    <w:rsid w:val="00C47A9C"/>
    <w:rsid w:val="00C47D95"/>
    <w:rsid w:val="00C47E6A"/>
    <w:rsid w:val="00C47EF2"/>
    <w:rsid w:val="00C5051A"/>
    <w:rsid w:val="00C50C3D"/>
    <w:rsid w:val="00C50DD1"/>
    <w:rsid w:val="00C514A9"/>
    <w:rsid w:val="00C51CB8"/>
    <w:rsid w:val="00C5214D"/>
    <w:rsid w:val="00C526D8"/>
    <w:rsid w:val="00C528A6"/>
    <w:rsid w:val="00C52A09"/>
    <w:rsid w:val="00C52AB6"/>
    <w:rsid w:val="00C52D76"/>
    <w:rsid w:val="00C53204"/>
    <w:rsid w:val="00C534CD"/>
    <w:rsid w:val="00C537EB"/>
    <w:rsid w:val="00C5386F"/>
    <w:rsid w:val="00C53B75"/>
    <w:rsid w:val="00C53ECF"/>
    <w:rsid w:val="00C557DD"/>
    <w:rsid w:val="00C55D3B"/>
    <w:rsid w:val="00C55ED5"/>
    <w:rsid w:val="00C562B2"/>
    <w:rsid w:val="00C56BEF"/>
    <w:rsid w:val="00C56EE6"/>
    <w:rsid w:val="00C56F7A"/>
    <w:rsid w:val="00C570AD"/>
    <w:rsid w:val="00C57243"/>
    <w:rsid w:val="00C57CD7"/>
    <w:rsid w:val="00C60818"/>
    <w:rsid w:val="00C60BAC"/>
    <w:rsid w:val="00C614D6"/>
    <w:rsid w:val="00C6184C"/>
    <w:rsid w:val="00C618F7"/>
    <w:rsid w:val="00C62134"/>
    <w:rsid w:val="00C622A1"/>
    <w:rsid w:val="00C62572"/>
    <w:rsid w:val="00C6290F"/>
    <w:rsid w:val="00C62A1A"/>
    <w:rsid w:val="00C633CD"/>
    <w:rsid w:val="00C63E5C"/>
    <w:rsid w:val="00C63F32"/>
    <w:rsid w:val="00C6422F"/>
    <w:rsid w:val="00C649A5"/>
    <w:rsid w:val="00C64E12"/>
    <w:rsid w:val="00C64F32"/>
    <w:rsid w:val="00C64FD1"/>
    <w:rsid w:val="00C6543A"/>
    <w:rsid w:val="00C654B2"/>
    <w:rsid w:val="00C65C79"/>
    <w:rsid w:val="00C662EB"/>
    <w:rsid w:val="00C665F6"/>
    <w:rsid w:val="00C67500"/>
    <w:rsid w:val="00C67CE6"/>
    <w:rsid w:val="00C67DD1"/>
    <w:rsid w:val="00C70106"/>
    <w:rsid w:val="00C7028E"/>
    <w:rsid w:val="00C70726"/>
    <w:rsid w:val="00C70A48"/>
    <w:rsid w:val="00C70A75"/>
    <w:rsid w:val="00C71D67"/>
    <w:rsid w:val="00C72074"/>
    <w:rsid w:val="00C72342"/>
    <w:rsid w:val="00C723CE"/>
    <w:rsid w:val="00C7258F"/>
    <w:rsid w:val="00C728A1"/>
    <w:rsid w:val="00C735CF"/>
    <w:rsid w:val="00C748BA"/>
    <w:rsid w:val="00C74A95"/>
    <w:rsid w:val="00C74BD8"/>
    <w:rsid w:val="00C74EA9"/>
    <w:rsid w:val="00C75020"/>
    <w:rsid w:val="00C7504E"/>
    <w:rsid w:val="00C75232"/>
    <w:rsid w:val="00C756AD"/>
    <w:rsid w:val="00C757DD"/>
    <w:rsid w:val="00C75C00"/>
    <w:rsid w:val="00C76150"/>
    <w:rsid w:val="00C76296"/>
    <w:rsid w:val="00C76446"/>
    <w:rsid w:val="00C764B1"/>
    <w:rsid w:val="00C769D5"/>
    <w:rsid w:val="00C76AAA"/>
    <w:rsid w:val="00C76BE9"/>
    <w:rsid w:val="00C7715B"/>
    <w:rsid w:val="00C776A7"/>
    <w:rsid w:val="00C77DF6"/>
    <w:rsid w:val="00C77F2A"/>
    <w:rsid w:val="00C80209"/>
    <w:rsid w:val="00C802DA"/>
    <w:rsid w:val="00C808F6"/>
    <w:rsid w:val="00C81548"/>
    <w:rsid w:val="00C81AFE"/>
    <w:rsid w:val="00C820F8"/>
    <w:rsid w:val="00C82278"/>
    <w:rsid w:val="00C82E6E"/>
    <w:rsid w:val="00C831A9"/>
    <w:rsid w:val="00C8368B"/>
    <w:rsid w:val="00C83DEA"/>
    <w:rsid w:val="00C84098"/>
    <w:rsid w:val="00C8447C"/>
    <w:rsid w:val="00C84666"/>
    <w:rsid w:val="00C849DF"/>
    <w:rsid w:val="00C84C5E"/>
    <w:rsid w:val="00C854BE"/>
    <w:rsid w:val="00C85551"/>
    <w:rsid w:val="00C855F8"/>
    <w:rsid w:val="00C861A0"/>
    <w:rsid w:val="00C864D1"/>
    <w:rsid w:val="00C866E2"/>
    <w:rsid w:val="00C86ACD"/>
    <w:rsid w:val="00C86DD6"/>
    <w:rsid w:val="00C86E48"/>
    <w:rsid w:val="00C87077"/>
    <w:rsid w:val="00C8718D"/>
    <w:rsid w:val="00C871A3"/>
    <w:rsid w:val="00C87456"/>
    <w:rsid w:val="00C877C7"/>
    <w:rsid w:val="00C87B66"/>
    <w:rsid w:val="00C9127E"/>
    <w:rsid w:val="00C9164A"/>
    <w:rsid w:val="00C91BD2"/>
    <w:rsid w:val="00C91DD5"/>
    <w:rsid w:val="00C91E74"/>
    <w:rsid w:val="00C91EA0"/>
    <w:rsid w:val="00C92246"/>
    <w:rsid w:val="00C92661"/>
    <w:rsid w:val="00C929E2"/>
    <w:rsid w:val="00C93AF6"/>
    <w:rsid w:val="00C9437C"/>
    <w:rsid w:val="00C94461"/>
    <w:rsid w:val="00C9472A"/>
    <w:rsid w:val="00C948C1"/>
    <w:rsid w:val="00C95861"/>
    <w:rsid w:val="00C95D17"/>
    <w:rsid w:val="00C96125"/>
    <w:rsid w:val="00C968E4"/>
    <w:rsid w:val="00C96997"/>
    <w:rsid w:val="00C9700F"/>
    <w:rsid w:val="00C973C9"/>
    <w:rsid w:val="00C9744F"/>
    <w:rsid w:val="00C977F0"/>
    <w:rsid w:val="00C978E4"/>
    <w:rsid w:val="00CA09CB"/>
    <w:rsid w:val="00CA0DA1"/>
    <w:rsid w:val="00CA15B8"/>
    <w:rsid w:val="00CA1EF9"/>
    <w:rsid w:val="00CA227B"/>
    <w:rsid w:val="00CA24BB"/>
    <w:rsid w:val="00CA256C"/>
    <w:rsid w:val="00CA27E9"/>
    <w:rsid w:val="00CA2B10"/>
    <w:rsid w:val="00CA2EBB"/>
    <w:rsid w:val="00CA2F20"/>
    <w:rsid w:val="00CA386D"/>
    <w:rsid w:val="00CA3B2C"/>
    <w:rsid w:val="00CA3ED0"/>
    <w:rsid w:val="00CA48D8"/>
    <w:rsid w:val="00CA4A07"/>
    <w:rsid w:val="00CA4C98"/>
    <w:rsid w:val="00CA52C4"/>
    <w:rsid w:val="00CA5994"/>
    <w:rsid w:val="00CA599F"/>
    <w:rsid w:val="00CA5D56"/>
    <w:rsid w:val="00CA648F"/>
    <w:rsid w:val="00CA7844"/>
    <w:rsid w:val="00CA78B0"/>
    <w:rsid w:val="00CA7BB4"/>
    <w:rsid w:val="00CA7BFC"/>
    <w:rsid w:val="00CA7DF6"/>
    <w:rsid w:val="00CA7EAA"/>
    <w:rsid w:val="00CB06C7"/>
    <w:rsid w:val="00CB0860"/>
    <w:rsid w:val="00CB0866"/>
    <w:rsid w:val="00CB0AFB"/>
    <w:rsid w:val="00CB11F6"/>
    <w:rsid w:val="00CB14F5"/>
    <w:rsid w:val="00CB1BC6"/>
    <w:rsid w:val="00CB1C82"/>
    <w:rsid w:val="00CB1D3D"/>
    <w:rsid w:val="00CB1F6A"/>
    <w:rsid w:val="00CB2219"/>
    <w:rsid w:val="00CB22AB"/>
    <w:rsid w:val="00CB2748"/>
    <w:rsid w:val="00CB30B3"/>
    <w:rsid w:val="00CB33E5"/>
    <w:rsid w:val="00CB362A"/>
    <w:rsid w:val="00CB3863"/>
    <w:rsid w:val="00CB3B51"/>
    <w:rsid w:val="00CB3D80"/>
    <w:rsid w:val="00CB40FD"/>
    <w:rsid w:val="00CB43FA"/>
    <w:rsid w:val="00CB469F"/>
    <w:rsid w:val="00CB48A4"/>
    <w:rsid w:val="00CB48F4"/>
    <w:rsid w:val="00CB4EFE"/>
    <w:rsid w:val="00CB5086"/>
    <w:rsid w:val="00CB52DD"/>
    <w:rsid w:val="00CB59EF"/>
    <w:rsid w:val="00CB5BCC"/>
    <w:rsid w:val="00CB5BFE"/>
    <w:rsid w:val="00CB5D01"/>
    <w:rsid w:val="00CB5F94"/>
    <w:rsid w:val="00CB6664"/>
    <w:rsid w:val="00CB6879"/>
    <w:rsid w:val="00CB6AB7"/>
    <w:rsid w:val="00CB6BC2"/>
    <w:rsid w:val="00CB7266"/>
    <w:rsid w:val="00CB72F4"/>
    <w:rsid w:val="00CB7415"/>
    <w:rsid w:val="00CB7808"/>
    <w:rsid w:val="00CB7885"/>
    <w:rsid w:val="00CC0A21"/>
    <w:rsid w:val="00CC0C61"/>
    <w:rsid w:val="00CC0E88"/>
    <w:rsid w:val="00CC13C4"/>
    <w:rsid w:val="00CC15D4"/>
    <w:rsid w:val="00CC22EC"/>
    <w:rsid w:val="00CC278A"/>
    <w:rsid w:val="00CC288D"/>
    <w:rsid w:val="00CC2FFB"/>
    <w:rsid w:val="00CC3061"/>
    <w:rsid w:val="00CC339C"/>
    <w:rsid w:val="00CC3754"/>
    <w:rsid w:val="00CC39A9"/>
    <w:rsid w:val="00CC3A02"/>
    <w:rsid w:val="00CC3AB1"/>
    <w:rsid w:val="00CC5184"/>
    <w:rsid w:val="00CC5ADD"/>
    <w:rsid w:val="00CC61CE"/>
    <w:rsid w:val="00CC6850"/>
    <w:rsid w:val="00CC6ACF"/>
    <w:rsid w:val="00CC7014"/>
    <w:rsid w:val="00CC71AC"/>
    <w:rsid w:val="00CC72A1"/>
    <w:rsid w:val="00CC7798"/>
    <w:rsid w:val="00CC78E0"/>
    <w:rsid w:val="00CC7ABF"/>
    <w:rsid w:val="00CD0473"/>
    <w:rsid w:val="00CD093E"/>
    <w:rsid w:val="00CD0B7F"/>
    <w:rsid w:val="00CD131E"/>
    <w:rsid w:val="00CD139D"/>
    <w:rsid w:val="00CD1576"/>
    <w:rsid w:val="00CD1B70"/>
    <w:rsid w:val="00CD24D8"/>
    <w:rsid w:val="00CD2671"/>
    <w:rsid w:val="00CD26FE"/>
    <w:rsid w:val="00CD2A8B"/>
    <w:rsid w:val="00CD2D0F"/>
    <w:rsid w:val="00CD31AE"/>
    <w:rsid w:val="00CD3609"/>
    <w:rsid w:val="00CD3624"/>
    <w:rsid w:val="00CD3C1F"/>
    <w:rsid w:val="00CD3C31"/>
    <w:rsid w:val="00CD3D21"/>
    <w:rsid w:val="00CD3DE7"/>
    <w:rsid w:val="00CD3EDF"/>
    <w:rsid w:val="00CD410E"/>
    <w:rsid w:val="00CD445D"/>
    <w:rsid w:val="00CD481B"/>
    <w:rsid w:val="00CD4959"/>
    <w:rsid w:val="00CD5D1D"/>
    <w:rsid w:val="00CD60AE"/>
    <w:rsid w:val="00CD6160"/>
    <w:rsid w:val="00CD66B9"/>
    <w:rsid w:val="00CD6869"/>
    <w:rsid w:val="00CD6D84"/>
    <w:rsid w:val="00CD72F8"/>
    <w:rsid w:val="00CD732D"/>
    <w:rsid w:val="00CD74DB"/>
    <w:rsid w:val="00CD760C"/>
    <w:rsid w:val="00CD77BF"/>
    <w:rsid w:val="00CD7C99"/>
    <w:rsid w:val="00CE06B2"/>
    <w:rsid w:val="00CE09EC"/>
    <w:rsid w:val="00CE0D38"/>
    <w:rsid w:val="00CE1135"/>
    <w:rsid w:val="00CE12BB"/>
    <w:rsid w:val="00CE174F"/>
    <w:rsid w:val="00CE1DD1"/>
    <w:rsid w:val="00CE2078"/>
    <w:rsid w:val="00CE23CC"/>
    <w:rsid w:val="00CE2416"/>
    <w:rsid w:val="00CE245B"/>
    <w:rsid w:val="00CE267E"/>
    <w:rsid w:val="00CE371B"/>
    <w:rsid w:val="00CE3BC7"/>
    <w:rsid w:val="00CE3F87"/>
    <w:rsid w:val="00CE453B"/>
    <w:rsid w:val="00CE45B0"/>
    <w:rsid w:val="00CE4725"/>
    <w:rsid w:val="00CE4752"/>
    <w:rsid w:val="00CE4BC7"/>
    <w:rsid w:val="00CE4E4E"/>
    <w:rsid w:val="00CE5ACA"/>
    <w:rsid w:val="00CE5D02"/>
    <w:rsid w:val="00CE5E55"/>
    <w:rsid w:val="00CE5F44"/>
    <w:rsid w:val="00CE5F7C"/>
    <w:rsid w:val="00CE654B"/>
    <w:rsid w:val="00CE66EB"/>
    <w:rsid w:val="00CE6708"/>
    <w:rsid w:val="00CE6BF8"/>
    <w:rsid w:val="00CE793A"/>
    <w:rsid w:val="00CE79EA"/>
    <w:rsid w:val="00CE7B61"/>
    <w:rsid w:val="00CF0074"/>
    <w:rsid w:val="00CF03FA"/>
    <w:rsid w:val="00CF042F"/>
    <w:rsid w:val="00CF0457"/>
    <w:rsid w:val="00CF0477"/>
    <w:rsid w:val="00CF0E52"/>
    <w:rsid w:val="00CF1047"/>
    <w:rsid w:val="00CF1306"/>
    <w:rsid w:val="00CF13FC"/>
    <w:rsid w:val="00CF146D"/>
    <w:rsid w:val="00CF1638"/>
    <w:rsid w:val="00CF1BCF"/>
    <w:rsid w:val="00CF2357"/>
    <w:rsid w:val="00CF240A"/>
    <w:rsid w:val="00CF24A0"/>
    <w:rsid w:val="00CF2D6D"/>
    <w:rsid w:val="00CF2F91"/>
    <w:rsid w:val="00CF302E"/>
    <w:rsid w:val="00CF3200"/>
    <w:rsid w:val="00CF337C"/>
    <w:rsid w:val="00CF363A"/>
    <w:rsid w:val="00CF3E15"/>
    <w:rsid w:val="00CF433D"/>
    <w:rsid w:val="00CF579E"/>
    <w:rsid w:val="00CF58EF"/>
    <w:rsid w:val="00CF5954"/>
    <w:rsid w:val="00CF59B4"/>
    <w:rsid w:val="00CF5AED"/>
    <w:rsid w:val="00CF5B5C"/>
    <w:rsid w:val="00CF6160"/>
    <w:rsid w:val="00CF62E4"/>
    <w:rsid w:val="00CF711B"/>
    <w:rsid w:val="00CF7394"/>
    <w:rsid w:val="00CF75D2"/>
    <w:rsid w:val="00D0052F"/>
    <w:rsid w:val="00D008F3"/>
    <w:rsid w:val="00D01371"/>
    <w:rsid w:val="00D01822"/>
    <w:rsid w:val="00D01D47"/>
    <w:rsid w:val="00D028A5"/>
    <w:rsid w:val="00D02ACB"/>
    <w:rsid w:val="00D02BAE"/>
    <w:rsid w:val="00D02E5A"/>
    <w:rsid w:val="00D03209"/>
    <w:rsid w:val="00D03E12"/>
    <w:rsid w:val="00D04E20"/>
    <w:rsid w:val="00D04E3C"/>
    <w:rsid w:val="00D04E49"/>
    <w:rsid w:val="00D04E50"/>
    <w:rsid w:val="00D04E70"/>
    <w:rsid w:val="00D0513A"/>
    <w:rsid w:val="00D055B1"/>
    <w:rsid w:val="00D05973"/>
    <w:rsid w:val="00D05BCE"/>
    <w:rsid w:val="00D05DD5"/>
    <w:rsid w:val="00D0602E"/>
    <w:rsid w:val="00D0640E"/>
    <w:rsid w:val="00D06694"/>
    <w:rsid w:val="00D0675E"/>
    <w:rsid w:val="00D06782"/>
    <w:rsid w:val="00D06A24"/>
    <w:rsid w:val="00D06DB1"/>
    <w:rsid w:val="00D074B9"/>
    <w:rsid w:val="00D0793F"/>
    <w:rsid w:val="00D104B6"/>
    <w:rsid w:val="00D109C8"/>
    <w:rsid w:val="00D10B6E"/>
    <w:rsid w:val="00D10DB1"/>
    <w:rsid w:val="00D1130B"/>
    <w:rsid w:val="00D11348"/>
    <w:rsid w:val="00D11711"/>
    <w:rsid w:val="00D117C6"/>
    <w:rsid w:val="00D11812"/>
    <w:rsid w:val="00D1188D"/>
    <w:rsid w:val="00D118FB"/>
    <w:rsid w:val="00D11C72"/>
    <w:rsid w:val="00D11D28"/>
    <w:rsid w:val="00D126AD"/>
    <w:rsid w:val="00D126EA"/>
    <w:rsid w:val="00D13468"/>
    <w:rsid w:val="00D13714"/>
    <w:rsid w:val="00D13944"/>
    <w:rsid w:val="00D13C0B"/>
    <w:rsid w:val="00D13F47"/>
    <w:rsid w:val="00D140CD"/>
    <w:rsid w:val="00D148D3"/>
    <w:rsid w:val="00D14957"/>
    <w:rsid w:val="00D14B3A"/>
    <w:rsid w:val="00D14B3F"/>
    <w:rsid w:val="00D14B60"/>
    <w:rsid w:val="00D14BD7"/>
    <w:rsid w:val="00D14F1B"/>
    <w:rsid w:val="00D15154"/>
    <w:rsid w:val="00D151F1"/>
    <w:rsid w:val="00D152A3"/>
    <w:rsid w:val="00D15A84"/>
    <w:rsid w:val="00D15C88"/>
    <w:rsid w:val="00D15E4F"/>
    <w:rsid w:val="00D16117"/>
    <w:rsid w:val="00D161DD"/>
    <w:rsid w:val="00D16268"/>
    <w:rsid w:val="00D1642F"/>
    <w:rsid w:val="00D1658B"/>
    <w:rsid w:val="00D16757"/>
    <w:rsid w:val="00D1718A"/>
    <w:rsid w:val="00D175B2"/>
    <w:rsid w:val="00D175F9"/>
    <w:rsid w:val="00D1762B"/>
    <w:rsid w:val="00D17862"/>
    <w:rsid w:val="00D17ACA"/>
    <w:rsid w:val="00D17B35"/>
    <w:rsid w:val="00D17BD9"/>
    <w:rsid w:val="00D203AD"/>
    <w:rsid w:val="00D2063C"/>
    <w:rsid w:val="00D206BD"/>
    <w:rsid w:val="00D20A7B"/>
    <w:rsid w:val="00D20F1C"/>
    <w:rsid w:val="00D20FE9"/>
    <w:rsid w:val="00D21297"/>
    <w:rsid w:val="00D21A25"/>
    <w:rsid w:val="00D21A7A"/>
    <w:rsid w:val="00D21C53"/>
    <w:rsid w:val="00D21DEB"/>
    <w:rsid w:val="00D21F42"/>
    <w:rsid w:val="00D22674"/>
    <w:rsid w:val="00D22F28"/>
    <w:rsid w:val="00D232D7"/>
    <w:rsid w:val="00D23370"/>
    <w:rsid w:val="00D23561"/>
    <w:rsid w:val="00D23572"/>
    <w:rsid w:val="00D23881"/>
    <w:rsid w:val="00D2398F"/>
    <w:rsid w:val="00D23A00"/>
    <w:rsid w:val="00D23B9B"/>
    <w:rsid w:val="00D24296"/>
    <w:rsid w:val="00D24974"/>
    <w:rsid w:val="00D254A3"/>
    <w:rsid w:val="00D2597A"/>
    <w:rsid w:val="00D25F10"/>
    <w:rsid w:val="00D25F2C"/>
    <w:rsid w:val="00D2635A"/>
    <w:rsid w:val="00D26AC5"/>
    <w:rsid w:val="00D26C04"/>
    <w:rsid w:val="00D26C5F"/>
    <w:rsid w:val="00D27007"/>
    <w:rsid w:val="00D305EA"/>
    <w:rsid w:val="00D30608"/>
    <w:rsid w:val="00D30EC8"/>
    <w:rsid w:val="00D310DE"/>
    <w:rsid w:val="00D3123F"/>
    <w:rsid w:val="00D31B58"/>
    <w:rsid w:val="00D31CF5"/>
    <w:rsid w:val="00D32120"/>
    <w:rsid w:val="00D32B9F"/>
    <w:rsid w:val="00D32BDD"/>
    <w:rsid w:val="00D32E94"/>
    <w:rsid w:val="00D333C0"/>
    <w:rsid w:val="00D334FC"/>
    <w:rsid w:val="00D33CD7"/>
    <w:rsid w:val="00D33D0D"/>
    <w:rsid w:val="00D34079"/>
    <w:rsid w:val="00D35372"/>
    <w:rsid w:val="00D356C7"/>
    <w:rsid w:val="00D356CD"/>
    <w:rsid w:val="00D35AB2"/>
    <w:rsid w:val="00D370A3"/>
    <w:rsid w:val="00D3777C"/>
    <w:rsid w:val="00D4027B"/>
    <w:rsid w:val="00D402B6"/>
    <w:rsid w:val="00D402D2"/>
    <w:rsid w:val="00D4074C"/>
    <w:rsid w:val="00D40855"/>
    <w:rsid w:val="00D41E98"/>
    <w:rsid w:val="00D4207C"/>
    <w:rsid w:val="00D42089"/>
    <w:rsid w:val="00D420B7"/>
    <w:rsid w:val="00D4249C"/>
    <w:rsid w:val="00D425FC"/>
    <w:rsid w:val="00D43133"/>
    <w:rsid w:val="00D43A4B"/>
    <w:rsid w:val="00D44361"/>
    <w:rsid w:val="00D44466"/>
    <w:rsid w:val="00D44944"/>
    <w:rsid w:val="00D44C7F"/>
    <w:rsid w:val="00D44F5A"/>
    <w:rsid w:val="00D45888"/>
    <w:rsid w:val="00D45BE7"/>
    <w:rsid w:val="00D46315"/>
    <w:rsid w:val="00D46503"/>
    <w:rsid w:val="00D465CB"/>
    <w:rsid w:val="00D46724"/>
    <w:rsid w:val="00D46777"/>
    <w:rsid w:val="00D473D5"/>
    <w:rsid w:val="00D474E6"/>
    <w:rsid w:val="00D47507"/>
    <w:rsid w:val="00D4763E"/>
    <w:rsid w:val="00D47770"/>
    <w:rsid w:val="00D47A71"/>
    <w:rsid w:val="00D47AA1"/>
    <w:rsid w:val="00D47BAB"/>
    <w:rsid w:val="00D47DBF"/>
    <w:rsid w:val="00D50244"/>
    <w:rsid w:val="00D50274"/>
    <w:rsid w:val="00D50CF9"/>
    <w:rsid w:val="00D51245"/>
    <w:rsid w:val="00D517A4"/>
    <w:rsid w:val="00D52229"/>
    <w:rsid w:val="00D52403"/>
    <w:rsid w:val="00D52697"/>
    <w:rsid w:val="00D52744"/>
    <w:rsid w:val="00D5283C"/>
    <w:rsid w:val="00D53177"/>
    <w:rsid w:val="00D5392C"/>
    <w:rsid w:val="00D53C69"/>
    <w:rsid w:val="00D5478E"/>
    <w:rsid w:val="00D54C2C"/>
    <w:rsid w:val="00D54E48"/>
    <w:rsid w:val="00D5527B"/>
    <w:rsid w:val="00D557AA"/>
    <w:rsid w:val="00D560B2"/>
    <w:rsid w:val="00D5621A"/>
    <w:rsid w:val="00D56BCB"/>
    <w:rsid w:val="00D56EA5"/>
    <w:rsid w:val="00D56F1C"/>
    <w:rsid w:val="00D5737C"/>
    <w:rsid w:val="00D57385"/>
    <w:rsid w:val="00D578D1"/>
    <w:rsid w:val="00D579CA"/>
    <w:rsid w:val="00D600B6"/>
    <w:rsid w:val="00D6065B"/>
    <w:rsid w:val="00D60AE3"/>
    <w:rsid w:val="00D60E1F"/>
    <w:rsid w:val="00D60F7C"/>
    <w:rsid w:val="00D61594"/>
    <w:rsid w:val="00D61885"/>
    <w:rsid w:val="00D619AE"/>
    <w:rsid w:val="00D62182"/>
    <w:rsid w:val="00D6245F"/>
    <w:rsid w:val="00D6246F"/>
    <w:rsid w:val="00D62866"/>
    <w:rsid w:val="00D62B3C"/>
    <w:rsid w:val="00D62E11"/>
    <w:rsid w:val="00D63A05"/>
    <w:rsid w:val="00D63B16"/>
    <w:rsid w:val="00D63DAB"/>
    <w:rsid w:val="00D6422D"/>
    <w:rsid w:val="00D6483F"/>
    <w:rsid w:val="00D64887"/>
    <w:rsid w:val="00D64BE7"/>
    <w:rsid w:val="00D65457"/>
    <w:rsid w:val="00D6553D"/>
    <w:rsid w:val="00D6589D"/>
    <w:rsid w:val="00D65975"/>
    <w:rsid w:val="00D65B63"/>
    <w:rsid w:val="00D65C10"/>
    <w:rsid w:val="00D65F29"/>
    <w:rsid w:val="00D661AD"/>
    <w:rsid w:val="00D66825"/>
    <w:rsid w:val="00D66CBE"/>
    <w:rsid w:val="00D670A9"/>
    <w:rsid w:val="00D678D5"/>
    <w:rsid w:val="00D67AC2"/>
    <w:rsid w:val="00D67B56"/>
    <w:rsid w:val="00D7056C"/>
    <w:rsid w:val="00D705A8"/>
    <w:rsid w:val="00D70798"/>
    <w:rsid w:val="00D709DB"/>
    <w:rsid w:val="00D7115A"/>
    <w:rsid w:val="00D718CC"/>
    <w:rsid w:val="00D71F2D"/>
    <w:rsid w:val="00D71F60"/>
    <w:rsid w:val="00D7283B"/>
    <w:rsid w:val="00D72AC6"/>
    <w:rsid w:val="00D72E5F"/>
    <w:rsid w:val="00D7319C"/>
    <w:rsid w:val="00D73A47"/>
    <w:rsid w:val="00D73B22"/>
    <w:rsid w:val="00D74161"/>
    <w:rsid w:val="00D741B2"/>
    <w:rsid w:val="00D744A9"/>
    <w:rsid w:val="00D74687"/>
    <w:rsid w:val="00D75558"/>
    <w:rsid w:val="00D755D9"/>
    <w:rsid w:val="00D758AE"/>
    <w:rsid w:val="00D75D3B"/>
    <w:rsid w:val="00D7611B"/>
    <w:rsid w:val="00D76822"/>
    <w:rsid w:val="00D76D7A"/>
    <w:rsid w:val="00D770F4"/>
    <w:rsid w:val="00D7726F"/>
    <w:rsid w:val="00D77EA3"/>
    <w:rsid w:val="00D80271"/>
    <w:rsid w:val="00D803D5"/>
    <w:rsid w:val="00D80D74"/>
    <w:rsid w:val="00D8136E"/>
    <w:rsid w:val="00D81919"/>
    <w:rsid w:val="00D81CC6"/>
    <w:rsid w:val="00D81F15"/>
    <w:rsid w:val="00D822C1"/>
    <w:rsid w:val="00D82545"/>
    <w:rsid w:val="00D825AC"/>
    <w:rsid w:val="00D82710"/>
    <w:rsid w:val="00D827E8"/>
    <w:rsid w:val="00D82B13"/>
    <w:rsid w:val="00D82C5B"/>
    <w:rsid w:val="00D83678"/>
    <w:rsid w:val="00D83695"/>
    <w:rsid w:val="00D838EA"/>
    <w:rsid w:val="00D83AE8"/>
    <w:rsid w:val="00D83BF6"/>
    <w:rsid w:val="00D83C72"/>
    <w:rsid w:val="00D83C91"/>
    <w:rsid w:val="00D842B2"/>
    <w:rsid w:val="00D84332"/>
    <w:rsid w:val="00D845B4"/>
    <w:rsid w:val="00D85A07"/>
    <w:rsid w:val="00D85B0E"/>
    <w:rsid w:val="00D85C58"/>
    <w:rsid w:val="00D85D09"/>
    <w:rsid w:val="00D85DA4"/>
    <w:rsid w:val="00D85EC6"/>
    <w:rsid w:val="00D8651F"/>
    <w:rsid w:val="00D86BAA"/>
    <w:rsid w:val="00D86C69"/>
    <w:rsid w:val="00D876BF"/>
    <w:rsid w:val="00D877B8"/>
    <w:rsid w:val="00D87AAB"/>
    <w:rsid w:val="00D87D4D"/>
    <w:rsid w:val="00D87D5D"/>
    <w:rsid w:val="00D87DE1"/>
    <w:rsid w:val="00D908C1"/>
    <w:rsid w:val="00D908D6"/>
    <w:rsid w:val="00D90DF9"/>
    <w:rsid w:val="00D92415"/>
    <w:rsid w:val="00D926E4"/>
    <w:rsid w:val="00D92B9D"/>
    <w:rsid w:val="00D92BC3"/>
    <w:rsid w:val="00D92CC4"/>
    <w:rsid w:val="00D93604"/>
    <w:rsid w:val="00D9377E"/>
    <w:rsid w:val="00D93B2D"/>
    <w:rsid w:val="00D941A7"/>
    <w:rsid w:val="00D947F1"/>
    <w:rsid w:val="00D949F3"/>
    <w:rsid w:val="00D94CAF"/>
    <w:rsid w:val="00D952F2"/>
    <w:rsid w:val="00D95840"/>
    <w:rsid w:val="00D9624C"/>
    <w:rsid w:val="00D963D4"/>
    <w:rsid w:val="00D96AF7"/>
    <w:rsid w:val="00D96BBA"/>
    <w:rsid w:val="00D96F10"/>
    <w:rsid w:val="00D97C2B"/>
    <w:rsid w:val="00DA0689"/>
    <w:rsid w:val="00DA09CF"/>
    <w:rsid w:val="00DA12C3"/>
    <w:rsid w:val="00DA14BF"/>
    <w:rsid w:val="00DA1912"/>
    <w:rsid w:val="00DA2408"/>
    <w:rsid w:val="00DA24E4"/>
    <w:rsid w:val="00DA2534"/>
    <w:rsid w:val="00DA2572"/>
    <w:rsid w:val="00DA266B"/>
    <w:rsid w:val="00DA275B"/>
    <w:rsid w:val="00DA2CD8"/>
    <w:rsid w:val="00DA304B"/>
    <w:rsid w:val="00DA33F8"/>
    <w:rsid w:val="00DA488D"/>
    <w:rsid w:val="00DA49DB"/>
    <w:rsid w:val="00DA4F60"/>
    <w:rsid w:val="00DA50D5"/>
    <w:rsid w:val="00DA5175"/>
    <w:rsid w:val="00DA5D08"/>
    <w:rsid w:val="00DA5FA1"/>
    <w:rsid w:val="00DA61F5"/>
    <w:rsid w:val="00DA63BA"/>
    <w:rsid w:val="00DA66D3"/>
    <w:rsid w:val="00DA6892"/>
    <w:rsid w:val="00DA6AB3"/>
    <w:rsid w:val="00DA6FF3"/>
    <w:rsid w:val="00DA75BE"/>
    <w:rsid w:val="00DA7BB2"/>
    <w:rsid w:val="00DB00A5"/>
    <w:rsid w:val="00DB039E"/>
    <w:rsid w:val="00DB0401"/>
    <w:rsid w:val="00DB045A"/>
    <w:rsid w:val="00DB08A3"/>
    <w:rsid w:val="00DB0AD2"/>
    <w:rsid w:val="00DB0CB1"/>
    <w:rsid w:val="00DB12BD"/>
    <w:rsid w:val="00DB12F5"/>
    <w:rsid w:val="00DB1769"/>
    <w:rsid w:val="00DB2C7C"/>
    <w:rsid w:val="00DB364C"/>
    <w:rsid w:val="00DB410E"/>
    <w:rsid w:val="00DB41EC"/>
    <w:rsid w:val="00DB4290"/>
    <w:rsid w:val="00DB4777"/>
    <w:rsid w:val="00DB4A3E"/>
    <w:rsid w:val="00DB4D5C"/>
    <w:rsid w:val="00DB6026"/>
    <w:rsid w:val="00DB6919"/>
    <w:rsid w:val="00DB6ADD"/>
    <w:rsid w:val="00DB6DA3"/>
    <w:rsid w:val="00DB6F50"/>
    <w:rsid w:val="00DB71FF"/>
    <w:rsid w:val="00DB7443"/>
    <w:rsid w:val="00DC00D1"/>
    <w:rsid w:val="00DC0346"/>
    <w:rsid w:val="00DC038F"/>
    <w:rsid w:val="00DC07E7"/>
    <w:rsid w:val="00DC0B80"/>
    <w:rsid w:val="00DC10AA"/>
    <w:rsid w:val="00DC10B0"/>
    <w:rsid w:val="00DC10BE"/>
    <w:rsid w:val="00DC184E"/>
    <w:rsid w:val="00DC1BFD"/>
    <w:rsid w:val="00DC27E0"/>
    <w:rsid w:val="00DC28F6"/>
    <w:rsid w:val="00DC29ED"/>
    <w:rsid w:val="00DC2BA0"/>
    <w:rsid w:val="00DC34EB"/>
    <w:rsid w:val="00DC35B8"/>
    <w:rsid w:val="00DC371B"/>
    <w:rsid w:val="00DC3793"/>
    <w:rsid w:val="00DC39A2"/>
    <w:rsid w:val="00DC3F87"/>
    <w:rsid w:val="00DC4962"/>
    <w:rsid w:val="00DC4F0D"/>
    <w:rsid w:val="00DC4F1A"/>
    <w:rsid w:val="00DC4F69"/>
    <w:rsid w:val="00DC4FBD"/>
    <w:rsid w:val="00DC5015"/>
    <w:rsid w:val="00DC52F7"/>
    <w:rsid w:val="00DC55BD"/>
    <w:rsid w:val="00DC59B1"/>
    <w:rsid w:val="00DC5A51"/>
    <w:rsid w:val="00DC5D84"/>
    <w:rsid w:val="00DC6346"/>
    <w:rsid w:val="00DC6548"/>
    <w:rsid w:val="00DC6991"/>
    <w:rsid w:val="00DC6B80"/>
    <w:rsid w:val="00DC7A9F"/>
    <w:rsid w:val="00DC7E22"/>
    <w:rsid w:val="00DD065B"/>
    <w:rsid w:val="00DD0C85"/>
    <w:rsid w:val="00DD0CC5"/>
    <w:rsid w:val="00DD1025"/>
    <w:rsid w:val="00DD105E"/>
    <w:rsid w:val="00DD10DA"/>
    <w:rsid w:val="00DD150F"/>
    <w:rsid w:val="00DD18B8"/>
    <w:rsid w:val="00DD2078"/>
    <w:rsid w:val="00DD2509"/>
    <w:rsid w:val="00DD2811"/>
    <w:rsid w:val="00DD295A"/>
    <w:rsid w:val="00DD29D1"/>
    <w:rsid w:val="00DD2B6D"/>
    <w:rsid w:val="00DD2B90"/>
    <w:rsid w:val="00DD2C89"/>
    <w:rsid w:val="00DD2DA8"/>
    <w:rsid w:val="00DD2EDA"/>
    <w:rsid w:val="00DD2F84"/>
    <w:rsid w:val="00DD3451"/>
    <w:rsid w:val="00DD3BAE"/>
    <w:rsid w:val="00DD419E"/>
    <w:rsid w:val="00DD4361"/>
    <w:rsid w:val="00DD45EA"/>
    <w:rsid w:val="00DD4F22"/>
    <w:rsid w:val="00DD54DE"/>
    <w:rsid w:val="00DD5534"/>
    <w:rsid w:val="00DD565F"/>
    <w:rsid w:val="00DD567D"/>
    <w:rsid w:val="00DD5814"/>
    <w:rsid w:val="00DD6FE6"/>
    <w:rsid w:val="00DD78B3"/>
    <w:rsid w:val="00DD7AFF"/>
    <w:rsid w:val="00DE03B2"/>
    <w:rsid w:val="00DE08E9"/>
    <w:rsid w:val="00DE093B"/>
    <w:rsid w:val="00DE12B5"/>
    <w:rsid w:val="00DE14A4"/>
    <w:rsid w:val="00DE24D6"/>
    <w:rsid w:val="00DE293A"/>
    <w:rsid w:val="00DE29D4"/>
    <w:rsid w:val="00DE2DBE"/>
    <w:rsid w:val="00DE2E04"/>
    <w:rsid w:val="00DE36DE"/>
    <w:rsid w:val="00DE382A"/>
    <w:rsid w:val="00DE3C61"/>
    <w:rsid w:val="00DE3F5D"/>
    <w:rsid w:val="00DE3F65"/>
    <w:rsid w:val="00DE4033"/>
    <w:rsid w:val="00DE468E"/>
    <w:rsid w:val="00DE49C7"/>
    <w:rsid w:val="00DE4C6A"/>
    <w:rsid w:val="00DE4C87"/>
    <w:rsid w:val="00DE56B5"/>
    <w:rsid w:val="00DE5ACF"/>
    <w:rsid w:val="00DE5E99"/>
    <w:rsid w:val="00DE649D"/>
    <w:rsid w:val="00DE65B7"/>
    <w:rsid w:val="00DE675B"/>
    <w:rsid w:val="00DE6977"/>
    <w:rsid w:val="00DE6C24"/>
    <w:rsid w:val="00DE7107"/>
    <w:rsid w:val="00DE73C1"/>
    <w:rsid w:val="00DE74D1"/>
    <w:rsid w:val="00DE75FE"/>
    <w:rsid w:val="00DE7A5D"/>
    <w:rsid w:val="00DE7D11"/>
    <w:rsid w:val="00DF0160"/>
    <w:rsid w:val="00DF0163"/>
    <w:rsid w:val="00DF0220"/>
    <w:rsid w:val="00DF02BD"/>
    <w:rsid w:val="00DF0D94"/>
    <w:rsid w:val="00DF1018"/>
    <w:rsid w:val="00DF1556"/>
    <w:rsid w:val="00DF1992"/>
    <w:rsid w:val="00DF19E5"/>
    <w:rsid w:val="00DF1F29"/>
    <w:rsid w:val="00DF2926"/>
    <w:rsid w:val="00DF309E"/>
    <w:rsid w:val="00DF30BB"/>
    <w:rsid w:val="00DF3203"/>
    <w:rsid w:val="00DF3432"/>
    <w:rsid w:val="00DF398B"/>
    <w:rsid w:val="00DF4A02"/>
    <w:rsid w:val="00DF4AA5"/>
    <w:rsid w:val="00DF4AE9"/>
    <w:rsid w:val="00DF4C9E"/>
    <w:rsid w:val="00DF4FAC"/>
    <w:rsid w:val="00DF54C1"/>
    <w:rsid w:val="00DF5B1D"/>
    <w:rsid w:val="00DF5BB1"/>
    <w:rsid w:val="00DF5BD1"/>
    <w:rsid w:val="00DF5C38"/>
    <w:rsid w:val="00DF5F63"/>
    <w:rsid w:val="00DF624A"/>
    <w:rsid w:val="00DF6B7C"/>
    <w:rsid w:val="00DF6E03"/>
    <w:rsid w:val="00DF7BAB"/>
    <w:rsid w:val="00DF7DBA"/>
    <w:rsid w:val="00E00230"/>
    <w:rsid w:val="00E002AD"/>
    <w:rsid w:val="00E004F8"/>
    <w:rsid w:val="00E00B11"/>
    <w:rsid w:val="00E0139B"/>
    <w:rsid w:val="00E015C1"/>
    <w:rsid w:val="00E0177B"/>
    <w:rsid w:val="00E01AA1"/>
    <w:rsid w:val="00E01EF8"/>
    <w:rsid w:val="00E02937"/>
    <w:rsid w:val="00E02B73"/>
    <w:rsid w:val="00E032CB"/>
    <w:rsid w:val="00E03CA7"/>
    <w:rsid w:val="00E0457C"/>
    <w:rsid w:val="00E047D6"/>
    <w:rsid w:val="00E048B3"/>
    <w:rsid w:val="00E04DB0"/>
    <w:rsid w:val="00E06046"/>
    <w:rsid w:val="00E0635A"/>
    <w:rsid w:val="00E06718"/>
    <w:rsid w:val="00E06A03"/>
    <w:rsid w:val="00E0763E"/>
    <w:rsid w:val="00E077C4"/>
    <w:rsid w:val="00E103D3"/>
    <w:rsid w:val="00E1065A"/>
    <w:rsid w:val="00E10676"/>
    <w:rsid w:val="00E10C7A"/>
    <w:rsid w:val="00E10E82"/>
    <w:rsid w:val="00E11481"/>
    <w:rsid w:val="00E117DB"/>
    <w:rsid w:val="00E11897"/>
    <w:rsid w:val="00E11F79"/>
    <w:rsid w:val="00E12370"/>
    <w:rsid w:val="00E124FB"/>
    <w:rsid w:val="00E12DCD"/>
    <w:rsid w:val="00E132AE"/>
    <w:rsid w:val="00E14696"/>
    <w:rsid w:val="00E14977"/>
    <w:rsid w:val="00E14AC9"/>
    <w:rsid w:val="00E14B47"/>
    <w:rsid w:val="00E14C97"/>
    <w:rsid w:val="00E157B6"/>
    <w:rsid w:val="00E15D8C"/>
    <w:rsid w:val="00E161DA"/>
    <w:rsid w:val="00E16348"/>
    <w:rsid w:val="00E163CA"/>
    <w:rsid w:val="00E1735B"/>
    <w:rsid w:val="00E17980"/>
    <w:rsid w:val="00E17FF6"/>
    <w:rsid w:val="00E202B0"/>
    <w:rsid w:val="00E2090F"/>
    <w:rsid w:val="00E20C14"/>
    <w:rsid w:val="00E20EAF"/>
    <w:rsid w:val="00E213A8"/>
    <w:rsid w:val="00E21578"/>
    <w:rsid w:val="00E2161F"/>
    <w:rsid w:val="00E21E94"/>
    <w:rsid w:val="00E2254F"/>
    <w:rsid w:val="00E22663"/>
    <w:rsid w:val="00E22AF4"/>
    <w:rsid w:val="00E2309F"/>
    <w:rsid w:val="00E234BA"/>
    <w:rsid w:val="00E2389F"/>
    <w:rsid w:val="00E238A0"/>
    <w:rsid w:val="00E23BAF"/>
    <w:rsid w:val="00E23E18"/>
    <w:rsid w:val="00E23E3A"/>
    <w:rsid w:val="00E240FF"/>
    <w:rsid w:val="00E2415C"/>
    <w:rsid w:val="00E24201"/>
    <w:rsid w:val="00E252D9"/>
    <w:rsid w:val="00E2543B"/>
    <w:rsid w:val="00E254C4"/>
    <w:rsid w:val="00E25A26"/>
    <w:rsid w:val="00E25D10"/>
    <w:rsid w:val="00E25EDB"/>
    <w:rsid w:val="00E26345"/>
    <w:rsid w:val="00E263DD"/>
    <w:rsid w:val="00E26866"/>
    <w:rsid w:val="00E26FB7"/>
    <w:rsid w:val="00E27105"/>
    <w:rsid w:val="00E27186"/>
    <w:rsid w:val="00E27426"/>
    <w:rsid w:val="00E2784A"/>
    <w:rsid w:val="00E27894"/>
    <w:rsid w:val="00E27B6E"/>
    <w:rsid w:val="00E27E9E"/>
    <w:rsid w:val="00E30294"/>
    <w:rsid w:val="00E305A8"/>
    <w:rsid w:val="00E306BE"/>
    <w:rsid w:val="00E3073D"/>
    <w:rsid w:val="00E30A29"/>
    <w:rsid w:val="00E30CC4"/>
    <w:rsid w:val="00E3199A"/>
    <w:rsid w:val="00E32EC9"/>
    <w:rsid w:val="00E330EC"/>
    <w:rsid w:val="00E331FF"/>
    <w:rsid w:val="00E3345D"/>
    <w:rsid w:val="00E33AF9"/>
    <w:rsid w:val="00E33B68"/>
    <w:rsid w:val="00E342BF"/>
    <w:rsid w:val="00E3458E"/>
    <w:rsid w:val="00E34708"/>
    <w:rsid w:val="00E3478D"/>
    <w:rsid w:val="00E369DC"/>
    <w:rsid w:val="00E369F0"/>
    <w:rsid w:val="00E37331"/>
    <w:rsid w:val="00E37579"/>
    <w:rsid w:val="00E376D3"/>
    <w:rsid w:val="00E379B0"/>
    <w:rsid w:val="00E37B6F"/>
    <w:rsid w:val="00E37ED5"/>
    <w:rsid w:val="00E40028"/>
    <w:rsid w:val="00E400D7"/>
    <w:rsid w:val="00E40539"/>
    <w:rsid w:val="00E4069D"/>
    <w:rsid w:val="00E40905"/>
    <w:rsid w:val="00E4096D"/>
    <w:rsid w:val="00E40A65"/>
    <w:rsid w:val="00E40DAA"/>
    <w:rsid w:val="00E414EE"/>
    <w:rsid w:val="00E41C4E"/>
    <w:rsid w:val="00E42C9F"/>
    <w:rsid w:val="00E42D23"/>
    <w:rsid w:val="00E430E7"/>
    <w:rsid w:val="00E436A1"/>
    <w:rsid w:val="00E43AF4"/>
    <w:rsid w:val="00E44FEF"/>
    <w:rsid w:val="00E450B0"/>
    <w:rsid w:val="00E45617"/>
    <w:rsid w:val="00E45F89"/>
    <w:rsid w:val="00E46A3E"/>
    <w:rsid w:val="00E46B36"/>
    <w:rsid w:val="00E46B48"/>
    <w:rsid w:val="00E46E2F"/>
    <w:rsid w:val="00E4720B"/>
    <w:rsid w:val="00E47509"/>
    <w:rsid w:val="00E47A86"/>
    <w:rsid w:val="00E47C3E"/>
    <w:rsid w:val="00E501F2"/>
    <w:rsid w:val="00E503E5"/>
    <w:rsid w:val="00E5045C"/>
    <w:rsid w:val="00E50647"/>
    <w:rsid w:val="00E5139E"/>
    <w:rsid w:val="00E51648"/>
    <w:rsid w:val="00E51797"/>
    <w:rsid w:val="00E51910"/>
    <w:rsid w:val="00E51E01"/>
    <w:rsid w:val="00E520B0"/>
    <w:rsid w:val="00E52216"/>
    <w:rsid w:val="00E523F6"/>
    <w:rsid w:val="00E526EC"/>
    <w:rsid w:val="00E52970"/>
    <w:rsid w:val="00E529F1"/>
    <w:rsid w:val="00E52F65"/>
    <w:rsid w:val="00E52FFE"/>
    <w:rsid w:val="00E5347F"/>
    <w:rsid w:val="00E53525"/>
    <w:rsid w:val="00E5430F"/>
    <w:rsid w:val="00E54470"/>
    <w:rsid w:val="00E544C0"/>
    <w:rsid w:val="00E54699"/>
    <w:rsid w:val="00E54715"/>
    <w:rsid w:val="00E5486E"/>
    <w:rsid w:val="00E5492C"/>
    <w:rsid w:val="00E550E5"/>
    <w:rsid w:val="00E55190"/>
    <w:rsid w:val="00E5541B"/>
    <w:rsid w:val="00E554E7"/>
    <w:rsid w:val="00E55884"/>
    <w:rsid w:val="00E5597C"/>
    <w:rsid w:val="00E55E35"/>
    <w:rsid w:val="00E56256"/>
    <w:rsid w:val="00E56EC0"/>
    <w:rsid w:val="00E57436"/>
    <w:rsid w:val="00E57550"/>
    <w:rsid w:val="00E5793E"/>
    <w:rsid w:val="00E57C3B"/>
    <w:rsid w:val="00E57F99"/>
    <w:rsid w:val="00E57FA9"/>
    <w:rsid w:val="00E57FEE"/>
    <w:rsid w:val="00E6012A"/>
    <w:rsid w:val="00E60D77"/>
    <w:rsid w:val="00E60FA2"/>
    <w:rsid w:val="00E61C5A"/>
    <w:rsid w:val="00E61CCB"/>
    <w:rsid w:val="00E61F26"/>
    <w:rsid w:val="00E63447"/>
    <w:rsid w:val="00E634E0"/>
    <w:rsid w:val="00E6390F"/>
    <w:rsid w:val="00E63BDD"/>
    <w:rsid w:val="00E652F3"/>
    <w:rsid w:val="00E65D3A"/>
    <w:rsid w:val="00E65DDC"/>
    <w:rsid w:val="00E66367"/>
    <w:rsid w:val="00E66645"/>
    <w:rsid w:val="00E667EC"/>
    <w:rsid w:val="00E668B0"/>
    <w:rsid w:val="00E669EE"/>
    <w:rsid w:val="00E66D91"/>
    <w:rsid w:val="00E6709F"/>
    <w:rsid w:val="00E67183"/>
    <w:rsid w:val="00E67215"/>
    <w:rsid w:val="00E6753E"/>
    <w:rsid w:val="00E67BAA"/>
    <w:rsid w:val="00E67CA6"/>
    <w:rsid w:val="00E67DC6"/>
    <w:rsid w:val="00E703E4"/>
    <w:rsid w:val="00E70483"/>
    <w:rsid w:val="00E70B4C"/>
    <w:rsid w:val="00E70CE0"/>
    <w:rsid w:val="00E70E67"/>
    <w:rsid w:val="00E70F33"/>
    <w:rsid w:val="00E715CE"/>
    <w:rsid w:val="00E71A1C"/>
    <w:rsid w:val="00E72621"/>
    <w:rsid w:val="00E73584"/>
    <w:rsid w:val="00E73684"/>
    <w:rsid w:val="00E737F5"/>
    <w:rsid w:val="00E73824"/>
    <w:rsid w:val="00E741F3"/>
    <w:rsid w:val="00E74845"/>
    <w:rsid w:val="00E74917"/>
    <w:rsid w:val="00E74B86"/>
    <w:rsid w:val="00E75AD4"/>
    <w:rsid w:val="00E75B87"/>
    <w:rsid w:val="00E766CB"/>
    <w:rsid w:val="00E76874"/>
    <w:rsid w:val="00E768D4"/>
    <w:rsid w:val="00E7691D"/>
    <w:rsid w:val="00E76B34"/>
    <w:rsid w:val="00E76D98"/>
    <w:rsid w:val="00E76E93"/>
    <w:rsid w:val="00E771D5"/>
    <w:rsid w:val="00E774CC"/>
    <w:rsid w:val="00E7779E"/>
    <w:rsid w:val="00E77812"/>
    <w:rsid w:val="00E779E2"/>
    <w:rsid w:val="00E77C27"/>
    <w:rsid w:val="00E80142"/>
    <w:rsid w:val="00E8039F"/>
    <w:rsid w:val="00E80885"/>
    <w:rsid w:val="00E80CA7"/>
    <w:rsid w:val="00E8108D"/>
    <w:rsid w:val="00E812A0"/>
    <w:rsid w:val="00E81E43"/>
    <w:rsid w:val="00E82707"/>
    <w:rsid w:val="00E8275E"/>
    <w:rsid w:val="00E827FA"/>
    <w:rsid w:val="00E82B5A"/>
    <w:rsid w:val="00E82E91"/>
    <w:rsid w:val="00E83270"/>
    <w:rsid w:val="00E834E0"/>
    <w:rsid w:val="00E837B7"/>
    <w:rsid w:val="00E846B6"/>
    <w:rsid w:val="00E84B8D"/>
    <w:rsid w:val="00E84C64"/>
    <w:rsid w:val="00E84C90"/>
    <w:rsid w:val="00E84C97"/>
    <w:rsid w:val="00E85334"/>
    <w:rsid w:val="00E85686"/>
    <w:rsid w:val="00E858E2"/>
    <w:rsid w:val="00E85D24"/>
    <w:rsid w:val="00E86269"/>
    <w:rsid w:val="00E866E9"/>
    <w:rsid w:val="00E8687A"/>
    <w:rsid w:val="00E8778D"/>
    <w:rsid w:val="00E87834"/>
    <w:rsid w:val="00E878F5"/>
    <w:rsid w:val="00E87CFB"/>
    <w:rsid w:val="00E900FE"/>
    <w:rsid w:val="00E902C5"/>
    <w:rsid w:val="00E90492"/>
    <w:rsid w:val="00E90696"/>
    <w:rsid w:val="00E906D5"/>
    <w:rsid w:val="00E90735"/>
    <w:rsid w:val="00E90819"/>
    <w:rsid w:val="00E90A6B"/>
    <w:rsid w:val="00E90BE8"/>
    <w:rsid w:val="00E90C01"/>
    <w:rsid w:val="00E91065"/>
    <w:rsid w:val="00E92160"/>
    <w:rsid w:val="00E9239D"/>
    <w:rsid w:val="00E92BA4"/>
    <w:rsid w:val="00E92DC5"/>
    <w:rsid w:val="00E935F4"/>
    <w:rsid w:val="00E94047"/>
    <w:rsid w:val="00E9411B"/>
    <w:rsid w:val="00E944E8"/>
    <w:rsid w:val="00E94AA5"/>
    <w:rsid w:val="00E95299"/>
    <w:rsid w:val="00E95574"/>
    <w:rsid w:val="00E95803"/>
    <w:rsid w:val="00E95F61"/>
    <w:rsid w:val="00E96639"/>
    <w:rsid w:val="00E96E50"/>
    <w:rsid w:val="00E970AA"/>
    <w:rsid w:val="00E97292"/>
    <w:rsid w:val="00E9735F"/>
    <w:rsid w:val="00E97616"/>
    <w:rsid w:val="00E976D6"/>
    <w:rsid w:val="00E97E74"/>
    <w:rsid w:val="00EA0212"/>
    <w:rsid w:val="00EA0251"/>
    <w:rsid w:val="00EA0273"/>
    <w:rsid w:val="00EA04CF"/>
    <w:rsid w:val="00EA05F2"/>
    <w:rsid w:val="00EA1878"/>
    <w:rsid w:val="00EA256D"/>
    <w:rsid w:val="00EA2DCA"/>
    <w:rsid w:val="00EA2EFC"/>
    <w:rsid w:val="00EA2F75"/>
    <w:rsid w:val="00EA350C"/>
    <w:rsid w:val="00EA39AC"/>
    <w:rsid w:val="00EA39DA"/>
    <w:rsid w:val="00EA3B62"/>
    <w:rsid w:val="00EA3E61"/>
    <w:rsid w:val="00EA3FE1"/>
    <w:rsid w:val="00EA4073"/>
    <w:rsid w:val="00EA410B"/>
    <w:rsid w:val="00EA419B"/>
    <w:rsid w:val="00EA431B"/>
    <w:rsid w:val="00EA43FD"/>
    <w:rsid w:val="00EA4DB7"/>
    <w:rsid w:val="00EA51CA"/>
    <w:rsid w:val="00EA51DF"/>
    <w:rsid w:val="00EA5282"/>
    <w:rsid w:val="00EA58F5"/>
    <w:rsid w:val="00EA6787"/>
    <w:rsid w:val="00EA6932"/>
    <w:rsid w:val="00EA782E"/>
    <w:rsid w:val="00EA7D9B"/>
    <w:rsid w:val="00EA7F1C"/>
    <w:rsid w:val="00EB020D"/>
    <w:rsid w:val="00EB028C"/>
    <w:rsid w:val="00EB077C"/>
    <w:rsid w:val="00EB2046"/>
    <w:rsid w:val="00EB2229"/>
    <w:rsid w:val="00EB26C9"/>
    <w:rsid w:val="00EB272A"/>
    <w:rsid w:val="00EB2B10"/>
    <w:rsid w:val="00EB2BC6"/>
    <w:rsid w:val="00EB2FA9"/>
    <w:rsid w:val="00EB320A"/>
    <w:rsid w:val="00EB3488"/>
    <w:rsid w:val="00EB3980"/>
    <w:rsid w:val="00EB3EBD"/>
    <w:rsid w:val="00EB40F5"/>
    <w:rsid w:val="00EB453D"/>
    <w:rsid w:val="00EB4626"/>
    <w:rsid w:val="00EB4678"/>
    <w:rsid w:val="00EB4781"/>
    <w:rsid w:val="00EB4C46"/>
    <w:rsid w:val="00EB4EFB"/>
    <w:rsid w:val="00EB5153"/>
    <w:rsid w:val="00EB520D"/>
    <w:rsid w:val="00EB53D2"/>
    <w:rsid w:val="00EB64A4"/>
    <w:rsid w:val="00EB67CD"/>
    <w:rsid w:val="00EB787F"/>
    <w:rsid w:val="00EB7C43"/>
    <w:rsid w:val="00EB7EA4"/>
    <w:rsid w:val="00EC007C"/>
    <w:rsid w:val="00EC077D"/>
    <w:rsid w:val="00EC093B"/>
    <w:rsid w:val="00EC0BA3"/>
    <w:rsid w:val="00EC0E4A"/>
    <w:rsid w:val="00EC0EA5"/>
    <w:rsid w:val="00EC1B0B"/>
    <w:rsid w:val="00EC1F0A"/>
    <w:rsid w:val="00EC23DB"/>
    <w:rsid w:val="00EC268F"/>
    <w:rsid w:val="00EC2B0E"/>
    <w:rsid w:val="00EC2CE2"/>
    <w:rsid w:val="00EC3789"/>
    <w:rsid w:val="00EC383D"/>
    <w:rsid w:val="00EC3DC3"/>
    <w:rsid w:val="00EC4820"/>
    <w:rsid w:val="00EC4E3F"/>
    <w:rsid w:val="00EC50F7"/>
    <w:rsid w:val="00EC5864"/>
    <w:rsid w:val="00EC6850"/>
    <w:rsid w:val="00EC7009"/>
    <w:rsid w:val="00EC7482"/>
    <w:rsid w:val="00EC7950"/>
    <w:rsid w:val="00ED00C7"/>
    <w:rsid w:val="00ED0806"/>
    <w:rsid w:val="00ED1078"/>
    <w:rsid w:val="00ED1110"/>
    <w:rsid w:val="00ED1194"/>
    <w:rsid w:val="00ED16BA"/>
    <w:rsid w:val="00ED18D4"/>
    <w:rsid w:val="00ED1AD9"/>
    <w:rsid w:val="00ED2519"/>
    <w:rsid w:val="00ED2ED3"/>
    <w:rsid w:val="00ED326B"/>
    <w:rsid w:val="00ED3908"/>
    <w:rsid w:val="00ED4091"/>
    <w:rsid w:val="00ED422A"/>
    <w:rsid w:val="00ED445A"/>
    <w:rsid w:val="00ED45ED"/>
    <w:rsid w:val="00ED48C5"/>
    <w:rsid w:val="00ED4B11"/>
    <w:rsid w:val="00ED4F43"/>
    <w:rsid w:val="00ED5526"/>
    <w:rsid w:val="00ED5722"/>
    <w:rsid w:val="00ED5A38"/>
    <w:rsid w:val="00ED617B"/>
    <w:rsid w:val="00ED64B7"/>
    <w:rsid w:val="00ED66A7"/>
    <w:rsid w:val="00ED70AA"/>
    <w:rsid w:val="00ED7179"/>
    <w:rsid w:val="00ED7F61"/>
    <w:rsid w:val="00EE0991"/>
    <w:rsid w:val="00EE0C70"/>
    <w:rsid w:val="00EE1261"/>
    <w:rsid w:val="00EE143F"/>
    <w:rsid w:val="00EE1EE5"/>
    <w:rsid w:val="00EE2045"/>
    <w:rsid w:val="00EE2070"/>
    <w:rsid w:val="00EE2271"/>
    <w:rsid w:val="00EE2819"/>
    <w:rsid w:val="00EE2926"/>
    <w:rsid w:val="00EE2ECE"/>
    <w:rsid w:val="00EE346D"/>
    <w:rsid w:val="00EE3BDC"/>
    <w:rsid w:val="00EE3E7D"/>
    <w:rsid w:val="00EE4164"/>
    <w:rsid w:val="00EE42A4"/>
    <w:rsid w:val="00EE42F2"/>
    <w:rsid w:val="00EE4750"/>
    <w:rsid w:val="00EE4953"/>
    <w:rsid w:val="00EE4C1C"/>
    <w:rsid w:val="00EE5062"/>
    <w:rsid w:val="00EE50AB"/>
    <w:rsid w:val="00EE51E2"/>
    <w:rsid w:val="00EE536D"/>
    <w:rsid w:val="00EE5CA5"/>
    <w:rsid w:val="00EE5DDA"/>
    <w:rsid w:val="00EE5FA0"/>
    <w:rsid w:val="00EE6ABE"/>
    <w:rsid w:val="00EE6D10"/>
    <w:rsid w:val="00EE6D42"/>
    <w:rsid w:val="00EE6DC6"/>
    <w:rsid w:val="00EE731A"/>
    <w:rsid w:val="00EE7505"/>
    <w:rsid w:val="00EE7E22"/>
    <w:rsid w:val="00EE7F5D"/>
    <w:rsid w:val="00EF025D"/>
    <w:rsid w:val="00EF02C5"/>
    <w:rsid w:val="00EF10D7"/>
    <w:rsid w:val="00EF12C3"/>
    <w:rsid w:val="00EF166E"/>
    <w:rsid w:val="00EF16A2"/>
    <w:rsid w:val="00EF1A2D"/>
    <w:rsid w:val="00EF2A02"/>
    <w:rsid w:val="00EF2AEC"/>
    <w:rsid w:val="00EF2B47"/>
    <w:rsid w:val="00EF3B66"/>
    <w:rsid w:val="00EF409E"/>
    <w:rsid w:val="00EF4851"/>
    <w:rsid w:val="00EF4914"/>
    <w:rsid w:val="00EF4DC3"/>
    <w:rsid w:val="00EF4FB4"/>
    <w:rsid w:val="00EF59E2"/>
    <w:rsid w:val="00EF607A"/>
    <w:rsid w:val="00EF660F"/>
    <w:rsid w:val="00EF67D0"/>
    <w:rsid w:val="00EF6A21"/>
    <w:rsid w:val="00EF6C53"/>
    <w:rsid w:val="00EF6F76"/>
    <w:rsid w:val="00EF7AFA"/>
    <w:rsid w:val="00EF7B78"/>
    <w:rsid w:val="00F00197"/>
    <w:rsid w:val="00F00B10"/>
    <w:rsid w:val="00F00EE8"/>
    <w:rsid w:val="00F016ED"/>
    <w:rsid w:val="00F01714"/>
    <w:rsid w:val="00F01B42"/>
    <w:rsid w:val="00F0217B"/>
    <w:rsid w:val="00F02314"/>
    <w:rsid w:val="00F02E4E"/>
    <w:rsid w:val="00F03363"/>
    <w:rsid w:val="00F035FB"/>
    <w:rsid w:val="00F036ED"/>
    <w:rsid w:val="00F037AA"/>
    <w:rsid w:val="00F04883"/>
    <w:rsid w:val="00F05053"/>
    <w:rsid w:val="00F05163"/>
    <w:rsid w:val="00F05758"/>
    <w:rsid w:val="00F05848"/>
    <w:rsid w:val="00F060F2"/>
    <w:rsid w:val="00F066F3"/>
    <w:rsid w:val="00F0681A"/>
    <w:rsid w:val="00F068FA"/>
    <w:rsid w:val="00F0713B"/>
    <w:rsid w:val="00F075BE"/>
    <w:rsid w:val="00F104E8"/>
    <w:rsid w:val="00F10A9F"/>
    <w:rsid w:val="00F10DF3"/>
    <w:rsid w:val="00F110F7"/>
    <w:rsid w:val="00F11486"/>
    <w:rsid w:val="00F116E1"/>
    <w:rsid w:val="00F125C7"/>
    <w:rsid w:val="00F126CF"/>
    <w:rsid w:val="00F126D3"/>
    <w:rsid w:val="00F12FEE"/>
    <w:rsid w:val="00F13521"/>
    <w:rsid w:val="00F135FF"/>
    <w:rsid w:val="00F1362F"/>
    <w:rsid w:val="00F139BE"/>
    <w:rsid w:val="00F13A02"/>
    <w:rsid w:val="00F13EEC"/>
    <w:rsid w:val="00F14184"/>
    <w:rsid w:val="00F14A21"/>
    <w:rsid w:val="00F14B3E"/>
    <w:rsid w:val="00F15119"/>
    <w:rsid w:val="00F15562"/>
    <w:rsid w:val="00F1562C"/>
    <w:rsid w:val="00F159CA"/>
    <w:rsid w:val="00F15A7F"/>
    <w:rsid w:val="00F164A5"/>
    <w:rsid w:val="00F16550"/>
    <w:rsid w:val="00F16686"/>
    <w:rsid w:val="00F16776"/>
    <w:rsid w:val="00F16D7B"/>
    <w:rsid w:val="00F16F43"/>
    <w:rsid w:val="00F175F0"/>
    <w:rsid w:val="00F211AC"/>
    <w:rsid w:val="00F21558"/>
    <w:rsid w:val="00F21651"/>
    <w:rsid w:val="00F2218A"/>
    <w:rsid w:val="00F23397"/>
    <w:rsid w:val="00F241B3"/>
    <w:rsid w:val="00F24278"/>
    <w:rsid w:val="00F24451"/>
    <w:rsid w:val="00F24A64"/>
    <w:rsid w:val="00F24DAF"/>
    <w:rsid w:val="00F25556"/>
    <w:rsid w:val="00F264EF"/>
    <w:rsid w:val="00F26C1D"/>
    <w:rsid w:val="00F26D92"/>
    <w:rsid w:val="00F273B2"/>
    <w:rsid w:val="00F27D0F"/>
    <w:rsid w:val="00F27F9C"/>
    <w:rsid w:val="00F30408"/>
    <w:rsid w:val="00F30640"/>
    <w:rsid w:val="00F307CF"/>
    <w:rsid w:val="00F30C0D"/>
    <w:rsid w:val="00F30DBB"/>
    <w:rsid w:val="00F31EE4"/>
    <w:rsid w:val="00F32089"/>
    <w:rsid w:val="00F320C9"/>
    <w:rsid w:val="00F325A4"/>
    <w:rsid w:val="00F328FE"/>
    <w:rsid w:val="00F32FA4"/>
    <w:rsid w:val="00F3319C"/>
    <w:rsid w:val="00F33857"/>
    <w:rsid w:val="00F33A88"/>
    <w:rsid w:val="00F33F99"/>
    <w:rsid w:val="00F34238"/>
    <w:rsid w:val="00F345EB"/>
    <w:rsid w:val="00F34778"/>
    <w:rsid w:val="00F34AE3"/>
    <w:rsid w:val="00F34CCB"/>
    <w:rsid w:val="00F34D5F"/>
    <w:rsid w:val="00F34EC0"/>
    <w:rsid w:val="00F35774"/>
    <w:rsid w:val="00F359E1"/>
    <w:rsid w:val="00F35AAB"/>
    <w:rsid w:val="00F35AE1"/>
    <w:rsid w:val="00F35DA3"/>
    <w:rsid w:val="00F35F15"/>
    <w:rsid w:val="00F35F7B"/>
    <w:rsid w:val="00F360AB"/>
    <w:rsid w:val="00F366FA"/>
    <w:rsid w:val="00F36947"/>
    <w:rsid w:val="00F36BE4"/>
    <w:rsid w:val="00F36C9C"/>
    <w:rsid w:val="00F36ED5"/>
    <w:rsid w:val="00F37187"/>
    <w:rsid w:val="00F372A6"/>
    <w:rsid w:val="00F37331"/>
    <w:rsid w:val="00F37727"/>
    <w:rsid w:val="00F40E4A"/>
    <w:rsid w:val="00F40F9A"/>
    <w:rsid w:val="00F41373"/>
    <w:rsid w:val="00F4201A"/>
    <w:rsid w:val="00F423CB"/>
    <w:rsid w:val="00F424DB"/>
    <w:rsid w:val="00F4288C"/>
    <w:rsid w:val="00F42C71"/>
    <w:rsid w:val="00F42D1D"/>
    <w:rsid w:val="00F43694"/>
    <w:rsid w:val="00F43816"/>
    <w:rsid w:val="00F43D4D"/>
    <w:rsid w:val="00F43F98"/>
    <w:rsid w:val="00F445DC"/>
    <w:rsid w:val="00F446C7"/>
    <w:rsid w:val="00F44EEC"/>
    <w:rsid w:val="00F44F1D"/>
    <w:rsid w:val="00F44FE7"/>
    <w:rsid w:val="00F45039"/>
    <w:rsid w:val="00F45AB8"/>
    <w:rsid w:val="00F46978"/>
    <w:rsid w:val="00F46EC9"/>
    <w:rsid w:val="00F471B4"/>
    <w:rsid w:val="00F47348"/>
    <w:rsid w:val="00F50428"/>
    <w:rsid w:val="00F5069D"/>
    <w:rsid w:val="00F50957"/>
    <w:rsid w:val="00F51068"/>
    <w:rsid w:val="00F514F9"/>
    <w:rsid w:val="00F51676"/>
    <w:rsid w:val="00F51D5E"/>
    <w:rsid w:val="00F5208A"/>
    <w:rsid w:val="00F52D39"/>
    <w:rsid w:val="00F52FC5"/>
    <w:rsid w:val="00F53780"/>
    <w:rsid w:val="00F539C1"/>
    <w:rsid w:val="00F53A2D"/>
    <w:rsid w:val="00F53D09"/>
    <w:rsid w:val="00F544BC"/>
    <w:rsid w:val="00F547B0"/>
    <w:rsid w:val="00F54EF2"/>
    <w:rsid w:val="00F5518E"/>
    <w:rsid w:val="00F5521A"/>
    <w:rsid w:val="00F5586C"/>
    <w:rsid w:val="00F55CA4"/>
    <w:rsid w:val="00F5635F"/>
    <w:rsid w:val="00F56558"/>
    <w:rsid w:val="00F56D0D"/>
    <w:rsid w:val="00F56F80"/>
    <w:rsid w:val="00F56FE2"/>
    <w:rsid w:val="00F57C3A"/>
    <w:rsid w:val="00F606D3"/>
    <w:rsid w:val="00F60BE9"/>
    <w:rsid w:val="00F60E91"/>
    <w:rsid w:val="00F613B5"/>
    <w:rsid w:val="00F614EE"/>
    <w:rsid w:val="00F6154B"/>
    <w:rsid w:val="00F6156C"/>
    <w:rsid w:val="00F616FD"/>
    <w:rsid w:val="00F61E45"/>
    <w:rsid w:val="00F61FBE"/>
    <w:rsid w:val="00F62813"/>
    <w:rsid w:val="00F62FED"/>
    <w:rsid w:val="00F63111"/>
    <w:rsid w:val="00F633E6"/>
    <w:rsid w:val="00F63591"/>
    <w:rsid w:val="00F6397F"/>
    <w:rsid w:val="00F63F7A"/>
    <w:rsid w:val="00F6455D"/>
    <w:rsid w:val="00F64797"/>
    <w:rsid w:val="00F64E02"/>
    <w:rsid w:val="00F64E86"/>
    <w:rsid w:val="00F650AA"/>
    <w:rsid w:val="00F65145"/>
    <w:rsid w:val="00F653BA"/>
    <w:rsid w:val="00F667A0"/>
    <w:rsid w:val="00F6693E"/>
    <w:rsid w:val="00F66F07"/>
    <w:rsid w:val="00F66F0A"/>
    <w:rsid w:val="00F67F60"/>
    <w:rsid w:val="00F7028F"/>
    <w:rsid w:val="00F706B4"/>
    <w:rsid w:val="00F71021"/>
    <w:rsid w:val="00F7115C"/>
    <w:rsid w:val="00F7222A"/>
    <w:rsid w:val="00F724B3"/>
    <w:rsid w:val="00F72E86"/>
    <w:rsid w:val="00F72F80"/>
    <w:rsid w:val="00F73238"/>
    <w:rsid w:val="00F734D5"/>
    <w:rsid w:val="00F73628"/>
    <w:rsid w:val="00F738A5"/>
    <w:rsid w:val="00F74723"/>
    <w:rsid w:val="00F74A75"/>
    <w:rsid w:val="00F74BA7"/>
    <w:rsid w:val="00F752BF"/>
    <w:rsid w:val="00F7537D"/>
    <w:rsid w:val="00F75A9B"/>
    <w:rsid w:val="00F75CD6"/>
    <w:rsid w:val="00F761E2"/>
    <w:rsid w:val="00F76D71"/>
    <w:rsid w:val="00F77078"/>
    <w:rsid w:val="00F776E3"/>
    <w:rsid w:val="00F77EA3"/>
    <w:rsid w:val="00F802E7"/>
    <w:rsid w:val="00F8038B"/>
    <w:rsid w:val="00F804AE"/>
    <w:rsid w:val="00F8064A"/>
    <w:rsid w:val="00F80B51"/>
    <w:rsid w:val="00F80B91"/>
    <w:rsid w:val="00F80CC8"/>
    <w:rsid w:val="00F80CD7"/>
    <w:rsid w:val="00F80FB9"/>
    <w:rsid w:val="00F8130C"/>
    <w:rsid w:val="00F81936"/>
    <w:rsid w:val="00F81CA8"/>
    <w:rsid w:val="00F81ED6"/>
    <w:rsid w:val="00F8268A"/>
    <w:rsid w:val="00F8273B"/>
    <w:rsid w:val="00F82CE5"/>
    <w:rsid w:val="00F83058"/>
    <w:rsid w:val="00F832F5"/>
    <w:rsid w:val="00F836AD"/>
    <w:rsid w:val="00F83953"/>
    <w:rsid w:val="00F83A88"/>
    <w:rsid w:val="00F83BFE"/>
    <w:rsid w:val="00F83FD8"/>
    <w:rsid w:val="00F842E2"/>
    <w:rsid w:val="00F84872"/>
    <w:rsid w:val="00F8489A"/>
    <w:rsid w:val="00F84A15"/>
    <w:rsid w:val="00F84BDB"/>
    <w:rsid w:val="00F852ED"/>
    <w:rsid w:val="00F85463"/>
    <w:rsid w:val="00F85594"/>
    <w:rsid w:val="00F86A22"/>
    <w:rsid w:val="00F86D94"/>
    <w:rsid w:val="00F8758C"/>
    <w:rsid w:val="00F87750"/>
    <w:rsid w:val="00F87AA0"/>
    <w:rsid w:val="00F87B77"/>
    <w:rsid w:val="00F87BAD"/>
    <w:rsid w:val="00F87F26"/>
    <w:rsid w:val="00F9008C"/>
    <w:rsid w:val="00F90130"/>
    <w:rsid w:val="00F90139"/>
    <w:rsid w:val="00F9079E"/>
    <w:rsid w:val="00F90E22"/>
    <w:rsid w:val="00F91102"/>
    <w:rsid w:val="00F9133D"/>
    <w:rsid w:val="00F9161A"/>
    <w:rsid w:val="00F91659"/>
    <w:rsid w:val="00F91881"/>
    <w:rsid w:val="00F9223B"/>
    <w:rsid w:val="00F922D4"/>
    <w:rsid w:val="00F926AF"/>
    <w:rsid w:val="00F926FD"/>
    <w:rsid w:val="00F93272"/>
    <w:rsid w:val="00F9350D"/>
    <w:rsid w:val="00F9358A"/>
    <w:rsid w:val="00F935B8"/>
    <w:rsid w:val="00F9379D"/>
    <w:rsid w:val="00F938C7"/>
    <w:rsid w:val="00F93AF3"/>
    <w:rsid w:val="00F943D2"/>
    <w:rsid w:val="00F94514"/>
    <w:rsid w:val="00F9456B"/>
    <w:rsid w:val="00F94650"/>
    <w:rsid w:val="00F9471C"/>
    <w:rsid w:val="00F94B80"/>
    <w:rsid w:val="00F9532D"/>
    <w:rsid w:val="00F95627"/>
    <w:rsid w:val="00F958A2"/>
    <w:rsid w:val="00F95A33"/>
    <w:rsid w:val="00F95BAF"/>
    <w:rsid w:val="00F96BA9"/>
    <w:rsid w:val="00F96C08"/>
    <w:rsid w:val="00F96EDF"/>
    <w:rsid w:val="00F97135"/>
    <w:rsid w:val="00F97335"/>
    <w:rsid w:val="00F975DD"/>
    <w:rsid w:val="00F9775F"/>
    <w:rsid w:val="00F97AFD"/>
    <w:rsid w:val="00F97B8B"/>
    <w:rsid w:val="00F97FE9"/>
    <w:rsid w:val="00FA0580"/>
    <w:rsid w:val="00FA059E"/>
    <w:rsid w:val="00FA066F"/>
    <w:rsid w:val="00FA0998"/>
    <w:rsid w:val="00FA0F8A"/>
    <w:rsid w:val="00FA1793"/>
    <w:rsid w:val="00FA1855"/>
    <w:rsid w:val="00FA190A"/>
    <w:rsid w:val="00FA1959"/>
    <w:rsid w:val="00FA1B80"/>
    <w:rsid w:val="00FA1FE0"/>
    <w:rsid w:val="00FA2158"/>
    <w:rsid w:val="00FA2336"/>
    <w:rsid w:val="00FA247F"/>
    <w:rsid w:val="00FA2DBF"/>
    <w:rsid w:val="00FA334D"/>
    <w:rsid w:val="00FA3484"/>
    <w:rsid w:val="00FA3496"/>
    <w:rsid w:val="00FA3592"/>
    <w:rsid w:val="00FA3A65"/>
    <w:rsid w:val="00FA42C3"/>
    <w:rsid w:val="00FA448E"/>
    <w:rsid w:val="00FA47A8"/>
    <w:rsid w:val="00FA4816"/>
    <w:rsid w:val="00FA4A0F"/>
    <w:rsid w:val="00FA4C0C"/>
    <w:rsid w:val="00FA5C30"/>
    <w:rsid w:val="00FA5CC1"/>
    <w:rsid w:val="00FA5D66"/>
    <w:rsid w:val="00FA5E1A"/>
    <w:rsid w:val="00FA60BB"/>
    <w:rsid w:val="00FA631A"/>
    <w:rsid w:val="00FA6BAD"/>
    <w:rsid w:val="00FA6D77"/>
    <w:rsid w:val="00FA6E1D"/>
    <w:rsid w:val="00FA79B3"/>
    <w:rsid w:val="00FA7BBD"/>
    <w:rsid w:val="00FA7D5C"/>
    <w:rsid w:val="00FB02FA"/>
    <w:rsid w:val="00FB0354"/>
    <w:rsid w:val="00FB069A"/>
    <w:rsid w:val="00FB11B5"/>
    <w:rsid w:val="00FB251C"/>
    <w:rsid w:val="00FB27C2"/>
    <w:rsid w:val="00FB298D"/>
    <w:rsid w:val="00FB2C56"/>
    <w:rsid w:val="00FB3015"/>
    <w:rsid w:val="00FB389C"/>
    <w:rsid w:val="00FB3B09"/>
    <w:rsid w:val="00FB41DD"/>
    <w:rsid w:val="00FB42F6"/>
    <w:rsid w:val="00FB45A7"/>
    <w:rsid w:val="00FB4DB8"/>
    <w:rsid w:val="00FB501E"/>
    <w:rsid w:val="00FB5501"/>
    <w:rsid w:val="00FB594A"/>
    <w:rsid w:val="00FB5C7F"/>
    <w:rsid w:val="00FB6C49"/>
    <w:rsid w:val="00FB7226"/>
    <w:rsid w:val="00FB74B4"/>
    <w:rsid w:val="00FB77FA"/>
    <w:rsid w:val="00FB7C91"/>
    <w:rsid w:val="00FB7CD5"/>
    <w:rsid w:val="00FB7EC1"/>
    <w:rsid w:val="00FC0326"/>
    <w:rsid w:val="00FC0C7B"/>
    <w:rsid w:val="00FC145A"/>
    <w:rsid w:val="00FC14D6"/>
    <w:rsid w:val="00FC1655"/>
    <w:rsid w:val="00FC1675"/>
    <w:rsid w:val="00FC18D6"/>
    <w:rsid w:val="00FC1C02"/>
    <w:rsid w:val="00FC1E75"/>
    <w:rsid w:val="00FC2425"/>
    <w:rsid w:val="00FC28A0"/>
    <w:rsid w:val="00FC2A53"/>
    <w:rsid w:val="00FC2A66"/>
    <w:rsid w:val="00FC2D2C"/>
    <w:rsid w:val="00FC3035"/>
    <w:rsid w:val="00FC308D"/>
    <w:rsid w:val="00FC349D"/>
    <w:rsid w:val="00FC354B"/>
    <w:rsid w:val="00FC365E"/>
    <w:rsid w:val="00FC3734"/>
    <w:rsid w:val="00FC3F90"/>
    <w:rsid w:val="00FC45C6"/>
    <w:rsid w:val="00FC479F"/>
    <w:rsid w:val="00FC4B2D"/>
    <w:rsid w:val="00FC4F14"/>
    <w:rsid w:val="00FC5190"/>
    <w:rsid w:val="00FC5EFE"/>
    <w:rsid w:val="00FC63CE"/>
    <w:rsid w:val="00FC66FB"/>
    <w:rsid w:val="00FC6F6A"/>
    <w:rsid w:val="00FC7AAF"/>
    <w:rsid w:val="00FD0061"/>
    <w:rsid w:val="00FD05AF"/>
    <w:rsid w:val="00FD07AA"/>
    <w:rsid w:val="00FD093A"/>
    <w:rsid w:val="00FD0A63"/>
    <w:rsid w:val="00FD124F"/>
    <w:rsid w:val="00FD13E2"/>
    <w:rsid w:val="00FD198A"/>
    <w:rsid w:val="00FD22BB"/>
    <w:rsid w:val="00FD2573"/>
    <w:rsid w:val="00FD2FE0"/>
    <w:rsid w:val="00FD3208"/>
    <w:rsid w:val="00FD3C51"/>
    <w:rsid w:val="00FD3E0A"/>
    <w:rsid w:val="00FD3FAE"/>
    <w:rsid w:val="00FD418F"/>
    <w:rsid w:val="00FD4420"/>
    <w:rsid w:val="00FD4D0D"/>
    <w:rsid w:val="00FD51E1"/>
    <w:rsid w:val="00FD53C3"/>
    <w:rsid w:val="00FD5563"/>
    <w:rsid w:val="00FD5693"/>
    <w:rsid w:val="00FD5A2E"/>
    <w:rsid w:val="00FD5E78"/>
    <w:rsid w:val="00FD60B7"/>
    <w:rsid w:val="00FD6393"/>
    <w:rsid w:val="00FD63B1"/>
    <w:rsid w:val="00FD644E"/>
    <w:rsid w:val="00FD64B2"/>
    <w:rsid w:val="00FD6665"/>
    <w:rsid w:val="00FD7250"/>
    <w:rsid w:val="00FD7269"/>
    <w:rsid w:val="00FD74E0"/>
    <w:rsid w:val="00FD7D74"/>
    <w:rsid w:val="00FE0408"/>
    <w:rsid w:val="00FE082C"/>
    <w:rsid w:val="00FE0939"/>
    <w:rsid w:val="00FE0A64"/>
    <w:rsid w:val="00FE0DCD"/>
    <w:rsid w:val="00FE17FA"/>
    <w:rsid w:val="00FE18B5"/>
    <w:rsid w:val="00FE18D0"/>
    <w:rsid w:val="00FE1C4C"/>
    <w:rsid w:val="00FE2D4F"/>
    <w:rsid w:val="00FE2F56"/>
    <w:rsid w:val="00FE32BF"/>
    <w:rsid w:val="00FE343B"/>
    <w:rsid w:val="00FE3C20"/>
    <w:rsid w:val="00FE4376"/>
    <w:rsid w:val="00FE4551"/>
    <w:rsid w:val="00FE45C8"/>
    <w:rsid w:val="00FE46E2"/>
    <w:rsid w:val="00FE48CA"/>
    <w:rsid w:val="00FE498C"/>
    <w:rsid w:val="00FE4C7E"/>
    <w:rsid w:val="00FE5338"/>
    <w:rsid w:val="00FE53B8"/>
    <w:rsid w:val="00FE5601"/>
    <w:rsid w:val="00FE5CA0"/>
    <w:rsid w:val="00FE6033"/>
    <w:rsid w:val="00FE662A"/>
    <w:rsid w:val="00FE6954"/>
    <w:rsid w:val="00FE6B03"/>
    <w:rsid w:val="00FE6B31"/>
    <w:rsid w:val="00FE6D62"/>
    <w:rsid w:val="00FE7123"/>
    <w:rsid w:val="00FE719B"/>
    <w:rsid w:val="00FE7313"/>
    <w:rsid w:val="00FE7FB0"/>
    <w:rsid w:val="00FF02C3"/>
    <w:rsid w:val="00FF048B"/>
    <w:rsid w:val="00FF05E8"/>
    <w:rsid w:val="00FF09FF"/>
    <w:rsid w:val="00FF0AA3"/>
    <w:rsid w:val="00FF0B92"/>
    <w:rsid w:val="00FF0C74"/>
    <w:rsid w:val="00FF0F90"/>
    <w:rsid w:val="00FF13F9"/>
    <w:rsid w:val="00FF1828"/>
    <w:rsid w:val="00FF1922"/>
    <w:rsid w:val="00FF1AEF"/>
    <w:rsid w:val="00FF2310"/>
    <w:rsid w:val="00FF2462"/>
    <w:rsid w:val="00FF29B2"/>
    <w:rsid w:val="00FF35F1"/>
    <w:rsid w:val="00FF3B35"/>
    <w:rsid w:val="00FF3B7A"/>
    <w:rsid w:val="00FF3CBB"/>
    <w:rsid w:val="00FF3E32"/>
    <w:rsid w:val="00FF3E92"/>
    <w:rsid w:val="00FF45D1"/>
    <w:rsid w:val="00FF4CEC"/>
    <w:rsid w:val="00FF4F94"/>
    <w:rsid w:val="00FF50DF"/>
    <w:rsid w:val="00FF5979"/>
    <w:rsid w:val="00FF59AB"/>
    <w:rsid w:val="00FF5DAB"/>
    <w:rsid w:val="00FF6131"/>
    <w:rsid w:val="00FF6CBA"/>
    <w:rsid w:val="00FF7E79"/>
    <w:rsid w:val="00FF7EF0"/>
    <w:rsid w:val="011C3384"/>
    <w:rsid w:val="011DA654"/>
    <w:rsid w:val="012C4154"/>
    <w:rsid w:val="013D556C"/>
    <w:rsid w:val="01696BF8"/>
    <w:rsid w:val="01DD6651"/>
    <w:rsid w:val="0249CB0E"/>
    <w:rsid w:val="0260D2D3"/>
    <w:rsid w:val="0402D400"/>
    <w:rsid w:val="044553E4"/>
    <w:rsid w:val="0479459E"/>
    <w:rsid w:val="0492D81F"/>
    <w:rsid w:val="04DA7625"/>
    <w:rsid w:val="04DAFB63"/>
    <w:rsid w:val="05B09ABF"/>
    <w:rsid w:val="05ECEF3E"/>
    <w:rsid w:val="064F227E"/>
    <w:rsid w:val="069D1773"/>
    <w:rsid w:val="076F2FD5"/>
    <w:rsid w:val="07A31D22"/>
    <w:rsid w:val="07BF8EAF"/>
    <w:rsid w:val="08B3A94F"/>
    <w:rsid w:val="08DE74FE"/>
    <w:rsid w:val="0905B476"/>
    <w:rsid w:val="09143B9D"/>
    <w:rsid w:val="0A121FD3"/>
    <w:rsid w:val="0A5856F4"/>
    <w:rsid w:val="0A9F4BFD"/>
    <w:rsid w:val="0AAEB639"/>
    <w:rsid w:val="0ACEE77A"/>
    <w:rsid w:val="0B9E34AF"/>
    <w:rsid w:val="0C71DE47"/>
    <w:rsid w:val="0C7FACFD"/>
    <w:rsid w:val="0CE7FCAF"/>
    <w:rsid w:val="0DA325E0"/>
    <w:rsid w:val="0DF0E54E"/>
    <w:rsid w:val="0E3104AD"/>
    <w:rsid w:val="0E573F99"/>
    <w:rsid w:val="0F11DFB8"/>
    <w:rsid w:val="0F7656B6"/>
    <w:rsid w:val="0FB5050C"/>
    <w:rsid w:val="0FBFD485"/>
    <w:rsid w:val="103A17EC"/>
    <w:rsid w:val="103D172D"/>
    <w:rsid w:val="1045E8E9"/>
    <w:rsid w:val="1096AB22"/>
    <w:rsid w:val="11214CB1"/>
    <w:rsid w:val="11240D19"/>
    <w:rsid w:val="112F7A4B"/>
    <w:rsid w:val="1145547D"/>
    <w:rsid w:val="116691C8"/>
    <w:rsid w:val="11CFAA0F"/>
    <w:rsid w:val="1218F822"/>
    <w:rsid w:val="123F0609"/>
    <w:rsid w:val="1258A138"/>
    <w:rsid w:val="127C58DC"/>
    <w:rsid w:val="12DD9E95"/>
    <w:rsid w:val="13538A87"/>
    <w:rsid w:val="1382701A"/>
    <w:rsid w:val="138E9B79"/>
    <w:rsid w:val="13C9B39C"/>
    <w:rsid w:val="14015055"/>
    <w:rsid w:val="1403ECCD"/>
    <w:rsid w:val="14DE42D5"/>
    <w:rsid w:val="1501FD7F"/>
    <w:rsid w:val="152F021E"/>
    <w:rsid w:val="15541866"/>
    <w:rsid w:val="156C5AD8"/>
    <w:rsid w:val="159AA0D6"/>
    <w:rsid w:val="15B3E962"/>
    <w:rsid w:val="15C2EB33"/>
    <w:rsid w:val="16CD93E6"/>
    <w:rsid w:val="16FB4A0D"/>
    <w:rsid w:val="17245A5A"/>
    <w:rsid w:val="1731223C"/>
    <w:rsid w:val="1775B32F"/>
    <w:rsid w:val="177D9BD0"/>
    <w:rsid w:val="17A49350"/>
    <w:rsid w:val="17B95139"/>
    <w:rsid w:val="17C60D67"/>
    <w:rsid w:val="18594458"/>
    <w:rsid w:val="18A5E7C9"/>
    <w:rsid w:val="1927FB83"/>
    <w:rsid w:val="197EDDA5"/>
    <w:rsid w:val="19A96F21"/>
    <w:rsid w:val="19E2FA3F"/>
    <w:rsid w:val="1A5F392C"/>
    <w:rsid w:val="1A6B4295"/>
    <w:rsid w:val="1A7A66CB"/>
    <w:rsid w:val="1AAEF9A3"/>
    <w:rsid w:val="1B1F0B68"/>
    <w:rsid w:val="1B56E13B"/>
    <w:rsid w:val="1B84E5E9"/>
    <w:rsid w:val="1BEBA766"/>
    <w:rsid w:val="1BFC1E6E"/>
    <w:rsid w:val="1C5C5470"/>
    <w:rsid w:val="1CB09D9C"/>
    <w:rsid w:val="1D1ACE23"/>
    <w:rsid w:val="1D99E2A6"/>
    <w:rsid w:val="1DAB7AD9"/>
    <w:rsid w:val="1E7C4277"/>
    <w:rsid w:val="1E95730B"/>
    <w:rsid w:val="1EB16BC6"/>
    <w:rsid w:val="1EF5829A"/>
    <w:rsid w:val="1F6F028D"/>
    <w:rsid w:val="1FA08560"/>
    <w:rsid w:val="1FDE2F41"/>
    <w:rsid w:val="1FFA8424"/>
    <w:rsid w:val="20219758"/>
    <w:rsid w:val="211D4CDD"/>
    <w:rsid w:val="21B490F3"/>
    <w:rsid w:val="21C72365"/>
    <w:rsid w:val="21E05A84"/>
    <w:rsid w:val="21E29306"/>
    <w:rsid w:val="21F4D451"/>
    <w:rsid w:val="222502FF"/>
    <w:rsid w:val="22E5C9B7"/>
    <w:rsid w:val="2378387E"/>
    <w:rsid w:val="239C3052"/>
    <w:rsid w:val="23A08222"/>
    <w:rsid w:val="23C815B7"/>
    <w:rsid w:val="24068DE5"/>
    <w:rsid w:val="24531D46"/>
    <w:rsid w:val="2494D8D2"/>
    <w:rsid w:val="2495C875"/>
    <w:rsid w:val="249B4BF8"/>
    <w:rsid w:val="24ED0C01"/>
    <w:rsid w:val="251C59F9"/>
    <w:rsid w:val="253C1A82"/>
    <w:rsid w:val="2595B073"/>
    <w:rsid w:val="25B4A58A"/>
    <w:rsid w:val="26053DFD"/>
    <w:rsid w:val="262280C1"/>
    <w:rsid w:val="2646C17C"/>
    <w:rsid w:val="266322F4"/>
    <w:rsid w:val="267D46FE"/>
    <w:rsid w:val="270B4987"/>
    <w:rsid w:val="27480367"/>
    <w:rsid w:val="276D1BEE"/>
    <w:rsid w:val="27D58B47"/>
    <w:rsid w:val="2824DDB1"/>
    <w:rsid w:val="2878F4C4"/>
    <w:rsid w:val="289150A8"/>
    <w:rsid w:val="28B89805"/>
    <w:rsid w:val="28CC954F"/>
    <w:rsid w:val="29135530"/>
    <w:rsid w:val="295650BE"/>
    <w:rsid w:val="29E8973C"/>
    <w:rsid w:val="29F05765"/>
    <w:rsid w:val="2A099096"/>
    <w:rsid w:val="2B0CCEB4"/>
    <w:rsid w:val="2C293167"/>
    <w:rsid w:val="2CD67E3B"/>
    <w:rsid w:val="2D6218F9"/>
    <w:rsid w:val="2D97869C"/>
    <w:rsid w:val="2D99857C"/>
    <w:rsid w:val="2DB32369"/>
    <w:rsid w:val="2E4AF03E"/>
    <w:rsid w:val="2EFDA8FA"/>
    <w:rsid w:val="300A22CC"/>
    <w:rsid w:val="303E4407"/>
    <w:rsid w:val="30432D2D"/>
    <w:rsid w:val="30B3B9EF"/>
    <w:rsid w:val="31184540"/>
    <w:rsid w:val="31464306"/>
    <w:rsid w:val="31806A8B"/>
    <w:rsid w:val="319B7BB7"/>
    <w:rsid w:val="31D4886E"/>
    <w:rsid w:val="31FAE8E5"/>
    <w:rsid w:val="320338EA"/>
    <w:rsid w:val="334DAEBD"/>
    <w:rsid w:val="33DEA94D"/>
    <w:rsid w:val="3413AFB2"/>
    <w:rsid w:val="3425A276"/>
    <w:rsid w:val="346D7DB3"/>
    <w:rsid w:val="34B7F48F"/>
    <w:rsid w:val="35715A9B"/>
    <w:rsid w:val="361C3ABD"/>
    <w:rsid w:val="36E0E688"/>
    <w:rsid w:val="371424BE"/>
    <w:rsid w:val="3763D79A"/>
    <w:rsid w:val="377AE943"/>
    <w:rsid w:val="38119863"/>
    <w:rsid w:val="3819B4DC"/>
    <w:rsid w:val="389A9061"/>
    <w:rsid w:val="38F79882"/>
    <w:rsid w:val="393FD6D9"/>
    <w:rsid w:val="39D1FE66"/>
    <w:rsid w:val="39E572A4"/>
    <w:rsid w:val="3A5BC0CF"/>
    <w:rsid w:val="3AD6470F"/>
    <w:rsid w:val="3B012655"/>
    <w:rsid w:val="3B6C7D0B"/>
    <w:rsid w:val="3BB45394"/>
    <w:rsid w:val="3BD262B7"/>
    <w:rsid w:val="3C207B3D"/>
    <w:rsid w:val="3D223B15"/>
    <w:rsid w:val="3D75D950"/>
    <w:rsid w:val="3D767794"/>
    <w:rsid w:val="3D786092"/>
    <w:rsid w:val="3D91BD6C"/>
    <w:rsid w:val="3EE75751"/>
    <w:rsid w:val="3F2B7A3F"/>
    <w:rsid w:val="3F41D2F8"/>
    <w:rsid w:val="3F6195A6"/>
    <w:rsid w:val="3F7B0B38"/>
    <w:rsid w:val="3FFA97EB"/>
    <w:rsid w:val="401506B7"/>
    <w:rsid w:val="402082EA"/>
    <w:rsid w:val="4031838B"/>
    <w:rsid w:val="407A37F1"/>
    <w:rsid w:val="410E0498"/>
    <w:rsid w:val="4155C6EF"/>
    <w:rsid w:val="41C99322"/>
    <w:rsid w:val="41EA1B3B"/>
    <w:rsid w:val="41FFB98B"/>
    <w:rsid w:val="4206C4D5"/>
    <w:rsid w:val="4227C513"/>
    <w:rsid w:val="4275E434"/>
    <w:rsid w:val="428D67BC"/>
    <w:rsid w:val="42C820AD"/>
    <w:rsid w:val="435585BF"/>
    <w:rsid w:val="438ECF00"/>
    <w:rsid w:val="43930790"/>
    <w:rsid w:val="43A2485F"/>
    <w:rsid w:val="43FCA44B"/>
    <w:rsid w:val="4442604C"/>
    <w:rsid w:val="44F36D61"/>
    <w:rsid w:val="458D31EF"/>
    <w:rsid w:val="4629C8FC"/>
    <w:rsid w:val="4633E986"/>
    <w:rsid w:val="463F93DF"/>
    <w:rsid w:val="469DDF74"/>
    <w:rsid w:val="46D48D75"/>
    <w:rsid w:val="47213195"/>
    <w:rsid w:val="4724096C"/>
    <w:rsid w:val="475A89CA"/>
    <w:rsid w:val="475DDD88"/>
    <w:rsid w:val="4817E28A"/>
    <w:rsid w:val="489FAD04"/>
    <w:rsid w:val="48A6BD6E"/>
    <w:rsid w:val="48B743FC"/>
    <w:rsid w:val="4900C998"/>
    <w:rsid w:val="491E85D3"/>
    <w:rsid w:val="4928D719"/>
    <w:rsid w:val="496EE157"/>
    <w:rsid w:val="497A433C"/>
    <w:rsid w:val="4984CD9D"/>
    <w:rsid w:val="49D50E08"/>
    <w:rsid w:val="4AF2D2E5"/>
    <w:rsid w:val="4B373FFD"/>
    <w:rsid w:val="4B414E5C"/>
    <w:rsid w:val="4B5208A2"/>
    <w:rsid w:val="4B9027F9"/>
    <w:rsid w:val="4BA45347"/>
    <w:rsid w:val="4BCC6C7F"/>
    <w:rsid w:val="4BFB25C0"/>
    <w:rsid w:val="4C06EBD1"/>
    <w:rsid w:val="4D1928EB"/>
    <w:rsid w:val="4D42C074"/>
    <w:rsid w:val="4D62B989"/>
    <w:rsid w:val="4D8D436E"/>
    <w:rsid w:val="4D8D8F06"/>
    <w:rsid w:val="4DC50FE3"/>
    <w:rsid w:val="4E33B1D2"/>
    <w:rsid w:val="4EB088D6"/>
    <w:rsid w:val="4F45F594"/>
    <w:rsid w:val="4F54FBD4"/>
    <w:rsid w:val="4FD53AED"/>
    <w:rsid w:val="50689E98"/>
    <w:rsid w:val="509E697B"/>
    <w:rsid w:val="51B79B32"/>
    <w:rsid w:val="51DF8085"/>
    <w:rsid w:val="521F3B04"/>
    <w:rsid w:val="5226BBAC"/>
    <w:rsid w:val="538EEB98"/>
    <w:rsid w:val="53BDAD23"/>
    <w:rsid w:val="53CEA0A4"/>
    <w:rsid w:val="5422C79F"/>
    <w:rsid w:val="54383A93"/>
    <w:rsid w:val="54FAFAD1"/>
    <w:rsid w:val="558E051C"/>
    <w:rsid w:val="561D926D"/>
    <w:rsid w:val="56397955"/>
    <w:rsid w:val="571432B8"/>
    <w:rsid w:val="5777DED6"/>
    <w:rsid w:val="57A2A015"/>
    <w:rsid w:val="57E39007"/>
    <w:rsid w:val="58370021"/>
    <w:rsid w:val="58A58327"/>
    <w:rsid w:val="58CE72DF"/>
    <w:rsid w:val="58D3F316"/>
    <w:rsid w:val="59180A1D"/>
    <w:rsid w:val="593B44C5"/>
    <w:rsid w:val="5A921FC3"/>
    <w:rsid w:val="5AA4BC3B"/>
    <w:rsid w:val="5AD5CD70"/>
    <w:rsid w:val="5AE20F61"/>
    <w:rsid w:val="5B2BF822"/>
    <w:rsid w:val="5C88F309"/>
    <w:rsid w:val="5D0E8EB1"/>
    <w:rsid w:val="5D485EB7"/>
    <w:rsid w:val="5E023147"/>
    <w:rsid w:val="5E034679"/>
    <w:rsid w:val="5E19C03F"/>
    <w:rsid w:val="5E654BA3"/>
    <w:rsid w:val="5ECAEC1C"/>
    <w:rsid w:val="5F2D4040"/>
    <w:rsid w:val="5F5938A1"/>
    <w:rsid w:val="5F99A44D"/>
    <w:rsid w:val="5FE1C61D"/>
    <w:rsid w:val="602A8214"/>
    <w:rsid w:val="604A1554"/>
    <w:rsid w:val="607983ED"/>
    <w:rsid w:val="60A17F20"/>
    <w:rsid w:val="612B747B"/>
    <w:rsid w:val="61312409"/>
    <w:rsid w:val="6192A7F6"/>
    <w:rsid w:val="625EEA4F"/>
    <w:rsid w:val="626EE130"/>
    <w:rsid w:val="62B4F7DD"/>
    <w:rsid w:val="62C8CB35"/>
    <w:rsid w:val="63792EA9"/>
    <w:rsid w:val="63B49D72"/>
    <w:rsid w:val="64A1CC90"/>
    <w:rsid w:val="64D563EA"/>
    <w:rsid w:val="6542B7B1"/>
    <w:rsid w:val="654BDB98"/>
    <w:rsid w:val="6603A7F6"/>
    <w:rsid w:val="6670E9EE"/>
    <w:rsid w:val="6687B089"/>
    <w:rsid w:val="66B69F8C"/>
    <w:rsid w:val="6724208A"/>
    <w:rsid w:val="676BF8B5"/>
    <w:rsid w:val="68130779"/>
    <w:rsid w:val="681AFB91"/>
    <w:rsid w:val="68C4BAB0"/>
    <w:rsid w:val="690856D0"/>
    <w:rsid w:val="692389F6"/>
    <w:rsid w:val="693FC5D9"/>
    <w:rsid w:val="6944DA20"/>
    <w:rsid w:val="698BFB8E"/>
    <w:rsid w:val="69920065"/>
    <w:rsid w:val="6A170528"/>
    <w:rsid w:val="6A44F688"/>
    <w:rsid w:val="6A76CB6A"/>
    <w:rsid w:val="6A842DF4"/>
    <w:rsid w:val="6AC5BEC5"/>
    <w:rsid w:val="6AF2C8A4"/>
    <w:rsid w:val="6B81BA3D"/>
    <w:rsid w:val="6B9B12E1"/>
    <w:rsid w:val="6BFF2076"/>
    <w:rsid w:val="6CC380C5"/>
    <w:rsid w:val="6CCA6F64"/>
    <w:rsid w:val="6D3739D5"/>
    <w:rsid w:val="6E0BE35A"/>
    <w:rsid w:val="6E2A2A09"/>
    <w:rsid w:val="6E34176D"/>
    <w:rsid w:val="6E6A6F01"/>
    <w:rsid w:val="6EFB0920"/>
    <w:rsid w:val="6F0B87A8"/>
    <w:rsid w:val="6F6CAB73"/>
    <w:rsid w:val="6F6D7B4C"/>
    <w:rsid w:val="700CF27F"/>
    <w:rsid w:val="70593078"/>
    <w:rsid w:val="7079BA33"/>
    <w:rsid w:val="707C4C4F"/>
    <w:rsid w:val="70898C12"/>
    <w:rsid w:val="70FFB235"/>
    <w:rsid w:val="71A99651"/>
    <w:rsid w:val="720791AE"/>
    <w:rsid w:val="7257AF77"/>
    <w:rsid w:val="733C13B7"/>
    <w:rsid w:val="73FB893E"/>
    <w:rsid w:val="74672815"/>
    <w:rsid w:val="749175B1"/>
    <w:rsid w:val="74A45373"/>
    <w:rsid w:val="74D0C6D4"/>
    <w:rsid w:val="74D98C66"/>
    <w:rsid w:val="7518B154"/>
    <w:rsid w:val="7535C6B5"/>
    <w:rsid w:val="753C23A3"/>
    <w:rsid w:val="754A0B0E"/>
    <w:rsid w:val="7570EA74"/>
    <w:rsid w:val="75ADE8C7"/>
    <w:rsid w:val="762E7F28"/>
    <w:rsid w:val="76649704"/>
    <w:rsid w:val="768001B9"/>
    <w:rsid w:val="76BA0138"/>
    <w:rsid w:val="76C79C16"/>
    <w:rsid w:val="76FC7636"/>
    <w:rsid w:val="771632C1"/>
    <w:rsid w:val="7733D325"/>
    <w:rsid w:val="7756F383"/>
    <w:rsid w:val="775CF65B"/>
    <w:rsid w:val="781A33B6"/>
    <w:rsid w:val="788AA534"/>
    <w:rsid w:val="78B5F807"/>
    <w:rsid w:val="78B7FDE2"/>
    <w:rsid w:val="79D5AAB1"/>
    <w:rsid w:val="79F262C0"/>
    <w:rsid w:val="79FF8F3D"/>
    <w:rsid w:val="7A386BA1"/>
    <w:rsid w:val="7A68D2A5"/>
    <w:rsid w:val="7A7C0560"/>
    <w:rsid w:val="7A9BA632"/>
    <w:rsid w:val="7B2C049A"/>
    <w:rsid w:val="7B6C87BE"/>
    <w:rsid w:val="7CEFA60D"/>
    <w:rsid w:val="7D3EE686"/>
    <w:rsid w:val="7E66EE8B"/>
    <w:rsid w:val="7E6FD654"/>
    <w:rsid w:val="7E79BE22"/>
    <w:rsid w:val="7E8FFE90"/>
    <w:rsid w:val="7EDD0834"/>
    <w:rsid w:val="7F037F24"/>
    <w:rsid w:val="7F4DCEB0"/>
    <w:rsid w:val="7F5AE5EE"/>
    <w:rsid w:val="7F6633A8"/>
    <w:rsid w:val="7F93B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AFB63"/>
  <w15:chartTrackingRefBased/>
  <w15:docId w15:val="{67B063C1-6F84-4C5B-9FEB-BF8BDF96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B0"/>
    <w:pPr>
      <w:spacing w:line="276" w:lineRule="auto"/>
    </w:pPr>
    <w:rPr>
      <w:rFonts w:ascii="Arial" w:hAnsi="Arial" w:cs="Arial"/>
      <w:sz w:val="20"/>
      <w:szCs w:val="20"/>
    </w:rPr>
  </w:style>
  <w:style w:type="paragraph" w:styleId="Heading1">
    <w:name w:val="heading 1"/>
    <w:basedOn w:val="Normal"/>
    <w:next w:val="Normal"/>
    <w:link w:val="Heading1Char"/>
    <w:uiPriority w:val="9"/>
    <w:qFormat/>
    <w:rsid w:val="0067294F"/>
    <w:pPr>
      <w:keepNext/>
      <w:keepLines/>
      <w:numPr>
        <w:numId w:val="27"/>
      </w:numPr>
      <w:spacing w:before="360" w:after="24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922"/>
    <w:pPr>
      <w:keepNext/>
      <w:keepLines/>
      <w:numPr>
        <w:ilvl w:val="1"/>
        <w:numId w:val="27"/>
      </w:numPr>
      <w:spacing w:before="360" w:after="12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8B3024"/>
    <w:pPr>
      <w:keepNext/>
      <w:keepLines/>
      <w:numPr>
        <w:ilvl w:val="2"/>
        <w:numId w:val="2"/>
      </w:numPr>
      <w:spacing w:before="240" w:after="12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unhideWhenUsed/>
    <w:qFormat/>
    <w:rsid w:val="00C5051A"/>
    <w:pPr>
      <w:keepNext/>
      <w:keepLines/>
      <w:spacing w:before="240" w:after="120"/>
      <w:outlineLvl w:val="3"/>
    </w:pPr>
    <w:rPr>
      <w:rFonts w:eastAsiaTheme="majorEastAsia" w:cstheme="majorBidi"/>
      <w:b/>
      <w:bCs/>
      <w:color w:val="0F4761" w:themeColor="accent1" w:themeShade="BF"/>
      <w:sz w:val="22"/>
      <w:szCs w:val="22"/>
    </w:rPr>
  </w:style>
  <w:style w:type="paragraph" w:styleId="Heading5">
    <w:name w:val="heading 5"/>
    <w:basedOn w:val="Normal"/>
    <w:next w:val="Normal"/>
    <w:link w:val="Heading5Char"/>
    <w:uiPriority w:val="98"/>
    <w:unhideWhenUsed/>
    <w:qFormat/>
    <w:rsid w:val="007F6C6C"/>
    <w:pPr>
      <w:keepNext/>
      <w:keepLines/>
      <w:spacing w:before="80" w:after="40"/>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08D"/>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8B3024"/>
    <w:rPr>
      <w:rFonts w:ascii="Arial" w:eastAsiaTheme="majorEastAsia" w:hAnsi="Arial" w:cs="Arial"/>
      <w:color w:val="0F4761" w:themeColor="accent1" w:themeShade="BF"/>
      <w:sz w:val="32"/>
      <w:szCs w:val="32"/>
    </w:rPr>
  </w:style>
  <w:style w:type="character" w:customStyle="1" w:styleId="Heading3Char">
    <w:name w:val="Heading 3 Char"/>
    <w:basedOn w:val="DefaultParagraphFont"/>
    <w:link w:val="Heading3"/>
    <w:uiPriority w:val="9"/>
    <w:rsid w:val="008B3024"/>
    <w:rPr>
      <w:rFonts w:ascii="Arial" w:eastAsiaTheme="majorEastAsia" w:hAnsi="Arial" w:cs="Arial"/>
      <w:color w:val="0F4761" w:themeColor="accent1" w:themeShade="BF"/>
      <w:sz w:val="28"/>
      <w:szCs w:val="28"/>
    </w:rPr>
  </w:style>
  <w:style w:type="character" w:customStyle="1" w:styleId="Heading4Char">
    <w:name w:val="Heading 4 Char"/>
    <w:basedOn w:val="DefaultParagraphFont"/>
    <w:link w:val="Heading4"/>
    <w:uiPriority w:val="9"/>
    <w:rsid w:val="00C5051A"/>
    <w:rPr>
      <w:rFonts w:ascii="Arial" w:eastAsiaTheme="majorEastAsia" w:hAnsi="Arial" w:cstheme="majorBidi"/>
      <w:b/>
      <w:bCs/>
      <w:color w:val="0F4761" w:themeColor="accent1" w:themeShade="BF"/>
      <w:sz w:val="22"/>
      <w:szCs w:val="22"/>
    </w:rPr>
  </w:style>
  <w:style w:type="character" w:customStyle="1" w:styleId="Heading5Char">
    <w:name w:val="Heading 5 Char"/>
    <w:basedOn w:val="DefaultParagraphFont"/>
    <w:link w:val="Heading5"/>
    <w:uiPriority w:val="98"/>
    <w:rPr>
      <w:rFonts w:ascii="Arial" w:eastAsiaTheme="majorEastAsia" w:hAnsi="Arial" w:cstheme="majorBidi"/>
      <w:color w:val="0F4761" w:themeColor="accent1" w:themeShade="BF"/>
      <w:sz w:val="22"/>
      <w:szCs w:val="22"/>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A6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397"/>
  </w:style>
  <w:style w:type="table" w:styleId="TableGrid">
    <w:name w:val="Table Grid"/>
    <w:basedOn w:val="TableNormal"/>
    <w:uiPriority w:val="59"/>
    <w:rsid w:val="00751B0A"/>
    <w:pPr>
      <w:spacing w:after="0" w:line="240" w:lineRule="auto"/>
    </w:pPr>
    <w:tblPr/>
  </w:style>
  <w:style w:type="paragraph" w:styleId="FootnoteText">
    <w:name w:val="footnote text"/>
    <w:basedOn w:val="Normal"/>
    <w:link w:val="FootnoteTextChar"/>
    <w:unhideWhenUsed/>
    <w:rsid w:val="009E2123"/>
    <w:pPr>
      <w:spacing w:after="0" w:line="240" w:lineRule="auto"/>
    </w:pPr>
  </w:style>
  <w:style w:type="character" w:customStyle="1" w:styleId="FootnoteTextChar">
    <w:name w:val="Footnote Text Char"/>
    <w:basedOn w:val="DefaultParagraphFont"/>
    <w:link w:val="FootnoteText"/>
    <w:rsid w:val="009E2123"/>
    <w:rPr>
      <w:rFonts w:ascii="Arial" w:hAnsi="Arial" w:cs="Arial"/>
      <w:sz w:val="20"/>
      <w:szCs w:val="20"/>
    </w:rPr>
  </w:style>
  <w:style w:type="character" w:styleId="FootnoteReference">
    <w:name w:val="footnote reference"/>
    <w:basedOn w:val="DefaultParagraphFont"/>
    <w:unhideWhenUsed/>
    <w:rsid w:val="009E2123"/>
    <w:rPr>
      <w:vertAlign w:val="superscript"/>
    </w:rPr>
  </w:style>
  <w:style w:type="character" w:styleId="Hyperlink">
    <w:name w:val="Hyperlink"/>
    <w:uiPriority w:val="99"/>
    <w:rsid w:val="00D333C0"/>
    <w:rPr>
      <w:color w:val="0072CE"/>
      <w:u w:val="dotted"/>
    </w:rPr>
  </w:style>
  <w:style w:type="paragraph" w:customStyle="1" w:styleId="DHHSbody">
    <w:name w:val="DHHS body"/>
    <w:link w:val="DHHSbodyChar"/>
    <w:qFormat/>
    <w:rsid w:val="007B7435"/>
    <w:pPr>
      <w:spacing w:after="120" w:line="270" w:lineRule="atLeast"/>
    </w:pPr>
    <w:rPr>
      <w:rFonts w:ascii="Arial" w:eastAsia="Times" w:hAnsi="Arial" w:cs="Times New Roman"/>
      <w:sz w:val="21"/>
      <w:szCs w:val="20"/>
      <w:lang w:val="en-AU" w:eastAsia="en-US"/>
    </w:rPr>
  </w:style>
  <w:style w:type="paragraph" w:customStyle="1" w:styleId="DHHSbullet1">
    <w:name w:val="DHHS bullet 1"/>
    <w:basedOn w:val="DHHSbody"/>
    <w:qFormat/>
    <w:rsid w:val="00BC4B8E"/>
    <w:pPr>
      <w:numPr>
        <w:numId w:val="1"/>
      </w:numPr>
    </w:pPr>
  </w:style>
  <w:style w:type="paragraph" w:customStyle="1" w:styleId="DHHSbullet2">
    <w:name w:val="DHHS bullet 2"/>
    <w:basedOn w:val="DHHSbody"/>
    <w:uiPriority w:val="2"/>
    <w:qFormat/>
    <w:rsid w:val="00D333C0"/>
    <w:pPr>
      <w:numPr>
        <w:ilvl w:val="1"/>
        <w:numId w:val="1"/>
      </w:numPr>
      <w:spacing w:after="40"/>
    </w:pPr>
  </w:style>
  <w:style w:type="numbering" w:customStyle="1" w:styleId="ZZBullets">
    <w:name w:val="ZZ Bullets"/>
    <w:rsid w:val="00D333C0"/>
    <w:pPr>
      <w:numPr>
        <w:numId w:val="1"/>
      </w:numPr>
    </w:pPr>
  </w:style>
  <w:style w:type="character" w:styleId="CommentReference">
    <w:name w:val="annotation reference"/>
    <w:uiPriority w:val="99"/>
    <w:unhideWhenUsed/>
    <w:rsid w:val="00D333C0"/>
    <w:rPr>
      <w:sz w:val="16"/>
      <w:szCs w:val="16"/>
    </w:rPr>
  </w:style>
  <w:style w:type="paragraph" w:styleId="CommentText">
    <w:name w:val="annotation text"/>
    <w:basedOn w:val="Normal"/>
    <w:link w:val="CommentTextChar"/>
    <w:uiPriority w:val="99"/>
    <w:unhideWhenUsed/>
    <w:rsid w:val="00D333C0"/>
    <w:pPr>
      <w:spacing w:after="0" w:line="240" w:lineRule="auto"/>
    </w:pPr>
    <w:rPr>
      <w:rFonts w:ascii="Cambria" w:eastAsia="Times New Roman" w:hAnsi="Cambria" w:cs="Times New Roman"/>
      <w:lang w:val="en-AU" w:eastAsia="en-US"/>
    </w:rPr>
  </w:style>
  <w:style w:type="character" w:customStyle="1" w:styleId="CommentTextChar">
    <w:name w:val="Comment Text Char"/>
    <w:basedOn w:val="DefaultParagraphFont"/>
    <w:link w:val="CommentText"/>
    <w:uiPriority w:val="99"/>
    <w:rsid w:val="00D333C0"/>
    <w:rPr>
      <w:rFonts w:ascii="Cambria" w:eastAsia="Times New Roman" w:hAnsi="Cambria" w:cs="Times New Roman"/>
      <w:sz w:val="20"/>
      <w:szCs w:val="20"/>
      <w:lang w:val="en-AU" w:eastAsia="en-US"/>
    </w:rPr>
  </w:style>
  <w:style w:type="character" w:styleId="UnresolvedMention">
    <w:name w:val="Unresolved Mention"/>
    <w:basedOn w:val="DefaultParagraphFont"/>
    <w:uiPriority w:val="99"/>
    <w:unhideWhenUsed/>
    <w:rsid w:val="00895868"/>
    <w:rPr>
      <w:color w:val="605E5C"/>
      <w:shd w:val="clear" w:color="auto" w:fill="E1DFDD"/>
    </w:rPr>
  </w:style>
  <w:style w:type="character" w:styleId="FollowedHyperlink">
    <w:name w:val="FollowedHyperlink"/>
    <w:basedOn w:val="DefaultParagraphFont"/>
    <w:uiPriority w:val="99"/>
    <w:semiHidden/>
    <w:unhideWhenUsed/>
    <w:rsid w:val="00B77F9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C01867"/>
    <w:pPr>
      <w:spacing w:after="160"/>
    </w:pPr>
    <w:rPr>
      <w:rFonts w:ascii="Arial" w:eastAsiaTheme="minorEastAsia" w:hAnsi="Arial" w:cs="Arial"/>
      <w:b/>
      <w:bCs/>
      <w:lang w:val="en-US" w:eastAsia="ja-JP"/>
    </w:rPr>
  </w:style>
  <w:style w:type="character" w:customStyle="1" w:styleId="CommentSubjectChar">
    <w:name w:val="Comment Subject Char"/>
    <w:basedOn w:val="CommentTextChar"/>
    <w:link w:val="CommentSubject"/>
    <w:uiPriority w:val="99"/>
    <w:semiHidden/>
    <w:rsid w:val="00C01867"/>
    <w:rPr>
      <w:rFonts w:ascii="Arial" w:eastAsia="Times New Roman" w:hAnsi="Arial" w:cs="Arial"/>
      <w:b/>
      <w:bCs/>
      <w:sz w:val="20"/>
      <w:szCs w:val="20"/>
      <w:lang w:val="en-AU" w:eastAsia="en-US"/>
    </w:rPr>
  </w:style>
  <w:style w:type="paragraph" w:customStyle="1" w:styleId="DHHSnumberdigit">
    <w:name w:val="DHHS number digit"/>
    <w:basedOn w:val="DHHSbody"/>
    <w:uiPriority w:val="2"/>
    <w:rsid w:val="00E002AD"/>
  </w:style>
  <w:style w:type="paragraph" w:customStyle="1" w:styleId="paragraph">
    <w:name w:val="paragraph"/>
    <w:basedOn w:val="Normal"/>
    <w:rsid w:val="00A57B7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57B77"/>
  </w:style>
  <w:style w:type="character" w:customStyle="1" w:styleId="eop">
    <w:name w:val="eop"/>
    <w:basedOn w:val="DefaultParagraphFont"/>
    <w:rsid w:val="00A57B77"/>
  </w:style>
  <w:style w:type="character" w:customStyle="1" w:styleId="advancedproofingissue">
    <w:name w:val="advancedproofingissue"/>
    <w:basedOn w:val="DefaultParagraphFont"/>
    <w:rsid w:val="00A57B77"/>
  </w:style>
  <w:style w:type="character" w:customStyle="1" w:styleId="contextualspellingandgrammarerror">
    <w:name w:val="contextualspellingandgrammarerror"/>
    <w:basedOn w:val="DefaultParagraphFont"/>
    <w:rsid w:val="00A57B77"/>
  </w:style>
  <w:style w:type="paragraph" w:styleId="Caption">
    <w:name w:val="caption"/>
    <w:basedOn w:val="Normal"/>
    <w:next w:val="Normal"/>
    <w:link w:val="CaptionChar"/>
    <w:uiPriority w:val="35"/>
    <w:unhideWhenUsed/>
    <w:qFormat/>
    <w:rsid w:val="000B2D91"/>
    <w:pPr>
      <w:spacing w:after="200" w:line="240" w:lineRule="auto"/>
    </w:pPr>
    <w:rPr>
      <w:i/>
      <w:iCs/>
      <w:color w:val="0E2841" w:themeColor="text2"/>
      <w:sz w:val="18"/>
      <w:szCs w:val="18"/>
    </w:rPr>
  </w:style>
  <w:style w:type="paragraph" w:customStyle="1" w:styleId="Caption2">
    <w:name w:val="Caption2"/>
    <w:basedOn w:val="Caption"/>
    <w:link w:val="Caption2Char"/>
    <w:qFormat/>
    <w:rsid w:val="005F2102"/>
    <w:pPr>
      <w:keepNext/>
      <w:spacing w:before="240"/>
    </w:pPr>
    <w:rPr>
      <w:b/>
      <w:bCs/>
      <w:sz w:val="21"/>
      <w:szCs w:val="21"/>
    </w:rPr>
  </w:style>
  <w:style w:type="character" w:customStyle="1" w:styleId="CaptionChar">
    <w:name w:val="Caption Char"/>
    <w:basedOn w:val="DefaultParagraphFont"/>
    <w:link w:val="Caption"/>
    <w:uiPriority w:val="35"/>
    <w:rsid w:val="005F2102"/>
    <w:rPr>
      <w:rFonts w:ascii="Arial" w:hAnsi="Arial" w:cs="Arial"/>
      <w:i/>
      <w:iCs/>
      <w:color w:val="0E2841" w:themeColor="text2"/>
      <w:sz w:val="18"/>
      <w:szCs w:val="18"/>
    </w:rPr>
  </w:style>
  <w:style w:type="character" w:customStyle="1" w:styleId="Caption2Char">
    <w:name w:val="Caption2 Char"/>
    <w:basedOn w:val="CaptionChar"/>
    <w:link w:val="Caption2"/>
    <w:rsid w:val="005F2102"/>
    <w:rPr>
      <w:rFonts w:ascii="Arial" w:hAnsi="Arial" w:cs="Arial"/>
      <w:b/>
      <w:bCs/>
      <w:i/>
      <w:iCs/>
      <w:color w:val="0E2841" w:themeColor="text2"/>
      <w:sz w:val="21"/>
      <w:szCs w:val="21"/>
    </w:rPr>
  </w:style>
  <w:style w:type="paragraph" w:styleId="ListParagraph">
    <w:name w:val="List Paragraph"/>
    <w:basedOn w:val="Normal"/>
    <w:uiPriority w:val="34"/>
    <w:qFormat/>
    <w:rsid w:val="00DA0689"/>
    <w:pPr>
      <w:spacing w:after="0" w:line="240" w:lineRule="auto"/>
      <w:ind w:left="720"/>
    </w:pPr>
    <w:rPr>
      <w:rFonts w:ascii="Calibri" w:eastAsiaTheme="minorHAnsi" w:hAnsi="Calibri" w:cs="Calibri"/>
      <w:sz w:val="22"/>
      <w:szCs w:val="22"/>
      <w:lang w:val="en-AU" w:eastAsia="en-US"/>
      <w14:ligatures w14:val="standardContextual"/>
    </w:rPr>
  </w:style>
  <w:style w:type="paragraph" w:customStyle="1" w:styleId="DHHSfigurecaption">
    <w:name w:val="DHHS figure caption"/>
    <w:next w:val="DHHSbody"/>
    <w:link w:val="DHHSfigurecaptionChar"/>
    <w:uiPriority w:val="4"/>
    <w:rsid w:val="00DB0401"/>
    <w:pPr>
      <w:keepNext/>
      <w:keepLines/>
      <w:spacing w:before="240" w:after="120" w:line="240" w:lineRule="auto"/>
    </w:pPr>
    <w:rPr>
      <w:rFonts w:ascii="Arial" w:eastAsia="Times New Roman" w:hAnsi="Arial" w:cs="Times New Roman"/>
      <w:b/>
      <w:sz w:val="20"/>
      <w:szCs w:val="20"/>
      <w:lang w:val="en-AU" w:eastAsia="en-US"/>
    </w:rPr>
  </w:style>
  <w:style w:type="character" w:customStyle="1" w:styleId="DHHSfigurecaptionChar">
    <w:name w:val="DHHS figure caption Char"/>
    <w:link w:val="DHHSfigurecaption"/>
    <w:uiPriority w:val="4"/>
    <w:locked/>
    <w:rsid w:val="00DB0401"/>
    <w:rPr>
      <w:rFonts w:ascii="Arial" w:eastAsia="Times New Roman" w:hAnsi="Arial" w:cs="Times New Roman"/>
      <w:b/>
      <w:sz w:val="20"/>
      <w:szCs w:val="20"/>
      <w:lang w:val="en-AU" w:eastAsia="en-US"/>
    </w:rPr>
  </w:style>
  <w:style w:type="paragraph" w:customStyle="1" w:styleId="DHHSbodyafterbullets">
    <w:name w:val="DHHS body after bullets"/>
    <w:basedOn w:val="DHHSbody"/>
    <w:rsid w:val="00732C62"/>
    <w:pPr>
      <w:spacing w:before="120"/>
    </w:pPr>
    <w:rPr>
      <w:rFonts w:ascii="Helv" w:hAnsi="Helv" w:cs="Helv"/>
      <w:color w:val="000000"/>
      <w:sz w:val="20"/>
      <w:lang w:eastAsia="en-AU"/>
    </w:rPr>
  </w:style>
  <w:style w:type="paragraph" w:styleId="Revision">
    <w:name w:val="Revision"/>
    <w:hidden/>
    <w:uiPriority w:val="99"/>
    <w:semiHidden/>
    <w:rsid w:val="00AD4CE0"/>
    <w:pPr>
      <w:spacing w:after="0" w:line="240" w:lineRule="auto"/>
    </w:pPr>
    <w:rPr>
      <w:rFonts w:ascii="Arial" w:hAnsi="Arial" w:cs="Arial"/>
      <w:sz w:val="20"/>
      <w:szCs w:val="20"/>
    </w:rPr>
  </w:style>
  <w:style w:type="table" w:customStyle="1" w:styleId="Highlighttable">
    <w:name w:val="Highlight table"/>
    <w:basedOn w:val="TableNormal"/>
    <w:uiPriority w:val="99"/>
    <w:rsid w:val="0039523E"/>
    <w:pPr>
      <w:spacing w:after="0" w:line="240" w:lineRule="auto"/>
    </w:pPr>
    <w:rPr>
      <w:rFonts w:ascii="Times New Roman" w:eastAsia="Times New Roman" w:hAnsi="Times New Roman" w:cs="Times New Roman"/>
      <w:sz w:val="20"/>
      <w:szCs w:val="20"/>
      <w:lang w:val="en-AU" w:eastAsia="en-AU"/>
    </w:rPr>
    <w:tblPr/>
  </w:style>
  <w:style w:type="paragraph" w:customStyle="1" w:styleId="Footnote">
    <w:name w:val="Footnote"/>
    <w:basedOn w:val="FootnoteText"/>
    <w:link w:val="FootnoteChar"/>
    <w:qFormat/>
    <w:rsid w:val="001A73E8"/>
    <w:pPr>
      <w:spacing w:after="120"/>
    </w:pPr>
    <w:rPr>
      <w:sz w:val="18"/>
      <w:szCs w:val="18"/>
      <w:lang w:val="en-AU"/>
    </w:rPr>
  </w:style>
  <w:style w:type="character" w:customStyle="1" w:styleId="FootnoteChar">
    <w:name w:val="Footnote Char"/>
    <w:basedOn w:val="FootnoteTextChar"/>
    <w:link w:val="Footnote"/>
    <w:rsid w:val="001A73E8"/>
    <w:rPr>
      <w:rFonts w:ascii="Arial" w:hAnsi="Arial" w:cs="Arial"/>
      <w:sz w:val="18"/>
      <w:szCs w:val="18"/>
      <w:lang w:val="en-AU"/>
    </w:rPr>
  </w:style>
  <w:style w:type="paragraph" w:customStyle="1" w:styleId="DHHSbodylargespace">
    <w:name w:val="DHHS body large space"/>
    <w:basedOn w:val="Normal"/>
    <w:rsid w:val="002C2720"/>
    <w:pPr>
      <w:spacing w:after="300" w:line="270" w:lineRule="atLeast"/>
    </w:pPr>
    <w:rPr>
      <w:rFonts w:eastAsia="Times" w:cs="Times New Roman"/>
      <w:lang w:val="en-AU" w:eastAsia="en-US"/>
    </w:rPr>
  </w:style>
  <w:style w:type="character" w:styleId="Strong">
    <w:name w:val="Strong"/>
    <w:uiPriority w:val="22"/>
    <w:qFormat/>
    <w:rsid w:val="00554D0A"/>
    <w:rPr>
      <w:b/>
      <w:bCs/>
    </w:rPr>
  </w:style>
  <w:style w:type="paragraph" w:customStyle="1" w:styleId="DHHSbodyaftertablefigure">
    <w:name w:val="DHHS body after table/figure"/>
    <w:basedOn w:val="DHHSbody"/>
    <w:next w:val="DHHSbody"/>
    <w:uiPriority w:val="99"/>
    <w:rsid w:val="00554D0A"/>
    <w:pPr>
      <w:spacing w:before="240"/>
    </w:pPr>
    <w:rPr>
      <w:sz w:val="20"/>
    </w:rPr>
  </w:style>
  <w:style w:type="paragraph" w:styleId="Header">
    <w:name w:val="header"/>
    <w:basedOn w:val="Normal"/>
    <w:link w:val="HeaderChar"/>
    <w:uiPriority w:val="99"/>
    <w:unhideWhenUsed/>
    <w:rsid w:val="00C41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5F8"/>
    <w:rPr>
      <w:rFonts w:ascii="Arial" w:hAnsi="Arial" w:cs="Arial"/>
      <w:sz w:val="20"/>
      <w:szCs w:val="20"/>
    </w:rPr>
  </w:style>
  <w:style w:type="character" w:styleId="Mention">
    <w:name w:val="Mention"/>
    <w:basedOn w:val="DefaultParagraphFont"/>
    <w:uiPriority w:val="99"/>
    <w:unhideWhenUsed/>
    <w:rsid w:val="00CB3863"/>
    <w:rPr>
      <w:color w:val="2B579A"/>
      <w:shd w:val="clear" w:color="auto" w:fill="E1DFDD"/>
    </w:rPr>
  </w:style>
  <w:style w:type="numbering" w:customStyle="1" w:styleId="Bullets">
    <w:name w:val="Bullets"/>
    <w:rsid w:val="00A00F3B"/>
    <w:pPr>
      <w:numPr>
        <w:numId w:val="6"/>
      </w:numPr>
    </w:pPr>
  </w:style>
  <w:style w:type="paragraph" w:customStyle="1" w:styleId="DHSbody">
    <w:name w:val="DHS body"/>
    <w:basedOn w:val="Normal"/>
    <w:rsid w:val="00CB3863"/>
    <w:pPr>
      <w:spacing w:after="120" w:line="270" w:lineRule="atLeast"/>
    </w:pPr>
    <w:rPr>
      <w:rFonts w:eastAsiaTheme="minorHAnsi"/>
      <w:sz w:val="22"/>
      <w:szCs w:val="22"/>
      <w:lang w:val="en-AU" w:eastAsia="en-US"/>
    </w:rPr>
  </w:style>
  <w:style w:type="paragraph" w:customStyle="1" w:styleId="Body">
    <w:name w:val="Body"/>
    <w:link w:val="BodyChar"/>
    <w:qFormat/>
    <w:rsid w:val="00CB3863"/>
    <w:pPr>
      <w:spacing w:after="120" w:line="280" w:lineRule="atLeast"/>
    </w:pPr>
    <w:rPr>
      <w:rFonts w:ascii="Arial" w:eastAsia="Times" w:hAnsi="Arial" w:cs="Times New Roman"/>
      <w:sz w:val="21"/>
      <w:szCs w:val="20"/>
      <w:lang w:val="en-AU" w:eastAsia="en-US"/>
    </w:rPr>
  </w:style>
  <w:style w:type="character" w:customStyle="1" w:styleId="BodyChar">
    <w:name w:val="Body Char"/>
    <w:basedOn w:val="DefaultParagraphFont"/>
    <w:link w:val="Body"/>
    <w:rsid w:val="00CB3863"/>
    <w:rPr>
      <w:rFonts w:ascii="Arial" w:eastAsia="Times" w:hAnsi="Arial" w:cs="Times New Roman"/>
      <w:sz w:val="21"/>
      <w:szCs w:val="20"/>
      <w:lang w:val="en-AU" w:eastAsia="en-US"/>
    </w:rPr>
  </w:style>
  <w:style w:type="paragraph" w:styleId="TOC1">
    <w:name w:val="toc 1"/>
    <w:basedOn w:val="Normal"/>
    <w:next w:val="Normal"/>
    <w:autoRedefine/>
    <w:uiPriority w:val="39"/>
    <w:unhideWhenUsed/>
    <w:rsid w:val="00CB3863"/>
    <w:pPr>
      <w:tabs>
        <w:tab w:val="right" w:leader="dot" w:pos="9350"/>
      </w:tabs>
      <w:spacing w:after="100"/>
    </w:pPr>
  </w:style>
  <w:style w:type="paragraph" w:styleId="TOC2">
    <w:name w:val="toc 2"/>
    <w:basedOn w:val="Normal"/>
    <w:next w:val="Normal"/>
    <w:autoRedefine/>
    <w:uiPriority w:val="39"/>
    <w:unhideWhenUsed/>
    <w:rsid w:val="00CB3863"/>
    <w:pPr>
      <w:tabs>
        <w:tab w:val="left" w:pos="880"/>
        <w:tab w:val="right" w:leader="dot" w:pos="9350"/>
      </w:tabs>
      <w:spacing w:after="100"/>
      <w:ind w:left="200"/>
    </w:pPr>
  </w:style>
  <w:style w:type="paragraph" w:styleId="TOC3">
    <w:name w:val="toc 3"/>
    <w:basedOn w:val="Normal"/>
    <w:next w:val="Normal"/>
    <w:autoRedefine/>
    <w:uiPriority w:val="39"/>
    <w:unhideWhenUsed/>
    <w:rsid w:val="00CB3863"/>
    <w:pPr>
      <w:tabs>
        <w:tab w:val="left" w:pos="1320"/>
        <w:tab w:val="right" w:leader="dot" w:pos="9350"/>
      </w:tabs>
      <w:spacing w:after="100"/>
      <w:ind w:left="400"/>
    </w:pPr>
  </w:style>
  <w:style w:type="paragraph" w:customStyle="1" w:styleId="Documenttitle">
    <w:name w:val="Document title"/>
    <w:uiPriority w:val="8"/>
    <w:rsid w:val="00CB3863"/>
    <w:pPr>
      <w:spacing w:after="240" w:line="560" w:lineRule="atLeast"/>
    </w:pPr>
    <w:rPr>
      <w:rFonts w:ascii="Arial" w:eastAsia="Times New Roman" w:hAnsi="Arial" w:cs="Times New Roman"/>
      <w:b/>
      <w:color w:val="201547"/>
      <w:sz w:val="48"/>
      <w:szCs w:val="50"/>
      <w:lang w:val="en-AU" w:eastAsia="en-US"/>
    </w:rPr>
  </w:style>
  <w:style w:type="paragraph" w:customStyle="1" w:styleId="DHHSaccessibilitypara">
    <w:name w:val="DHHS accessibility para"/>
    <w:uiPriority w:val="8"/>
    <w:rsid w:val="00CB3863"/>
    <w:pPr>
      <w:spacing w:after="300" w:line="300" w:lineRule="atLeast"/>
    </w:pPr>
    <w:rPr>
      <w:rFonts w:ascii="Arial" w:eastAsia="Times" w:hAnsi="Arial" w:cs="Times New Roman"/>
      <w:szCs w:val="19"/>
      <w:lang w:val="en-AU" w:eastAsia="en-US"/>
    </w:rPr>
  </w:style>
  <w:style w:type="paragraph" w:customStyle="1" w:styleId="DHHSTOCheadingreport">
    <w:name w:val="DHHS TOC heading report"/>
    <w:basedOn w:val="Heading1"/>
    <w:link w:val="DHHSTOCheadingreportChar"/>
    <w:uiPriority w:val="5"/>
    <w:rsid w:val="007779A9"/>
    <w:pPr>
      <w:numPr>
        <w:numId w:val="0"/>
      </w:numPr>
      <w:spacing w:before="0" w:after="440" w:line="440" w:lineRule="atLeast"/>
      <w:outlineLvl w:val="9"/>
    </w:pPr>
    <w:rPr>
      <w:rFonts w:eastAsia="Times New Roman" w:cs="Times New Roman"/>
      <w:bCs/>
      <w:color w:val="007B4B"/>
      <w:sz w:val="44"/>
      <w:szCs w:val="44"/>
      <w:lang w:val="en-AU" w:eastAsia="en-US"/>
    </w:rPr>
  </w:style>
  <w:style w:type="character" w:customStyle="1" w:styleId="DHHSTOCheadingreportChar">
    <w:name w:val="DHHS TOC heading report Char"/>
    <w:link w:val="DHHSTOCheadingreport"/>
    <w:uiPriority w:val="5"/>
    <w:rsid w:val="00CB3863"/>
    <w:rPr>
      <w:rFonts w:ascii="Arial" w:eastAsia="Times New Roman" w:hAnsi="Arial" w:cs="Times New Roman"/>
      <w:bCs/>
      <w:color w:val="007B4B"/>
      <w:sz w:val="44"/>
      <w:szCs w:val="44"/>
      <w:lang w:val="en-AU" w:eastAsia="en-US"/>
    </w:rPr>
  </w:style>
  <w:style w:type="paragraph" w:styleId="TOCHeading">
    <w:name w:val="TOC Heading"/>
    <w:basedOn w:val="Heading1"/>
    <w:next w:val="Normal"/>
    <w:uiPriority w:val="39"/>
    <w:unhideWhenUsed/>
    <w:qFormat/>
    <w:rsid w:val="005A4917"/>
    <w:pPr>
      <w:numPr>
        <w:numId w:val="0"/>
      </w:numPr>
      <w:spacing w:before="240" w:after="0" w:line="259" w:lineRule="auto"/>
      <w:outlineLvl w:val="9"/>
    </w:pPr>
    <w:rPr>
      <w:rFonts w:asciiTheme="majorHAnsi" w:hAnsiTheme="majorHAnsi"/>
      <w:sz w:val="32"/>
      <w:szCs w:val="32"/>
      <w:lang w:eastAsia="en-US"/>
    </w:rPr>
  </w:style>
  <w:style w:type="character" w:customStyle="1" w:styleId="DHHSbodyChar">
    <w:name w:val="DHHS body Char"/>
    <w:link w:val="DHHSbody"/>
    <w:rsid w:val="00CB3863"/>
    <w:rPr>
      <w:rFonts w:ascii="Arial" w:eastAsia="Times" w:hAnsi="Arial" w:cs="Times New Roman"/>
      <w:sz w:val="21"/>
      <w:szCs w:val="20"/>
      <w:lang w:val="en-AU" w:eastAsia="en-US"/>
    </w:rPr>
  </w:style>
  <w:style w:type="paragraph" w:customStyle="1" w:styleId="Bannermarking">
    <w:name w:val="Banner marking"/>
    <w:basedOn w:val="Body"/>
    <w:uiPriority w:val="11"/>
    <w:rsid w:val="00E523F6"/>
    <w:pPr>
      <w:spacing w:after="0"/>
    </w:pPr>
    <w:rPr>
      <w:b/>
      <w:bCs/>
      <w:color w:val="000000" w:themeColor="text1"/>
    </w:rPr>
  </w:style>
  <w:style w:type="paragraph" w:styleId="NormalWeb">
    <w:name w:val="Normal (Web)"/>
    <w:basedOn w:val="Normal"/>
    <w:uiPriority w:val="99"/>
    <w:semiHidden/>
    <w:unhideWhenUsed/>
    <w:rsid w:val="00F8130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GridTable1Light-Accent1">
    <w:name w:val="Grid Table 1 Light Accent 1"/>
    <w:basedOn w:val="TableNormal"/>
    <w:uiPriority w:val="46"/>
    <w:rsid w:val="00101898"/>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4426">
      <w:bodyDiv w:val="1"/>
      <w:marLeft w:val="0"/>
      <w:marRight w:val="0"/>
      <w:marTop w:val="0"/>
      <w:marBottom w:val="0"/>
      <w:divBdr>
        <w:top w:val="none" w:sz="0" w:space="0" w:color="auto"/>
        <w:left w:val="none" w:sz="0" w:space="0" w:color="auto"/>
        <w:bottom w:val="none" w:sz="0" w:space="0" w:color="auto"/>
        <w:right w:val="none" w:sz="0" w:space="0" w:color="auto"/>
      </w:divBdr>
      <w:divsChild>
        <w:div w:id="21246579">
          <w:marLeft w:val="274"/>
          <w:marRight w:val="0"/>
          <w:marTop w:val="0"/>
          <w:marBottom w:val="40"/>
          <w:divBdr>
            <w:top w:val="none" w:sz="0" w:space="0" w:color="auto"/>
            <w:left w:val="none" w:sz="0" w:space="0" w:color="auto"/>
            <w:bottom w:val="none" w:sz="0" w:space="0" w:color="auto"/>
            <w:right w:val="none" w:sz="0" w:space="0" w:color="auto"/>
          </w:divBdr>
        </w:div>
        <w:div w:id="197359646">
          <w:marLeft w:val="274"/>
          <w:marRight w:val="0"/>
          <w:marTop w:val="0"/>
          <w:marBottom w:val="40"/>
          <w:divBdr>
            <w:top w:val="none" w:sz="0" w:space="0" w:color="auto"/>
            <w:left w:val="none" w:sz="0" w:space="0" w:color="auto"/>
            <w:bottom w:val="none" w:sz="0" w:space="0" w:color="auto"/>
            <w:right w:val="none" w:sz="0" w:space="0" w:color="auto"/>
          </w:divBdr>
        </w:div>
        <w:div w:id="433286850">
          <w:marLeft w:val="274"/>
          <w:marRight w:val="0"/>
          <w:marTop w:val="0"/>
          <w:marBottom w:val="40"/>
          <w:divBdr>
            <w:top w:val="none" w:sz="0" w:space="0" w:color="auto"/>
            <w:left w:val="none" w:sz="0" w:space="0" w:color="auto"/>
            <w:bottom w:val="none" w:sz="0" w:space="0" w:color="auto"/>
            <w:right w:val="none" w:sz="0" w:space="0" w:color="auto"/>
          </w:divBdr>
        </w:div>
        <w:div w:id="630942542">
          <w:marLeft w:val="274"/>
          <w:marRight w:val="0"/>
          <w:marTop w:val="0"/>
          <w:marBottom w:val="40"/>
          <w:divBdr>
            <w:top w:val="none" w:sz="0" w:space="0" w:color="auto"/>
            <w:left w:val="none" w:sz="0" w:space="0" w:color="auto"/>
            <w:bottom w:val="none" w:sz="0" w:space="0" w:color="auto"/>
            <w:right w:val="none" w:sz="0" w:space="0" w:color="auto"/>
          </w:divBdr>
        </w:div>
        <w:div w:id="791362761">
          <w:marLeft w:val="274"/>
          <w:marRight w:val="0"/>
          <w:marTop w:val="0"/>
          <w:marBottom w:val="40"/>
          <w:divBdr>
            <w:top w:val="none" w:sz="0" w:space="0" w:color="auto"/>
            <w:left w:val="none" w:sz="0" w:space="0" w:color="auto"/>
            <w:bottom w:val="none" w:sz="0" w:space="0" w:color="auto"/>
            <w:right w:val="none" w:sz="0" w:space="0" w:color="auto"/>
          </w:divBdr>
        </w:div>
        <w:div w:id="965936201">
          <w:marLeft w:val="274"/>
          <w:marRight w:val="0"/>
          <w:marTop w:val="0"/>
          <w:marBottom w:val="40"/>
          <w:divBdr>
            <w:top w:val="none" w:sz="0" w:space="0" w:color="auto"/>
            <w:left w:val="none" w:sz="0" w:space="0" w:color="auto"/>
            <w:bottom w:val="none" w:sz="0" w:space="0" w:color="auto"/>
            <w:right w:val="none" w:sz="0" w:space="0" w:color="auto"/>
          </w:divBdr>
        </w:div>
        <w:div w:id="1039932435">
          <w:marLeft w:val="274"/>
          <w:marRight w:val="0"/>
          <w:marTop w:val="0"/>
          <w:marBottom w:val="40"/>
          <w:divBdr>
            <w:top w:val="none" w:sz="0" w:space="0" w:color="auto"/>
            <w:left w:val="none" w:sz="0" w:space="0" w:color="auto"/>
            <w:bottom w:val="none" w:sz="0" w:space="0" w:color="auto"/>
            <w:right w:val="none" w:sz="0" w:space="0" w:color="auto"/>
          </w:divBdr>
        </w:div>
        <w:div w:id="1137574464">
          <w:marLeft w:val="274"/>
          <w:marRight w:val="0"/>
          <w:marTop w:val="0"/>
          <w:marBottom w:val="40"/>
          <w:divBdr>
            <w:top w:val="none" w:sz="0" w:space="0" w:color="auto"/>
            <w:left w:val="none" w:sz="0" w:space="0" w:color="auto"/>
            <w:bottom w:val="none" w:sz="0" w:space="0" w:color="auto"/>
            <w:right w:val="none" w:sz="0" w:space="0" w:color="auto"/>
          </w:divBdr>
        </w:div>
        <w:div w:id="1215582037">
          <w:marLeft w:val="274"/>
          <w:marRight w:val="0"/>
          <w:marTop w:val="0"/>
          <w:marBottom w:val="40"/>
          <w:divBdr>
            <w:top w:val="none" w:sz="0" w:space="0" w:color="auto"/>
            <w:left w:val="none" w:sz="0" w:space="0" w:color="auto"/>
            <w:bottom w:val="none" w:sz="0" w:space="0" w:color="auto"/>
            <w:right w:val="none" w:sz="0" w:space="0" w:color="auto"/>
          </w:divBdr>
        </w:div>
        <w:div w:id="1402943081">
          <w:marLeft w:val="274"/>
          <w:marRight w:val="0"/>
          <w:marTop w:val="0"/>
          <w:marBottom w:val="40"/>
          <w:divBdr>
            <w:top w:val="none" w:sz="0" w:space="0" w:color="auto"/>
            <w:left w:val="none" w:sz="0" w:space="0" w:color="auto"/>
            <w:bottom w:val="none" w:sz="0" w:space="0" w:color="auto"/>
            <w:right w:val="none" w:sz="0" w:space="0" w:color="auto"/>
          </w:divBdr>
        </w:div>
        <w:div w:id="1480145827">
          <w:marLeft w:val="274"/>
          <w:marRight w:val="0"/>
          <w:marTop w:val="0"/>
          <w:marBottom w:val="40"/>
          <w:divBdr>
            <w:top w:val="none" w:sz="0" w:space="0" w:color="auto"/>
            <w:left w:val="none" w:sz="0" w:space="0" w:color="auto"/>
            <w:bottom w:val="none" w:sz="0" w:space="0" w:color="auto"/>
            <w:right w:val="none" w:sz="0" w:space="0" w:color="auto"/>
          </w:divBdr>
        </w:div>
        <w:div w:id="1650666582">
          <w:marLeft w:val="274"/>
          <w:marRight w:val="0"/>
          <w:marTop w:val="0"/>
          <w:marBottom w:val="40"/>
          <w:divBdr>
            <w:top w:val="none" w:sz="0" w:space="0" w:color="auto"/>
            <w:left w:val="none" w:sz="0" w:space="0" w:color="auto"/>
            <w:bottom w:val="none" w:sz="0" w:space="0" w:color="auto"/>
            <w:right w:val="none" w:sz="0" w:space="0" w:color="auto"/>
          </w:divBdr>
        </w:div>
        <w:div w:id="1667434537">
          <w:marLeft w:val="274"/>
          <w:marRight w:val="0"/>
          <w:marTop w:val="0"/>
          <w:marBottom w:val="40"/>
          <w:divBdr>
            <w:top w:val="none" w:sz="0" w:space="0" w:color="auto"/>
            <w:left w:val="none" w:sz="0" w:space="0" w:color="auto"/>
            <w:bottom w:val="none" w:sz="0" w:space="0" w:color="auto"/>
            <w:right w:val="none" w:sz="0" w:space="0" w:color="auto"/>
          </w:divBdr>
        </w:div>
        <w:div w:id="2039694997">
          <w:marLeft w:val="274"/>
          <w:marRight w:val="0"/>
          <w:marTop w:val="0"/>
          <w:marBottom w:val="40"/>
          <w:divBdr>
            <w:top w:val="none" w:sz="0" w:space="0" w:color="auto"/>
            <w:left w:val="none" w:sz="0" w:space="0" w:color="auto"/>
            <w:bottom w:val="none" w:sz="0" w:space="0" w:color="auto"/>
            <w:right w:val="none" w:sz="0" w:space="0" w:color="auto"/>
          </w:divBdr>
        </w:div>
        <w:div w:id="2057896586">
          <w:marLeft w:val="274"/>
          <w:marRight w:val="0"/>
          <w:marTop w:val="0"/>
          <w:marBottom w:val="40"/>
          <w:divBdr>
            <w:top w:val="none" w:sz="0" w:space="0" w:color="auto"/>
            <w:left w:val="none" w:sz="0" w:space="0" w:color="auto"/>
            <w:bottom w:val="none" w:sz="0" w:space="0" w:color="auto"/>
            <w:right w:val="none" w:sz="0" w:space="0" w:color="auto"/>
          </w:divBdr>
        </w:div>
        <w:div w:id="2110075873">
          <w:marLeft w:val="274"/>
          <w:marRight w:val="0"/>
          <w:marTop w:val="0"/>
          <w:marBottom w:val="40"/>
          <w:divBdr>
            <w:top w:val="none" w:sz="0" w:space="0" w:color="auto"/>
            <w:left w:val="none" w:sz="0" w:space="0" w:color="auto"/>
            <w:bottom w:val="none" w:sz="0" w:space="0" w:color="auto"/>
            <w:right w:val="none" w:sz="0" w:space="0" w:color="auto"/>
          </w:divBdr>
        </w:div>
      </w:divsChild>
    </w:div>
    <w:div w:id="97068009">
      <w:bodyDiv w:val="1"/>
      <w:marLeft w:val="0"/>
      <w:marRight w:val="0"/>
      <w:marTop w:val="0"/>
      <w:marBottom w:val="0"/>
      <w:divBdr>
        <w:top w:val="none" w:sz="0" w:space="0" w:color="auto"/>
        <w:left w:val="none" w:sz="0" w:space="0" w:color="auto"/>
        <w:bottom w:val="none" w:sz="0" w:space="0" w:color="auto"/>
        <w:right w:val="none" w:sz="0" w:space="0" w:color="auto"/>
      </w:divBdr>
      <w:divsChild>
        <w:div w:id="46881241">
          <w:marLeft w:val="274"/>
          <w:marRight w:val="0"/>
          <w:marTop w:val="0"/>
          <w:marBottom w:val="40"/>
          <w:divBdr>
            <w:top w:val="none" w:sz="0" w:space="0" w:color="auto"/>
            <w:left w:val="none" w:sz="0" w:space="0" w:color="auto"/>
            <w:bottom w:val="none" w:sz="0" w:space="0" w:color="auto"/>
            <w:right w:val="none" w:sz="0" w:space="0" w:color="auto"/>
          </w:divBdr>
        </w:div>
        <w:div w:id="297607505">
          <w:marLeft w:val="274"/>
          <w:marRight w:val="0"/>
          <w:marTop w:val="0"/>
          <w:marBottom w:val="40"/>
          <w:divBdr>
            <w:top w:val="none" w:sz="0" w:space="0" w:color="auto"/>
            <w:left w:val="none" w:sz="0" w:space="0" w:color="auto"/>
            <w:bottom w:val="none" w:sz="0" w:space="0" w:color="auto"/>
            <w:right w:val="none" w:sz="0" w:space="0" w:color="auto"/>
          </w:divBdr>
        </w:div>
        <w:div w:id="2083065894">
          <w:marLeft w:val="274"/>
          <w:marRight w:val="0"/>
          <w:marTop w:val="0"/>
          <w:marBottom w:val="40"/>
          <w:divBdr>
            <w:top w:val="none" w:sz="0" w:space="0" w:color="auto"/>
            <w:left w:val="none" w:sz="0" w:space="0" w:color="auto"/>
            <w:bottom w:val="none" w:sz="0" w:space="0" w:color="auto"/>
            <w:right w:val="none" w:sz="0" w:space="0" w:color="auto"/>
          </w:divBdr>
        </w:div>
      </w:divsChild>
    </w:div>
    <w:div w:id="137846810">
      <w:bodyDiv w:val="1"/>
      <w:marLeft w:val="0"/>
      <w:marRight w:val="0"/>
      <w:marTop w:val="0"/>
      <w:marBottom w:val="0"/>
      <w:divBdr>
        <w:top w:val="none" w:sz="0" w:space="0" w:color="auto"/>
        <w:left w:val="none" w:sz="0" w:space="0" w:color="auto"/>
        <w:bottom w:val="none" w:sz="0" w:space="0" w:color="auto"/>
        <w:right w:val="none" w:sz="0" w:space="0" w:color="auto"/>
      </w:divBdr>
    </w:div>
    <w:div w:id="162935006">
      <w:bodyDiv w:val="1"/>
      <w:marLeft w:val="0"/>
      <w:marRight w:val="0"/>
      <w:marTop w:val="0"/>
      <w:marBottom w:val="0"/>
      <w:divBdr>
        <w:top w:val="none" w:sz="0" w:space="0" w:color="auto"/>
        <w:left w:val="none" w:sz="0" w:space="0" w:color="auto"/>
        <w:bottom w:val="none" w:sz="0" w:space="0" w:color="auto"/>
        <w:right w:val="none" w:sz="0" w:space="0" w:color="auto"/>
      </w:divBdr>
      <w:divsChild>
        <w:div w:id="150602101">
          <w:marLeft w:val="274"/>
          <w:marRight w:val="0"/>
          <w:marTop w:val="0"/>
          <w:marBottom w:val="40"/>
          <w:divBdr>
            <w:top w:val="none" w:sz="0" w:space="0" w:color="auto"/>
            <w:left w:val="none" w:sz="0" w:space="0" w:color="auto"/>
            <w:bottom w:val="none" w:sz="0" w:space="0" w:color="auto"/>
            <w:right w:val="none" w:sz="0" w:space="0" w:color="auto"/>
          </w:divBdr>
        </w:div>
        <w:div w:id="848370106">
          <w:marLeft w:val="274"/>
          <w:marRight w:val="0"/>
          <w:marTop w:val="0"/>
          <w:marBottom w:val="40"/>
          <w:divBdr>
            <w:top w:val="none" w:sz="0" w:space="0" w:color="auto"/>
            <w:left w:val="none" w:sz="0" w:space="0" w:color="auto"/>
            <w:bottom w:val="none" w:sz="0" w:space="0" w:color="auto"/>
            <w:right w:val="none" w:sz="0" w:space="0" w:color="auto"/>
          </w:divBdr>
        </w:div>
      </w:divsChild>
    </w:div>
    <w:div w:id="168448537">
      <w:bodyDiv w:val="1"/>
      <w:marLeft w:val="0"/>
      <w:marRight w:val="0"/>
      <w:marTop w:val="0"/>
      <w:marBottom w:val="0"/>
      <w:divBdr>
        <w:top w:val="none" w:sz="0" w:space="0" w:color="auto"/>
        <w:left w:val="none" w:sz="0" w:space="0" w:color="auto"/>
        <w:bottom w:val="none" w:sz="0" w:space="0" w:color="auto"/>
        <w:right w:val="none" w:sz="0" w:space="0" w:color="auto"/>
      </w:divBdr>
      <w:divsChild>
        <w:div w:id="55517317">
          <w:marLeft w:val="274"/>
          <w:marRight w:val="0"/>
          <w:marTop w:val="0"/>
          <w:marBottom w:val="120"/>
          <w:divBdr>
            <w:top w:val="none" w:sz="0" w:space="0" w:color="auto"/>
            <w:left w:val="none" w:sz="0" w:space="0" w:color="auto"/>
            <w:bottom w:val="none" w:sz="0" w:space="0" w:color="auto"/>
            <w:right w:val="none" w:sz="0" w:space="0" w:color="auto"/>
          </w:divBdr>
        </w:div>
        <w:div w:id="146410299">
          <w:marLeft w:val="274"/>
          <w:marRight w:val="0"/>
          <w:marTop w:val="0"/>
          <w:marBottom w:val="120"/>
          <w:divBdr>
            <w:top w:val="none" w:sz="0" w:space="0" w:color="auto"/>
            <w:left w:val="none" w:sz="0" w:space="0" w:color="auto"/>
            <w:bottom w:val="none" w:sz="0" w:space="0" w:color="auto"/>
            <w:right w:val="none" w:sz="0" w:space="0" w:color="auto"/>
          </w:divBdr>
        </w:div>
        <w:div w:id="208732860">
          <w:marLeft w:val="274"/>
          <w:marRight w:val="0"/>
          <w:marTop w:val="0"/>
          <w:marBottom w:val="120"/>
          <w:divBdr>
            <w:top w:val="none" w:sz="0" w:space="0" w:color="auto"/>
            <w:left w:val="none" w:sz="0" w:space="0" w:color="auto"/>
            <w:bottom w:val="none" w:sz="0" w:space="0" w:color="auto"/>
            <w:right w:val="none" w:sz="0" w:space="0" w:color="auto"/>
          </w:divBdr>
        </w:div>
        <w:div w:id="218178167">
          <w:marLeft w:val="274"/>
          <w:marRight w:val="0"/>
          <w:marTop w:val="0"/>
          <w:marBottom w:val="120"/>
          <w:divBdr>
            <w:top w:val="none" w:sz="0" w:space="0" w:color="auto"/>
            <w:left w:val="none" w:sz="0" w:space="0" w:color="auto"/>
            <w:bottom w:val="none" w:sz="0" w:space="0" w:color="auto"/>
            <w:right w:val="none" w:sz="0" w:space="0" w:color="auto"/>
          </w:divBdr>
        </w:div>
        <w:div w:id="293873539">
          <w:marLeft w:val="274"/>
          <w:marRight w:val="0"/>
          <w:marTop w:val="0"/>
          <w:marBottom w:val="120"/>
          <w:divBdr>
            <w:top w:val="none" w:sz="0" w:space="0" w:color="auto"/>
            <w:left w:val="none" w:sz="0" w:space="0" w:color="auto"/>
            <w:bottom w:val="none" w:sz="0" w:space="0" w:color="auto"/>
            <w:right w:val="none" w:sz="0" w:space="0" w:color="auto"/>
          </w:divBdr>
        </w:div>
        <w:div w:id="337461408">
          <w:marLeft w:val="274"/>
          <w:marRight w:val="0"/>
          <w:marTop w:val="0"/>
          <w:marBottom w:val="120"/>
          <w:divBdr>
            <w:top w:val="none" w:sz="0" w:space="0" w:color="auto"/>
            <w:left w:val="none" w:sz="0" w:space="0" w:color="auto"/>
            <w:bottom w:val="none" w:sz="0" w:space="0" w:color="auto"/>
            <w:right w:val="none" w:sz="0" w:space="0" w:color="auto"/>
          </w:divBdr>
        </w:div>
        <w:div w:id="376394005">
          <w:marLeft w:val="274"/>
          <w:marRight w:val="0"/>
          <w:marTop w:val="0"/>
          <w:marBottom w:val="120"/>
          <w:divBdr>
            <w:top w:val="none" w:sz="0" w:space="0" w:color="auto"/>
            <w:left w:val="none" w:sz="0" w:space="0" w:color="auto"/>
            <w:bottom w:val="none" w:sz="0" w:space="0" w:color="auto"/>
            <w:right w:val="none" w:sz="0" w:space="0" w:color="auto"/>
          </w:divBdr>
        </w:div>
        <w:div w:id="610819502">
          <w:marLeft w:val="274"/>
          <w:marRight w:val="0"/>
          <w:marTop w:val="0"/>
          <w:marBottom w:val="120"/>
          <w:divBdr>
            <w:top w:val="none" w:sz="0" w:space="0" w:color="auto"/>
            <w:left w:val="none" w:sz="0" w:space="0" w:color="auto"/>
            <w:bottom w:val="none" w:sz="0" w:space="0" w:color="auto"/>
            <w:right w:val="none" w:sz="0" w:space="0" w:color="auto"/>
          </w:divBdr>
        </w:div>
        <w:div w:id="707294262">
          <w:marLeft w:val="274"/>
          <w:marRight w:val="0"/>
          <w:marTop w:val="0"/>
          <w:marBottom w:val="120"/>
          <w:divBdr>
            <w:top w:val="none" w:sz="0" w:space="0" w:color="auto"/>
            <w:left w:val="none" w:sz="0" w:space="0" w:color="auto"/>
            <w:bottom w:val="none" w:sz="0" w:space="0" w:color="auto"/>
            <w:right w:val="none" w:sz="0" w:space="0" w:color="auto"/>
          </w:divBdr>
        </w:div>
        <w:div w:id="713238328">
          <w:marLeft w:val="274"/>
          <w:marRight w:val="0"/>
          <w:marTop w:val="0"/>
          <w:marBottom w:val="120"/>
          <w:divBdr>
            <w:top w:val="none" w:sz="0" w:space="0" w:color="auto"/>
            <w:left w:val="none" w:sz="0" w:space="0" w:color="auto"/>
            <w:bottom w:val="none" w:sz="0" w:space="0" w:color="auto"/>
            <w:right w:val="none" w:sz="0" w:space="0" w:color="auto"/>
          </w:divBdr>
        </w:div>
        <w:div w:id="767624957">
          <w:marLeft w:val="274"/>
          <w:marRight w:val="0"/>
          <w:marTop w:val="0"/>
          <w:marBottom w:val="120"/>
          <w:divBdr>
            <w:top w:val="none" w:sz="0" w:space="0" w:color="auto"/>
            <w:left w:val="none" w:sz="0" w:space="0" w:color="auto"/>
            <w:bottom w:val="none" w:sz="0" w:space="0" w:color="auto"/>
            <w:right w:val="none" w:sz="0" w:space="0" w:color="auto"/>
          </w:divBdr>
        </w:div>
        <w:div w:id="826633798">
          <w:marLeft w:val="274"/>
          <w:marRight w:val="0"/>
          <w:marTop w:val="0"/>
          <w:marBottom w:val="120"/>
          <w:divBdr>
            <w:top w:val="none" w:sz="0" w:space="0" w:color="auto"/>
            <w:left w:val="none" w:sz="0" w:space="0" w:color="auto"/>
            <w:bottom w:val="none" w:sz="0" w:space="0" w:color="auto"/>
            <w:right w:val="none" w:sz="0" w:space="0" w:color="auto"/>
          </w:divBdr>
        </w:div>
        <w:div w:id="867835422">
          <w:marLeft w:val="274"/>
          <w:marRight w:val="0"/>
          <w:marTop w:val="0"/>
          <w:marBottom w:val="120"/>
          <w:divBdr>
            <w:top w:val="none" w:sz="0" w:space="0" w:color="auto"/>
            <w:left w:val="none" w:sz="0" w:space="0" w:color="auto"/>
            <w:bottom w:val="none" w:sz="0" w:space="0" w:color="auto"/>
            <w:right w:val="none" w:sz="0" w:space="0" w:color="auto"/>
          </w:divBdr>
        </w:div>
        <w:div w:id="964458963">
          <w:marLeft w:val="274"/>
          <w:marRight w:val="0"/>
          <w:marTop w:val="0"/>
          <w:marBottom w:val="120"/>
          <w:divBdr>
            <w:top w:val="none" w:sz="0" w:space="0" w:color="auto"/>
            <w:left w:val="none" w:sz="0" w:space="0" w:color="auto"/>
            <w:bottom w:val="none" w:sz="0" w:space="0" w:color="auto"/>
            <w:right w:val="none" w:sz="0" w:space="0" w:color="auto"/>
          </w:divBdr>
        </w:div>
        <w:div w:id="1148664720">
          <w:marLeft w:val="274"/>
          <w:marRight w:val="0"/>
          <w:marTop w:val="0"/>
          <w:marBottom w:val="120"/>
          <w:divBdr>
            <w:top w:val="none" w:sz="0" w:space="0" w:color="auto"/>
            <w:left w:val="none" w:sz="0" w:space="0" w:color="auto"/>
            <w:bottom w:val="none" w:sz="0" w:space="0" w:color="auto"/>
            <w:right w:val="none" w:sz="0" w:space="0" w:color="auto"/>
          </w:divBdr>
        </w:div>
        <w:div w:id="1150248829">
          <w:marLeft w:val="274"/>
          <w:marRight w:val="0"/>
          <w:marTop w:val="0"/>
          <w:marBottom w:val="120"/>
          <w:divBdr>
            <w:top w:val="none" w:sz="0" w:space="0" w:color="auto"/>
            <w:left w:val="none" w:sz="0" w:space="0" w:color="auto"/>
            <w:bottom w:val="none" w:sz="0" w:space="0" w:color="auto"/>
            <w:right w:val="none" w:sz="0" w:space="0" w:color="auto"/>
          </w:divBdr>
        </w:div>
        <w:div w:id="1416249356">
          <w:marLeft w:val="274"/>
          <w:marRight w:val="0"/>
          <w:marTop w:val="0"/>
          <w:marBottom w:val="120"/>
          <w:divBdr>
            <w:top w:val="none" w:sz="0" w:space="0" w:color="auto"/>
            <w:left w:val="none" w:sz="0" w:space="0" w:color="auto"/>
            <w:bottom w:val="none" w:sz="0" w:space="0" w:color="auto"/>
            <w:right w:val="none" w:sz="0" w:space="0" w:color="auto"/>
          </w:divBdr>
        </w:div>
        <w:div w:id="1743945646">
          <w:marLeft w:val="274"/>
          <w:marRight w:val="0"/>
          <w:marTop w:val="0"/>
          <w:marBottom w:val="120"/>
          <w:divBdr>
            <w:top w:val="none" w:sz="0" w:space="0" w:color="auto"/>
            <w:left w:val="none" w:sz="0" w:space="0" w:color="auto"/>
            <w:bottom w:val="none" w:sz="0" w:space="0" w:color="auto"/>
            <w:right w:val="none" w:sz="0" w:space="0" w:color="auto"/>
          </w:divBdr>
        </w:div>
        <w:div w:id="1890797353">
          <w:marLeft w:val="274"/>
          <w:marRight w:val="0"/>
          <w:marTop w:val="0"/>
          <w:marBottom w:val="120"/>
          <w:divBdr>
            <w:top w:val="none" w:sz="0" w:space="0" w:color="auto"/>
            <w:left w:val="none" w:sz="0" w:space="0" w:color="auto"/>
            <w:bottom w:val="none" w:sz="0" w:space="0" w:color="auto"/>
            <w:right w:val="none" w:sz="0" w:space="0" w:color="auto"/>
          </w:divBdr>
        </w:div>
        <w:div w:id="1996717590">
          <w:marLeft w:val="274"/>
          <w:marRight w:val="0"/>
          <w:marTop w:val="0"/>
          <w:marBottom w:val="120"/>
          <w:divBdr>
            <w:top w:val="none" w:sz="0" w:space="0" w:color="auto"/>
            <w:left w:val="none" w:sz="0" w:space="0" w:color="auto"/>
            <w:bottom w:val="none" w:sz="0" w:space="0" w:color="auto"/>
            <w:right w:val="none" w:sz="0" w:space="0" w:color="auto"/>
          </w:divBdr>
        </w:div>
        <w:div w:id="2143225798">
          <w:marLeft w:val="274"/>
          <w:marRight w:val="0"/>
          <w:marTop w:val="0"/>
          <w:marBottom w:val="120"/>
          <w:divBdr>
            <w:top w:val="none" w:sz="0" w:space="0" w:color="auto"/>
            <w:left w:val="none" w:sz="0" w:space="0" w:color="auto"/>
            <w:bottom w:val="none" w:sz="0" w:space="0" w:color="auto"/>
            <w:right w:val="none" w:sz="0" w:space="0" w:color="auto"/>
          </w:divBdr>
        </w:div>
      </w:divsChild>
    </w:div>
    <w:div w:id="203761353">
      <w:bodyDiv w:val="1"/>
      <w:marLeft w:val="0"/>
      <w:marRight w:val="0"/>
      <w:marTop w:val="0"/>
      <w:marBottom w:val="0"/>
      <w:divBdr>
        <w:top w:val="none" w:sz="0" w:space="0" w:color="auto"/>
        <w:left w:val="none" w:sz="0" w:space="0" w:color="auto"/>
        <w:bottom w:val="none" w:sz="0" w:space="0" w:color="auto"/>
        <w:right w:val="none" w:sz="0" w:space="0" w:color="auto"/>
      </w:divBdr>
    </w:div>
    <w:div w:id="309676037">
      <w:bodyDiv w:val="1"/>
      <w:marLeft w:val="0"/>
      <w:marRight w:val="0"/>
      <w:marTop w:val="0"/>
      <w:marBottom w:val="0"/>
      <w:divBdr>
        <w:top w:val="none" w:sz="0" w:space="0" w:color="auto"/>
        <w:left w:val="none" w:sz="0" w:space="0" w:color="auto"/>
        <w:bottom w:val="none" w:sz="0" w:space="0" w:color="auto"/>
        <w:right w:val="none" w:sz="0" w:space="0" w:color="auto"/>
      </w:divBdr>
    </w:div>
    <w:div w:id="418865393">
      <w:bodyDiv w:val="1"/>
      <w:marLeft w:val="0"/>
      <w:marRight w:val="0"/>
      <w:marTop w:val="0"/>
      <w:marBottom w:val="0"/>
      <w:divBdr>
        <w:top w:val="none" w:sz="0" w:space="0" w:color="auto"/>
        <w:left w:val="none" w:sz="0" w:space="0" w:color="auto"/>
        <w:bottom w:val="none" w:sz="0" w:space="0" w:color="auto"/>
        <w:right w:val="none" w:sz="0" w:space="0" w:color="auto"/>
      </w:divBdr>
    </w:div>
    <w:div w:id="442965863">
      <w:bodyDiv w:val="1"/>
      <w:marLeft w:val="0"/>
      <w:marRight w:val="0"/>
      <w:marTop w:val="0"/>
      <w:marBottom w:val="0"/>
      <w:divBdr>
        <w:top w:val="none" w:sz="0" w:space="0" w:color="auto"/>
        <w:left w:val="none" w:sz="0" w:space="0" w:color="auto"/>
        <w:bottom w:val="none" w:sz="0" w:space="0" w:color="auto"/>
        <w:right w:val="none" w:sz="0" w:space="0" w:color="auto"/>
      </w:divBdr>
    </w:div>
    <w:div w:id="563757611">
      <w:bodyDiv w:val="1"/>
      <w:marLeft w:val="0"/>
      <w:marRight w:val="0"/>
      <w:marTop w:val="0"/>
      <w:marBottom w:val="0"/>
      <w:divBdr>
        <w:top w:val="none" w:sz="0" w:space="0" w:color="auto"/>
        <w:left w:val="none" w:sz="0" w:space="0" w:color="auto"/>
        <w:bottom w:val="none" w:sz="0" w:space="0" w:color="auto"/>
        <w:right w:val="none" w:sz="0" w:space="0" w:color="auto"/>
      </w:divBdr>
      <w:divsChild>
        <w:div w:id="482770488">
          <w:marLeft w:val="446"/>
          <w:marRight w:val="0"/>
          <w:marTop w:val="0"/>
          <w:marBottom w:val="0"/>
          <w:divBdr>
            <w:top w:val="none" w:sz="0" w:space="0" w:color="auto"/>
            <w:left w:val="none" w:sz="0" w:space="0" w:color="auto"/>
            <w:bottom w:val="none" w:sz="0" w:space="0" w:color="auto"/>
            <w:right w:val="none" w:sz="0" w:space="0" w:color="auto"/>
          </w:divBdr>
        </w:div>
        <w:div w:id="1032147255">
          <w:marLeft w:val="446"/>
          <w:marRight w:val="0"/>
          <w:marTop w:val="0"/>
          <w:marBottom w:val="0"/>
          <w:divBdr>
            <w:top w:val="none" w:sz="0" w:space="0" w:color="auto"/>
            <w:left w:val="none" w:sz="0" w:space="0" w:color="auto"/>
            <w:bottom w:val="none" w:sz="0" w:space="0" w:color="auto"/>
            <w:right w:val="none" w:sz="0" w:space="0" w:color="auto"/>
          </w:divBdr>
        </w:div>
        <w:div w:id="1414349745">
          <w:marLeft w:val="446"/>
          <w:marRight w:val="0"/>
          <w:marTop w:val="0"/>
          <w:marBottom w:val="0"/>
          <w:divBdr>
            <w:top w:val="none" w:sz="0" w:space="0" w:color="auto"/>
            <w:left w:val="none" w:sz="0" w:space="0" w:color="auto"/>
            <w:bottom w:val="none" w:sz="0" w:space="0" w:color="auto"/>
            <w:right w:val="none" w:sz="0" w:space="0" w:color="auto"/>
          </w:divBdr>
        </w:div>
      </w:divsChild>
    </w:div>
    <w:div w:id="568539262">
      <w:bodyDiv w:val="1"/>
      <w:marLeft w:val="0"/>
      <w:marRight w:val="0"/>
      <w:marTop w:val="0"/>
      <w:marBottom w:val="0"/>
      <w:divBdr>
        <w:top w:val="none" w:sz="0" w:space="0" w:color="auto"/>
        <w:left w:val="none" w:sz="0" w:space="0" w:color="auto"/>
        <w:bottom w:val="none" w:sz="0" w:space="0" w:color="auto"/>
        <w:right w:val="none" w:sz="0" w:space="0" w:color="auto"/>
      </w:divBdr>
      <w:divsChild>
        <w:div w:id="490675750">
          <w:marLeft w:val="274"/>
          <w:marRight w:val="0"/>
          <w:marTop w:val="0"/>
          <w:marBottom w:val="40"/>
          <w:divBdr>
            <w:top w:val="none" w:sz="0" w:space="0" w:color="auto"/>
            <w:left w:val="none" w:sz="0" w:space="0" w:color="auto"/>
            <w:bottom w:val="none" w:sz="0" w:space="0" w:color="auto"/>
            <w:right w:val="none" w:sz="0" w:space="0" w:color="auto"/>
          </w:divBdr>
        </w:div>
        <w:div w:id="1561406188">
          <w:marLeft w:val="274"/>
          <w:marRight w:val="0"/>
          <w:marTop w:val="0"/>
          <w:marBottom w:val="40"/>
          <w:divBdr>
            <w:top w:val="none" w:sz="0" w:space="0" w:color="auto"/>
            <w:left w:val="none" w:sz="0" w:space="0" w:color="auto"/>
            <w:bottom w:val="none" w:sz="0" w:space="0" w:color="auto"/>
            <w:right w:val="none" w:sz="0" w:space="0" w:color="auto"/>
          </w:divBdr>
        </w:div>
      </w:divsChild>
    </w:div>
    <w:div w:id="572741817">
      <w:bodyDiv w:val="1"/>
      <w:marLeft w:val="0"/>
      <w:marRight w:val="0"/>
      <w:marTop w:val="0"/>
      <w:marBottom w:val="0"/>
      <w:divBdr>
        <w:top w:val="none" w:sz="0" w:space="0" w:color="auto"/>
        <w:left w:val="none" w:sz="0" w:space="0" w:color="auto"/>
        <w:bottom w:val="none" w:sz="0" w:space="0" w:color="auto"/>
        <w:right w:val="none" w:sz="0" w:space="0" w:color="auto"/>
      </w:divBdr>
      <w:divsChild>
        <w:div w:id="45377947">
          <w:marLeft w:val="274"/>
          <w:marRight w:val="0"/>
          <w:marTop w:val="0"/>
          <w:marBottom w:val="40"/>
          <w:divBdr>
            <w:top w:val="none" w:sz="0" w:space="0" w:color="auto"/>
            <w:left w:val="none" w:sz="0" w:space="0" w:color="auto"/>
            <w:bottom w:val="none" w:sz="0" w:space="0" w:color="auto"/>
            <w:right w:val="none" w:sz="0" w:space="0" w:color="auto"/>
          </w:divBdr>
        </w:div>
        <w:div w:id="98257292">
          <w:marLeft w:val="274"/>
          <w:marRight w:val="0"/>
          <w:marTop w:val="0"/>
          <w:marBottom w:val="40"/>
          <w:divBdr>
            <w:top w:val="none" w:sz="0" w:space="0" w:color="auto"/>
            <w:left w:val="none" w:sz="0" w:space="0" w:color="auto"/>
            <w:bottom w:val="none" w:sz="0" w:space="0" w:color="auto"/>
            <w:right w:val="none" w:sz="0" w:space="0" w:color="auto"/>
          </w:divBdr>
        </w:div>
        <w:div w:id="258300198">
          <w:marLeft w:val="274"/>
          <w:marRight w:val="0"/>
          <w:marTop w:val="0"/>
          <w:marBottom w:val="40"/>
          <w:divBdr>
            <w:top w:val="none" w:sz="0" w:space="0" w:color="auto"/>
            <w:left w:val="none" w:sz="0" w:space="0" w:color="auto"/>
            <w:bottom w:val="none" w:sz="0" w:space="0" w:color="auto"/>
            <w:right w:val="none" w:sz="0" w:space="0" w:color="auto"/>
          </w:divBdr>
        </w:div>
        <w:div w:id="490296477">
          <w:marLeft w:val="274"/>
          <w:marRight w:val="0"/>
          <w:marTop w:val="0"/>
          <w:marBottom w:val="40"/>
          <w:divBdr>
            <w:top w:val="none" w:sz="0" w:space="0" w:color="auto"/>
            <w:left w:val="none" w:sz="0" w:space="0" w:color="auto"/>
            <w:bottom w:val="none" w:sz="0" w:space="0" w:color="auto"/>
            <w:right w:val="none" w:sz="0" w:space="0" w:color="auto"/>
          </w:divBdr>
        </w:div>
        <w:div w:id="541870347">
          <w:marLeft w:val="274"/>
          <w:marRight w:val="0"/>
          <w:marTop w:val="0"/>
          <w:marBottom w:val="40"/>
          <w:divBdr>
            <w:top w:val="none" w:sz="0" w:space="0" w:color="auto"/>
            <w:left w:val="none" w:sz="0" w:space="0" w:color="auto"/>
            <w:bottom w:val="none" w:sz="0" w:space="0" w:color="auto"/>
            <w:right w:val="none" w:sz="0" w:space="0" w:color="auto"/>
          </w:divBdr>
        </w:div>
        <w:div w:id="608126255">
          <w:marLeft w:val="274"/>
          <w:marRight w:val="0"/>
          <w:marTop w:val="0"/>
          <w:marBottom w:val="40"/>
          <w:divBdr>
            <w:top w:val="none" w:sz="0" w:space="0" w:color="auto"/>
            <w:left w:val="none" w:sz="0" w:space="0" w:color="auto"/>
            <w:bottom w:val="none" w:sz="0" w:space="0" w:color="auto"/>
            <w:right w:val="none" w:sz="0" w:space="0" w:color="auto"/>
          </w:divBdr>
        </w:div>
        <w:div w:id="722557049">
          <w:marLeft w:val="274"/>
          <w:marRight w:val="0"/>
          <w:marTop w:val="0"/>
          <w:marBottom w:val="40"/>
          <w:divBdr>
            <w:top w:val="none" w:sz="0" w:space="0" w:color="auto"/>
            <w:left w:val="none" w:sz="0" w:space="0" w:color="auto"/>
            <w:bottom w:val="none" w:sz="0" w:space="0" w:color="auto"/>
            <w:right w:val="none" w:sz="0" w:space="0" w:color="auto"/>
          </w:divBdr>
        </w:div>
        <w:div w:id="1001009931">
          <w:marLeft w:val="274"/>
          <w:marRight w:val="0"/>
          <w:marTop w:val="0"/>
          <w:marBottom w:val="40"/>
          <w:divBdr>
            <w:top w:val="none" w:sz="0" w:space="0" w:color="auto"/>
            <w:left w:val="none" w:sz="0" w:space="0" w:color="auto"/>
            <w:bottom w:val="none" w:sz="0" w:space="0" w:color="auto"/>
            <w:right w:val="none" w:sz="0" w:space="0" w:color="auto"/>
          </w:divBdr>
        </w:div>
        <w:div w:id="1140655215">
          <w:marLeft w:val="274"/>
          <w:marRight w:val="0"/>
          <w:marTop w:val="0"/>
          <w:marBottom w:val="40"/>
          <w:divBdr>
            <w:top w:val="none" w:sz="0" w:space="0" w:color="auto"/>
            <w:left w:val="none" w:sz="0" w:space="0" w:color="auto"/>
            <w:bottom w:val="none" w:sz="0" w:space="0" w:color="auto"/>
            <w:right w:val="none" w:sz="0" w:space="0" w:color="auto"/>
          </w:divBdr>
        </w:div>
        <w:div w:id="1177428192">
          <w:marLeft w:val="274"/>
          <w:marRight w:val="0"/>
          <w:marTop w:val="0"/>
          <w:marBottom w:val="40"/>
          <w:divBdr>
            <w:top w:val="none" w:sz="0" w:space="0" w:color="auto"/>
            <w:left w:val="none" w:sz="0" w:space="0" w:color="auto"/>
            <w:bottom w:val="none" w:sz="0" w:space="0" w:color="auto"/>
            <w:right w:val="none" w:sz="0" w:space="0" w:color="auto"/>
          </w:divBdr>
        </w:div>
        <w:div w:id="1214997775">
          <w:marLeft w:val="274"/>
          <w:marRight w:val="0"/>
          <w:marTop w:val="0"/>
          <w:marBottom w:val="40"/>
          <w:divBdr>
            <w:top w:val="none" w:sz="0" w:space="0" w:color="auto"/>
            <w:left w:val="none" w:sz="0" w:space="0" w:color="auto"/>
            <w:bottom w:val="none" w:sz="0" w:space="0" w:color="auto"/>
            <w:right w:val="none" w:sz="0" w:space="0" w:color="auto"/>
          </w:divBdr>
        </w:div>
        <w:div w:id="1470247267">
          <w:marLeft w:val="274"/>
          <w:marRight w:val="0"/>
          <w:marTop w:val="0"/>
          <w:marBottom w:val="40"/>
          <w:divBdr>
            <w:top w:val="none" w:sz="0" w:space="0" w:color="auto"/>
            <w:left w:val="none" w:sz="0" w:space="0" w:color="auto"/>
            <w:bottom w:val="none" w:sz="0" w:space="0" w:color="auto"/>
            <w:right w:val="none" w:sz="0" w:space="0" w:color="auto"/>
          </w:divBdr>
        </w:div>
        <w:div w:id="1546792661">
          <w:marLeft w:val="274"/>
          <w:marRight w:val="0"/>
          <w:marTop w:val="0"/>
          <w:marBottom w:val="40"/>
          <w:divBdr>
            <w:top w:val="none" w:sz="0" w:space="0" w:color="auto"/>
            <w:left w:val="none" w:sz="0" w:space="0" w:color="auto"/>
            <w:bottom w:val="none" w:sz="0" w:space="0" w:color="auto"/>
            <w:right w:val="none" w:sz="0" w:space="0" w:color="auto"/>
          </w:divBdr>
        </w:div>
        <w:div w:id="1563982672">
          <w:marLeft w:val="274"/>
          <w:marRight w:val="0"/>
          <w:marTop w:val="0"/>
          <w:marBottom w:val="40"/>
          <w:divBdr>
            <w:top w:val="none" w:sz="0" w:space="0" w:color="auto"/>
            <w:left w:val="none" w:sz="0" w:space="0" w:color="auto"/>
            <w:bottom w:val="none" w:sz="0" w:space="0" w:color="auto"/>
            <w:right w:val="none" w:sz="0" w:space="0" w:color="auto"/>
          </w:divBdr>
        </w:div>
        <w:div w:id="1907492429">
          <w:marLeft w:val="274"/>
          <w:marRight w:val="0"/>
          <w:marTop w:val="0"/>
          <w:marBottom w:val="40"/>
          <w:divBdr>
            <w:top w:val="none" w:sz="0" w:space="0" w:color="auto"/>
            <w:left w:val="none" w:sz="0" w:space="0" w:color="auto"/>
            <w:bottom w:val="none" w:sz="0" w:space="0" w:color="auto"/>
            <w:right w:val="none" w:sz="0" w:space="0" w:color="auto"/>
          </w:divBdr>
        </w:div>
        <w:div w:id="1987662092">
          <w:marLeft w:val="274"/>
          <w:marRight w:val="0"/>
          <w:marTop w:val="0"/>
          <w:marBottom w:val="40"/>
          <w:divBdr>
            <w:top w:val="none" w:sz="0" w:space="0" w:color="auto"/>
            <w:left w:val="none" w:sz="0" w:space="0" w:color="auto"/>
            <w:bottom w:val="none" w:sz="0" w:space="0" w:color="auto"/>
            <w:right w:val="none" w:sz="0" w:space="0" w:color="auto"/>
          </w:divBdr>
        </w:div>
      </w:divsChild>
    </w:div>
    <w:div w:id="594483819">
      <w:bodyDiv w:val="1"/>
      <w:marLeft w:val="0"/>
      <w:marRight w:val="0"/>
      <w:marTop w:val="0"/>
      <w:marBottom w:val="0"/>
      <w:divBdr>
        <w:top w:val="none" w:sz="0" w:space="0" w:color="auto"/>
        <w:left w:val="none" w:sz="0" w:space="0" w:color="auto"/>
        <w:bottom w:val="none" w:sz="0" w:space="0" w:color="auto"/>
        <w:right w:val="none" w:sz="0" w:space="0" w:color="auto"/>
      </w:divBdr>
    </w:div>
    <w:div w:id="595556218">
      <w:bodyDiv w:val="1"/>
      <w:marLeft w:val="0"/>
      <w:marRight w:val="0"/>
      <w:marTop w:val="0"/>
      <w:marBottom w:val="0"/>
      <w:divBdr>
        <w:top w:val="none" w:sz="0" w:space="0" w:color="auto"/>
        <w:left w:val="none" w:sz="0" w:space="0" w:color="auto"/>
        <w:bottom w:val="none" w:sz="0" w:space="0" w:color="auto"/>
        <w:right w:val="none" w:sz="0" w:space="0" w:color="auto"/>
      </w:divBdr>
    </w:div>
    <w:div w:id="639113374">
      <w:bodyDiv w:val="1"/>
      <w:marLeft w:val="0"/>
      <w:marRight w:val="0"/>
      <w:marTop w:val="0"/>
      <w:marBottom w:val="0"/>
      <w:divBdr>
        <w:top w:val="none" w:sz="0" w:space="0" w:color="auto"/>
        <w:left w:val="none" w:sz="0" w:space="0" w:color="auto"/>
        <w:bottom w:val="none" w:sz="0" w:space="0" w:color="auto"/>
        <w:right w:val="none" w:sz="0" w:space="0" w:color="auto"/>
      </w:divBdr>
      <w:divsChild>
        <w:div w:id="187834434">
          <w:marLeft w:val="274"/>
          <w:marRight w:val="0"/>
          <w:marTop w:val="0"/>
          <w:marBottom w:val="0"/>
          <w:divBdr>
            <w:top w:val="none" w:sz="0" w:space="0" w:color="auto"/>
            <w:left w:val="none" w:sz="0" w:space="0" w:color="auto"/>
            <w:bottom w:val="none" w:sz="0" w:space="0" w:color="auto"/>
            <w:right w:val="none" w:sz="0" w:space="0" w:color="auto"/>
          </w:divBdr>
        </w:div>
        <w:div w:id="1040588041">
          <w:marLeft w:val="274"/>
          <w:marRight w:val="0"/>
          <w:marTop w:val="0"/>
          <w:marBottom w:val="0"/>
          <w:divBdr>
            <w:top w:val="none" w:sz="0" w:space="0" w:color="auto"/>
            <w:left w:val="none" w:sz="0" w:space="0" w:color="auto"/>
            <w:bottom w:val="none" w:sz="0" w:space="0" w:color="auto"/>
            <w:right w:val="none" w:sz="0" w:space="0" w:color="auto"/>
          </w:divBdr>
        </w:div>
        <w:div w:id="1275745042">
          <w:marLeft w:val="274"/>
          <w:marRight w:val="0"/>
          <w:marTop w:val="0"/>
          <w:marBottom w:val="0"/>
          <w:divBdr>
            <w:top w:val="none" w:sz="0" w:space="0" w:color="auto"/>
            <w:left w:val="none" w:sz="0" w:space="0" w:color="auto"/>
            <w:bottom w:val="none" w:sz="0" w:space="0" w:color="auto"/>
            <w:right w:val="none" w:sz="0" w:space="0" w:color="auto"/>
          </w:divBdr>
        </w:div>
        <w:div w:id="1726835849">
          <w:marLeft w:val="274"/>
          <w:marRight w:val="0"/>
          <w:marTop w:val="0"/>
          <w:marBottom w:val="0"/>
          <w:divBdr>
            <w:top w:val="none" w:sz="0" w:space="0" w:color="auto"/>
            <w:left w:val="none" w:sz="0" w:space="0" w:color="auto"/>
            <w:bottom w:val="none" w:sz="0" w:space="0" w:color="auto"/>
            <w:right w:val="none" w:sz="0" w:space="0" w:color="auto"/>
          </w:divBdr>
        </w:div>
      </w:divsChild>
    </w:div>
    <w:div w:id="685793404">
      <w:bodyDiv w:val="1"/>
      <w:marLeft w:val="0"/>
      <w:marRight w:val="0"/>
      <w:marTop w:val="0"/>
      <w:marBottom w:val="0"/>
      <w:divBdr>
        <w:top w:val="none" w:sz="0" w:space="0" w:color="auto"/>
        <w:left w:val="none" w:sz="0" w:space="0" w:color="auto"/>
        <w:bottom w:val="none" w:sz="0" w:space="0" w:color="auto"/>
        <w:right w:val="none" w:sz="0" w:space="0" w:color="auto"/>
      </w:divBdr>
    </w:div>
    <w:div w:id="762990887">
      <w:bodyDiv w:val="1"/>
      <w:marLeft w:val="0"/>
      <w:marRight w:val="0"/>
      <w:marTop w:val="0"/>
      <w:marBottom w:val="0"/>
      <w:divBdr>
        <w:top w:val="none" w:sz="0" w:space="0" w:color="auto"/>
        <w:left w:val="none" w:sz="0" w:space="0" w:color="auto"/>
        <w:bottom w:val="none" w:sz="0" w:space="0" w:color="auto"/>
        <w:right w:val="none" w:sz="0" w:space="0" w:color="auto"/>
      </w:divBdr>
      <w:divsChild>
        <w:div w:id="206113666">
          <w:marLeft w:val="274"/>
          <w:marRight w:val="0"/>
          <w:marTop w:val="0"/>
          <w:marBottom w:val="40"/>
          <w:divBdr>
            <w:top w:val="none" w:sz="0" w:space="0" w:color="auto"/>
            <w:left w:val="none" w:sz="0" w:space="0" w:color="auto"/>
            <w:bottom w:val="none" w:sz="0" w:space="0" w:color="auto"/>
            <w:right w:val="none" w:sz="0" w:space="0" w:color="auto"/>
          </w:divBdr>
        </w:div>
        <w:div w:id="265845404">
          <w:marLeft w:val="274"/>
          <w:marRight w:val="0"/>
          <w:marTop w:val="0"/>
          <w:marBottom w:val="40"/>
          <w:divBdr>
            <w:top w:val="none" w:sz="0" w:space="0" w:color="auto"/>
            <w:left w:val="none" w:sz="0" w:space="0" w:color="auto"/>
            <w:bottom w:val="none" w:sz="0" w:space="0" w:color="auto"/>
            <w:right w:val="none" w:sz="0" w:space="0" w:color="auto"/>
          </w:divBdr>
        </w:div>
        <w:div w:id="328410337">
          <w:marLeft w:val="274"/>
          <w:marRight w:val="0"/>
          <w:marTop w:val="0"/>
          <w:marBottom w:val="40"/>
          <w:divBdr>
            <w:top w:val="none" w:sz="0" w:space="0" w:color="auto"/>
            <w:left w:val="none" w:sz="0" w:space="0" w:color="auto"/>
            <w:bottom w:val="none" w:sz="0" w:space="0" w:color="auto"/>
            <w:right w:val="none" w:sz="0" w:space="0" w:color="auto"/>
          </w:divBdr>
        </w:div>
        <w:div w:id="470295526">
          <w:marLeft w:val="274"/>
          <w:marRight w:val="0"/>
          <w:marTop w:val="0"/>
          <w:marBottom w:val="40"/>
          <w:divBdr>
            <w:top w:val="none" w:sz="0" w:space="0" w:color="auto"/>
            <w:left w:val="none" w:sz="0" w:space="0" w:color="auto"/>
            <w:bottom w:val="none" w:sz="0" w:space="0" w:color="auto"/>
            <w:right w:val="none" w:sz="0" w:space="0" w:color="auto"/>
          </w:divBdr>
        </w:div>
        <w:div w:id="791482839">
          <w:marLeft w:val="274"/>
          <w:marRight w:val="0"/>
          <w:marTop w:val="0"/>
          <w:marBottom w:val="40"/>
          <w:divBdr>
            <w:top w:val="none" w:sz="0" w:space="0" w:color="auto"/>
            <w:left w:val="none" w:sz="0" w:space="0" w:color="auto"/>
            <w:bottom w:val="none" w:sz="0" w:space="0" w:color="auto"/>
            <w:right w:val="none" w:sz="0" w:space="0" w:color="auto"/>
          </w:divBdr>
        </w:div>
        <w:div w:id="1046951422">
          <w:marLeft w:val="274"/>
          <w:marRight w:val="0"/>
          <w:marTop w:val="0"/>
          <w:marBottom w:val="40"/>
          <w:divBdr>
            <w:top w:val="none" w:sz="0" w:space="0" w:color="auto"/>
            <w:left w:val="none" w:sz="0" w:space="0" w:color="auto"/>
            <w:bottom w:val="none" w:sz="0" w:space="0" w:color="auto"/>
            <w:right w:val="none" w:sz="0" w:space="0" w:color="auto"/>
          </w:divBdr>
        </w:div>
        <w:div w:id="1506019317">
          <w:marLeft w:val="274"/>
          <w:marRight w:val="0"/>
          <w:marTop w:val="0"/>
          <w:marBottom w:val="40"/>
          <w:divBdr>
            <w:top w:val="none" w:sz="0" w:space="0" w:color="auto"/>
            <w:left w:val="none" w:sz="0" w:space="0" w:color="auto"/>
            <w:bottom w:val="none" w:sz="0" w:space="0" w:color="auto"/>
            <w:right w:val="none" w:sz="0" w:space="0" w:color="auto"/>
          </w:divBdr>
        </w:div>
        <w:div w:id="1610316777">
          <w:marLeft w:val="274"/>
          <w:marRight w:val="0"/>
          <w:marTop w:val="0"/>
          <w:marBottom w:val="40"/>
          <w:divBdr>
            <w:top w:val="none" w:sz="0" w:space="0" w:color="auto"/>
            <w:left w:val="none" w:sz="0" w:space="0" w:color="auto"/>
            <w:bottom w:val="none" w:sz="0" w:space="0" w:color="auto"/>
            <w:right w:val="none" w:sz="0" w:space="0" w:color="auto"/>
          </w:divBdr>
        </w:div>
        <w:div w:id="1811748844">
          <w:marLeft w:val="274"/>
          <w:marRight w:val="0"/>
          <w:marTop w:val="0"/>
          <w:marBottom w:val="40"/>
          <w:divBdr>
            <w:top w:val="none" w:sz="0" w:space="0" w:color="auto"/>
            <w:left w:val="none" w:sz="0" w:space="0" w:color="auto"/>
            <w:bottom w:val="none" w:sz="0" w:space="0" w:color="auto"/>
            <w:right w:val="none" w:sz="0" w:space="0" w:color="auto"/>
          </w:divBdr>
        </w:div>
        <w:div w:id="1816099585">
          <w:marLeft w:val="274"/>
          <w:marRight w:val="0"/>
          <w:marTop w:val="0"/>
          <w:marBottom w:val="40"/>
          <w:divBdr>
            <w:top w:val="none" w:sz="0" w:space="0" w:color="auto"/>
            <w:left w:val="none" w:sz="0" w:space="0" w:color="auto"/>
            <w:bottom w:val="none" w:sz="0" w:space="0" w:color="auto"/>
            <w:right w:val="none" w:sz="0" w:space="0" w:color="auto"/>
          </w:divBdr>
        </w:div>
        <w:div w:id="1920555569">
          <w:marLeft w:val="274"/>
          <w:marRight w:val="0"/>
          <w:marTop w:val="0"/>
          <w:marBottom w:val="40"/>
          <w:divBdr>
            <w:top w:val="none" w:sz="0" w:space="0" w:color="auto"/>
            <w:left w:val="none" w:sz="0" w:space="0" w:color="auto"/>
            <w:bottom w:val="none" w:sz="0" w:space="0" w:color="auto"/>
            <w:right w:val="none" w:sz="0" w:space="0" w:color="auto"/>
          </w:divBdr>
        </w:div>
        <w:div w:id="2048753657">
          <w:marLeft w:val="274"/>
          <w:marRight w:val="0"/>
          <w:marTop w:val="0"/>
          <w:marBottom w:val="40"/>
          <w:divBdr>
            <w:top w:val="none" w:sz="0" w:space="0" w:color="auto"/>
            <w:left w:val="none" w:sz="0" w:space="0" w:color="auto"/>
            <w:bottom w:val="none" w:sz="0" w:space="0" w:color="auto"/>
            <w:right w:val="none" w:sz="0" w:space="0" w:color="auto"/>
          </w:divBdr>
        </w:div>
        <w:div w:id="2065911275">
          <w:marLeft w:val="274"/>
          <w:marRight w:val="0"/>
          <w:marTop w:val="0"/>
          <w:marBottom w:val="40"/>
          <w:divBdr>
            <w:top w:val="none" w:sz="0" w:space="0" w:color="auto"/>
            <w:left w:val="none" w:sz="0" w:space="0" w:color="auto"/>
            <w:bottom w:val="none" w:sz="0" w:space="0" w:color="auto"/>
            <w:right w:val="none" w:sz="0" w:space="0" w:color="auto"/>
          </w:divBdr>
        </w:div>
      </w:divsChild>
    </w:div>
    <w:div w:id="788858488">
      <w:bodyDiv w:val="1"/>
      <w:marLeft w:val="0"/>
      <w:marRight w:val="0"/>
      <w:marTop w:val="0"/>
      <w:marBottom w:val="0"/>
      <w:divBdr>
        <w:top w:val="none" w:sz="0" w:space="0" w:color="auto"/>
        <w:left w:val="none" w:sz="0" w:space="0" w:color="auto"/>
        <w:bottom w:val="none" w:sz="0" w:space="0" w:color="auto"/>
        <w:right w:val="none" w:sz="0" w:space="0" w:color="auto"/>
      </w:divBdr>
      <w:divsChild>
        <w:div w:id="39521352">
          <w:marLeft w:val="274"/>
          <w:marRight w:val="0"/>
          <w:marTop w:val="0"/>
          <w:marBottom w:val="40"/>
          <w:divBdr>
            <w:top w:val="none" w:sz="0" w:space="0" w:color="auto"/>
            <w:left w:val="none" w:sz="0" w:space="0" w:color="auto"/>
            <w:bottom w:val="none" w:sz="0" w:space="0" w:color="auto"/>
            <w:right w:val="none" w:sz="0" w:space="0" w:color="auto"/>
          </w:divBdr>
        </w:div>
        <w:div w:id="1225992334">
          <w:marLeft w:val="274"/>
          <w:marRight w:val="0"/>
          <w:marTop w:val="0"/>
          <w:marBottom w:val="40"/>
          <w:divBdr>
            <w:top w:val="none" w:sz="0" w:space="0" w:color="auto"/>
            <w:left w:val="none" w:sz="0" w:space="0" w:color="auto"/>
            <w:bottom w:val="none" w:sz="0" w:space="0" w:color="auto"/>
            <w:right w:val="none" w:sz="0" w:space="0" w:color="auto"/>
          </w:divBdr>
        </w:div>
      </w:divsChild>
    </w:div>
    <w:div w:id="927926017">
      <w:bodyDiv w:val="1"/>
      <w:marLeft w:val="0"/>
      <w:marRight w:val="0"/>
      <w:marTop w:val="0"/>
      <w:marBottom w:val="0"/>
      <w:divBdr>
        <w:top w:val="none" w:sz="0" w:space="0" w:color="auto"/>
        <w:left w:val="none" w:sz="0" w:space="0" w:color="auto"/>
        <w:bottom w:val="none" w:sz="0" w:space="0" w:color="auto"/>
        <w:right w:val="none" w:sz="0" w:space="0" w:color="auto"/>
      </w:divBdr>
    </w:div>
    <w:div w:id="975451914">
      <w:bodyDiv w:val="1"/>
      <w:marLeft w:val="0"/>
      <w:marRight w:val="0"/>
      <w:marTop w:val="0"/>
      <w:marBottom w:val="0"/>
      <w:divBdr>
        <w:top w:val="none" w:sz="0" w:space="0" w:color="auto"/>
        <w:left w:val="none" w:sz="0" w:space="0" w:color="auto"/>
        <w:bottom w:val="none" w:sz="0" w:space="0" w:color="auto"/>
        <w:right w:val="none" w:sz="0" w:space="0" w:color="auto"/>
      </w:divBdr>
    </w:div>
    <w:div w:id="978534398">
      <w:bodyDiv w:val="1"/>
      <w:marLeft w:val="0"/>
      <w:marRight w:val="0"/>
      <w:marTop w:val="0"/>
      <w:marBottom w:val="0"/>
      <w:divBdr>
        <w:top w:val="none" w:sz="0" w:space="0" w:color="auto"/>
        <w:left w:val="none" w:sz="0" w:space="0" w:color="auto"/>
        <w:bottom w:val="none" w:sz="0" w:space="0" w:color="auto"/>
        <w:right w:val="none" w:sz="0" w:space="0" w:color="auto"/>
      </w:divBdr>
      <w:divsChild>
        <w:div w:id="87894318">
          <w:marLeft w:val="274"/>
          <w:marRight w:val="0"/>
          <w:marTop w:val="0"/>
          <w:marBottom w:val="120"/>
          <w:divBdr>
            <w:top w:val="none" w:sz="0" w:space="0" w:color="auto"/>
            <w:left w:val="none" w:sz="0" w:space="0" w:color="auto"/>
            <w:bottom w:val="none" w:sz="0" w:space="0" w:color="auto"/>
            <w:right w:val="none" w:sz="0" w:space="0" w:color="auto"/>
          </w:divBdr>
        </w:div>
        <w:div w:id="399988754">
          <w:marLeft w:val="274"/>
          <w:marRight w:val="0"/>
          <w:marTop w:val="0"/>
          <w:marBottom w:val="120"/>
          <w:divBdr>
            <w:top w:val="none" w:sz="0" w:space="0" w:color="auto"/>
            <w:left w:val="none" w:sz="0" w:space="0" w:color="auto"/>
            <w:bottom w:val="none" w:sz="0" w:space="0" w:color="auto"/>
            <w:right w:val="none" w:sz="0" w:space="0" w:color="auto"/>
          </w:divBdr>
        </w:div>
        <w:div w:id="775445144">
          <w:marLeft w:val="274"/>
          <w:marRight w:val="0"/>
          <w:marTop w:val="0"/>
          <w:marBottom w:val="120"/>
          <w:divBdr>
            <w:top w:val="none" w:sz="0" w:space="0" w:color="auto"/>
            <w:left w:val="none" w:sz="0" w:space="0" w:color="auto"/>
            <w:bottom w:val="none" w:sz="0" w:space="0" w:color="auto"/>
            <w:right w:val="none" w:sz="0" w:space="0" w:color="auto"/>
          </w:divBdr>
        </w:div>
        <w:div w:id="792868228">
          <w:marLeft w:val="274"/>
          <w:marRight w:val="0"/>
          <w:marTop w:val="0"/>
          <w:marBottom w:val="120"/>
          <w:divBdr>
            <w:top w:val="none" w:sz="0" w:space="0" w:color="auto"/>
            <w:left w:val="none" w:sz="0" w:space="0" w:color="auto"/>
            <w:bottom w:val="none" w:sz="0" w:space="0" w:color="auto"/>
            <w:right w:val="none" w:sz="0" w:space="0" w:color="auto"/>
          </w:divBdr>
        </w:div>
        <w:div w:id="1155687320">
          <w:marLeft w:val="274"/>
          <w:marRight w:val="0"/>
          <w:marTop w:val="0"/>
          <w:marBottom w:val="120"/>
          <w:divBdr>
            <w:top w:val="none" w:sz="0" w:space="0" w:color="auto"/>
            <w:left w:val="none" w:sz="0" w:space="0" w:color="auto"/>
            <w:bottom w:val="none" w:sz="0" w:space="0" w:color="auto"/>
            <w:right w:val="none" w:sz="0" w:space="0" w:color="auto"/>
          </w:divBdr>
        </w:div>
        <w:div w:id="1176311370">
          <w:marLeft w:val="274"/>
          <w:marRight w:val="0"/>
          <w:marTop w:val="0"/>
          <w:marBottom w:val="120"/>
          <w:divBdr>
            <w:top w:val="none" w:sz="0" w:space="0" w:color="auto"/>
            <w:left w:val="none" w:sz="0" w:space="0" w:color="auto"/>
            <w:bottom w:val="none" w:sz="0" w:space="0" w:color="auto"/>
            <w:right w:val="none" w:sz="0" w:space="0" w:color="auto"/>
          </w:divBdr>
        </w:div>
        <w:div w:id="1325671110">
          <w:marLeft w:val="274"/>
          <w:marRight w:val="0"/>
          <w:marTop w:val="0"/>
          <w:marBottom w:val="120"/>
          <w:divBdr>
            <w:top w:val="none" w:sz="0" w:space="0" w:color="auto"/>
            <w:left w:val="none" w:sz="0" w:space="0" w:color="auto"/>
            <w:bottom w:val="none" w:sz="0" w:space="0" w:color="auto"/>
            <w:right w:val="none" w:sz="0" w:space="0" w:color="auto"/>
          </w:divBdr>
        </w:div>
        <w:div w:id="1423532236">
          <w:marLeft w:val="274"/>
          <w:marRight w:val="0"/>
          <w:marTop w:val="0"/>
          <w:marBottom w:val="120"/>
          <w:divBdr>
            <w:top w:val="none" w:sz="0" w:space="0" w:color="auto"/>
            <w:left w:val="none" w:sz="0" w:space="0" w:color="auto"/>
            <w:bottom w:val="none" w:sz="0" w:space="0" w:color="auto"/>
            <w:right w:val="none" w:sz="0" w:space="0" w:color="auto"/>
          </w:divBdr>
        </w:div>
        <w:div w:id="1435637907">
          <w:marLeft w:val="274"/>
          <w:marRight w:val="0"/>
          <w:marTop w:val="0"/>
          <w:marBottom w:val="120"/>
          <w:divBdr>
            <w:top w:val="none" w:sz="0" w:space="0" w:color="auto"/>
            <w:left w:val="none" w:sz="0" w:space="0" w:color="auto"/>
            <w:bottom w:val="none" w:sz="0" w:space="0" w:color="auto"/>
            <w:right w:val="none" w:sz="0" w:space="0" w:color="auto"/>
          </w:divBdr>
        </w:div>
        <w:div w:id="1885479898">
          <w:marLeft w:val="274"/>
          <w:marRight w:val="0"/>
          <w:marTop w:val="0"/>
          <w:marBottom w:val="120"/>
          <w:divBdr>
            <w:top w:val="none" w:sz="0" w:space="0" w:color="auto"/>
            <w:left w:val="none" w:sz="0" w:space="0" w:color="auto"/>
            <w:bottom w:val="none" w:sz="0" w:space="0" w:color="auto"/>
            <w:right w:val="none" w:sz="0" w:space="0" w:color="auto"/>
          </w:divBdr>
        </w:div>
      </w:divsChild>
    </w:div>
    <w:div w:id="1011834246">
      <w:bodyDiv w:val="1"/>
      <w:marLeft w:val="0"/>
      <w:marRight w:val="0"/>
      <w:marTop w:val="0"/>
      <w:marBottom w:val="0"/>
      <w:divBdr>
        <w:top w:val="none" w:sz="0" w:space="0" w:color="auto"/>
        <w:left w:val="none" w:sz="0" w:space="0" w:color="auto"/>
        <w:bottom w:val="none" w:sz="0" w:space="0" w:color="auto"/>
        <w:right w:val="none" w:sz="0" w:space="0" w:color="auto"/>
      </w:divBdr>
    </w:div>
    <w:div w:id="1033921598">
      <w:bodyDiv w:val="1"/>
      <w:marLeft w:val="0"/>
      <w:marRight w:val="0"/>
      <w:marTop w:val="0"/>
      <w:marBottom w:val="0"/>
      <w:divBdr>
        <w:top w:val="none" w:sz="0" w:space="0" w:color="auto"/>
        <w:left w:val="none" w:sz="0" w:space="0" w:color="auto"/>
        <w:bottom w:val="none" w:sz="0" w:space="0" w:color="auto"/>
        <w:right w:val="none" w:sz="0" w:space="0" w:color="auto"/>
      </w:divBdr>
      <w:divsChild>
        <w:div w:id="262230360">
          <w:marLeft w:val="547"/>
          <w:marRight w:val="0"/>
          <w:marTop w:val="0"/>
          <w:marBottom w:val="0"/>
          <w:divBdr>
            <w:top w:val="none" w:sz="0" w:space="0" w:color="auto"/>
            <w:left w:val="none" w:sz="0" w:space="0" w:color="auto"/>
            <w:bottom w:val="none" w:sz="0" w:space="0" w:color="auto"/>
            <w:right w:val="none" w:sz="0" w:space="0" w:color="auto"/>
          </w:divBdr>
        </w:div>
        <w:div w:id="1525171264">
          <w:marLeft w:val="547"/>
          <w:marRight w:val="0"/>
          <w:marTop w:val="0"/>
          <w:marBottom w:val="0"/>
          <w:divBdr>
            <w:top w:val="none" w:sz="0" w:space="0" w:color="auto"/>
            <w:left w:val="none" w:sz="0" w:space="0" w:color="auto"/>
            <w:bottom w:val="none" w:sz="0" w:space="0" w:color="auto"/>
            <w:right w:val="none" w:sz="0" w:space="0" w:color="auto"/>
          </w:divBdr>
        </w:div>
      </w:divsChild>
    </w:div>
    <w:div w:id="1066342197">
      <w:bodyDiv w:val="1"/>
      <w:marLeft w:val="0"/>
      <w:marRight w:val="0"/>
      <w:marTop w:val="0"/>
      <w:marBottom w:val="0"/>
      <w:divBdr>
        <w:top w:val="none" w:sz="0" w:space="0" w:color="auto"/>
        <w:left w:val="none" w:sz="0" w:space="0" w:color="auto"/>
        <w:bottom w:val="none" w:sz="0" w:space="0" w:color="auto"/>
        <w:right w:val="none" w:sz="0" w:space="0" w:color="auto"/>
      </w:divBdr>
      <w:divsChild>
        <w:div w:id="616792005">
          <w:marLeft w:val="446"/>
          <w:marRight w:val="0"/>
          <w:marTop w:val="0"/>
          <w:marBottom w:val="60"/>
          <w:divBdr>
            <w:top w:val="none" w:sz="0" w:space="0" w:color="auto"/>
            <w:left w:val="none" w:sz="0" w:space="0" w:color="auto"/>
            <w:bottom w:val="none" w:sz="0" w:space="0" w:color="auto"/>
            <w:right w:val="none" w:sz="0" w:space="0" w:color="auto"/>
          </w:divBdr>
        </w:div>
        <w:div w:id="671883171">
          <w:marLeft w:val="446"/>
          <w:marRight w:val="0"/>
          <w:marTop w:val="0"/>
          <w:marBottom w:val="60"/>
          <w:divBdr>
            <w:top w:val="none" w:sz="0" w:space="0" w:color="auto"/>
            <w:left w:val="none" w:sz="0" w:space="0" w:color="auto"/>
            <w:bottom w:val="none" w:sz="0" w:space="0" w:color="auto"/>
            <w:right w:val="none" w:sz="0" w:space="0" w:color="auto"/>
          </w:divBdr>
        </w:div>
        <w:div w:id="1781753297">
          <w:marLeft w:val="446"/>
          <w:marRight w:val="0"/>
          <w:marTop w:val="0"/>
          <w:marBottom w:val="60"/>
          <w:divBdr>
            <w:top w:val="none" w:sz="0" w:space="0" w:color="auto"/>
            <w:left w:val="none" w:sz="0" w:space="0" w:color="auto"/>
            <w:bottom w:val="none" w:sz="0" w:space="0" w:color="auto"/>
            <w:right w:val="none" w:sz="0" w:space="0" w:color="auto"/>
          </w:divBdr>
        </w:div>
      </w:divsChild>
    </w:div>
    <w:div w:id="1154948170">
      <w:bodyDiv w:val="1"/>
      <w:marLeft w:val="0"/>
      <w:marRight w:val="0"/>
      <w:marTop w:val="0"/>
      <w:marBottom w:val="0"/>
      <w:divBdr>
        <w:top w:val="none" w:sz="0" w:space="0" w:color="auto"/>
        <w:left w:val="none" w:sz="0" w:space="0" w:color="auto"/>
        <w:bottom w:val="none" w:sz="0" w:space="0" w:color="auto"/>
        <w:right w:val="none" w:sz="0" w:space="0" w:color="auto"/>
      </w:divBdr>
      <w:divsChild>
        <w:div w:id="149827776">
          <w:marLeft w:val="360"/>
          <w:marRight w:val="0"/>
          <w:marTop w:val="20"/>
          <w:marBottom w:val="20"/>
          <w:divBdr>
            <w:top w:val="none" w:sz="0" w:space="0" w:color="auto"/>
            <w:left w:val="none" w:sz="0" w:space="0" w:color="auto"/>
            <w:bottom w:val="none" w:sz="0" w:space="0" w:color="auto"/>
            <w:right w:val="none" w:sz="0" w:space="0" w:color="auto"/>
          </w:divBdr>
        </w:div>
        <w:div w:id="812790783">
          <w:marLeft w:val="360"/>
          <w:marRight w:val="0"/>
          <w:marTop w:val="20"/>
          <w:marBottom w:val="20"/>
          <w:divBdr>
            <w:top w:val="none" w:sz="0" w:space="0" w:color="auto"/>
            <w:left w:val="none" w:sz="0" w:space="0" w:color="auto"/>
            <w:bottom w:val="none" w:sz="0" w:space="0" w:color="auto"/>
            <w:right w:val="none" w:sz="0" w:space="0" w:color="auto"/>
          </w:divBdr>
        </w:div>
        <w:div w:id="886182255">
          <w:marLeft w:val="360"/>
          <w:marRight w:val="0"/>
          <w:marTop w:val="20"/>
          <w:marBottom w:val="20"/>
          <w:divBdr>
            <w:top w:val="none" w:sz="0" w:space="0" w:color="auto"/>
            <w:left w:val="none" w:sz="0" w:space="0" w:color="auto"/>
            <w:bottom w:val="none" w:sz="0" w:space="0" w:color="auto"/>
            <w:right w:val="none" w:sz="0" w:space="0" w:color="auto"/>
          </w:divBdr>
        </w:div>
        <w:div w:id="1118839615">
          <w:marLeft w:val="360"/>
          <w:marRight w:val="0"/>
          <w:marTop w:val="20"/>
          <w:marBottom w:val="20"/>
          <w:divBdr>
            <w:top w:val="none" w:sz="0" w:space="0" w:color="auto"/>
            <w:left w:val="none" w:sz="0" w:space="0" w:color="auto"/>
            <w:bottom w:val="none" w:sz="0" w:space="0" w:color="auto"/>
            <w:right w:val="none" w:sz="0" w:space="0" w:color="auto"/>
          </w:divBdr>
        </w:div>
        <w:div w:id="1481729524">
          <w:marLeft w:val="360"/>
          <w:marRight w:val="0"/>
          <w:marTop w:val="20"/>
          <w:marBottom w:val="20"/>
          <w:divBdr>
            <w:top w:val="none" w:sz="0" w:space="0" w:color="auto"/>
            <w:left w:val="none" w:sz="0" w:space="0" w:color="auto"/>
            <w:bottom w:val="none" w:sz="0" w:space="0" w:color="auto"/>
            <w:right w:val="none" w:sz="0" w:space="0" w:color="auto"/>
          </w:divBdr>
        </w:div>
        <w:div w:id="1515001425">
          <w:marLeft w:val="360"/>
          <w:marRight w:val="0"/>
          <w:marTop w:val="20"/>
          <w:marBottom w:val="20"/>
          <w:divBdr>
            <w:top w:val="none" w:sz="0" w:space="0" w:color="auto"/>
            <w:left w:val="none" w:sz="0" w:space="0" w:color="auto"/>
            <w:bottom w:val="none" w:sz="0" w:space="0" w:color="auto"/>
            <w:right w:val="none" w:sz="0" w:space="0" w:color="auto"/>
          </w:divBdr>
        </w:div>
      </w:divsChild>
    </w:div>
    <w:div w:id="1157920829">
      <w:bodyDiv w:val="1"/>
      <w:marLeft w:val="0"/>
      <w:marRight w:val="0"/>
      <w:marTop w:val="0"/>
      <w:marBottom w:val="0"/>
      <w:divBdr>
        <w:top w:val="none" w:sz="0" w:space="0" w:color="auto"/>
        <w:left w:val="none" w:sz="0" w:space="0" w:color="auto"/>
        <w:bottom w:val="none" w:sz="0" w:space="0" w:color="auto"/>
        <w:right w:val="none" w:sz="0" w:space="0" w:color="auto"/>
      </w:divBdr>
      <w:divsChild>
        <w:div w:id="69082576">
          <w:marLeft w:val="274"/>
          <w:marRight w:val="0"/>
          <w:marTop w:val="0"/>
          <w:marBottom w:val="40"/>
          <w:divBdr>
            <w:top w:val="none" w:sz="0" w:space="0" w:color="auto"/>
            <w:left w:val="none" w:sz="0" w:space="0" w:color="auto"/>
            <w:bottom w:val="none" w:sz="0" w:space="0" w:color="auto"/>
            <w:right w:val="none" w:sz="0" w:space="0" w:color="auto"/>
          </w:divBdr>
        </w:div>
        <w:div w:id="597444169">
          <w:marLeft w:val="274"/>
          <w:marRight w:val="0"/>
          <w:marTop w:val="0"/>
          <w:marBottom w:val="40"/>
          <w:divBdr>
            <w:top w:val="none" w:sz="0" w:space="0" w:color="auto"/>
            <w:left w:val="none" w:sz="0" w:space="0" w:color="auto"/>
            <w:bottom w:val="none" w:sz="0" w:space="0" w:color="auto"/>
            <w:right w:val="none" w:sz="0" w:space="0" w:color="auto"/>
          </w:divBdr>
        </w:div>
        <w:div w:id="844704771">
          <w:marLeft w:val="274"/>
          <w:marRight w:val="0"/>
          <w:marTop w:val="0"/>
          <w:marBottom w:val="40"/>
          <w:divBdr>
            <w:top w:val="none" w:sz="0" w:space="0" w:color="auto"/>
            <w:left w:val="none" w:sz="0" w:space="0" w:color="auto"/>
            <w:bottom w:val="none" w:sz="0" w:space="0" w:color="auto"/>
            <w:right w:val="none" w:sz="0" w:space="0" w:color="auto"/>
          </w:divBdr>
        </w:div>
      </w:divsChild>
    </w:div>
    <w:div w:id="1181163381">
      <w:bodyDiv w:val="1"/>
      <w:marLeft w:val="0"/>
      <w:marRight w:val="0"/>
      <w:marTop w:val="0"/>
      <w:marBottom w:val="0"/>
      <w:divBdr>
        <w:top w:val="none" w:sz="0" w:space="0" w:color="auto"/>
        <w:left w:val="none" w:sz="0" w:space="0" w:color="auto"/>
        <w:bottom w:val="none" w:sz="0" w:space="0" w:color="auto"/>
        <w:right w:val="none" w:sz="0" w:space="0" w:color="auto"/>
      </w:divBdr>
    </w:div>
    <w:div w:id="1189102587">
      <w:bodyDiv w:val="1"/>
      <w:marLeft w:val="0"/>
      <w:marRight w:val="0"/>
      <w:marTop w:val="0"/>
      <w:marBottom w:val="0"/>
      <w:divBdr>
        <w:top w:val="none" w:sz="0" w:space="0" w:color="auto"/>
        <w:left w:val="none" w:sz="0" w:space="0" w:color="auto"/>
        <w:bottom w:val="none" w:sz="0" w:space="0" w:color="auto"/>
        <w:right w:val="none" w:sz="0" w:space="0" w:color="auto"/>
      </w:divBdr>
    </w:div>
    <w:div w:id="1190728300">
      <w:bodyDiv w:val="1"/>
      <w:marLeft w:val="0"/>
      <w:marRight w:val="0"/>
      <w:marTop w:val="0"/>
      <w:marBottom w:val="0"/>
      <w:divBdr>
        <w:top w:val="none" w:sz="0" w:space="0" w:color="auto"/>
        <w:left w:val="none" w:sz="0" w:space="0" w:color="auto"/>
        <w:bottom w:val="none" w:sz="0" w:space="0" w:color="auto"/>
        <w:right w:val="none" w:sz="0" w:space="0" w:color="auto"/>
      </w:divBdr>
    </w:div>
    <w:div w:id="1206720307">
      <w:bodyDiv w:val="1"/>
      <w:marLeft w:val="0"/>
      <w:marRight w:val="0"/>
      <w:marTop w:val="0"/>
      <w:marBottom w:val="0"/>
      <w:divBdr>
        <w:top w:val="none" w:sz="0" w:space="0" w:color="auto"/>
        <w:left w:val="none" w:sz="0" w:space="0" w:color="auto"/>
        <w:bottom w:val="none" w:sz="0" w:space="0" w:color="auto"/>
        <w:right w:val="none" w:sz="0" w:space="0" w:color="auto"/>
      </w:divBdr>
      <w:divsChild>
        <w:div w:id="20517253">
          <w:marLeft w:val="274"/>
          <w:marRight w:val="0"/>
          <w:marTop w:val="0"/>
          <w:marBottom w:val="120"/>
          <w:divBdr>
            <w:top w:val="none" w:sz="0" w:space="0" w:color="auto"/>
            <w:left w:val="none" w:sz="0" w:space="0" w:color="auto"/>
            <w:bottom w:val="none" w:sz="0" w:space="0" w:color="auto"/>
            <w:right w:val="none" w:sz="0" w:space="0" w:color="auto"/>
          </w:divBdr>
        </w:div>
        <w:div w:id="32312468">
          <w:marLeft w:val="274"/>
          <w:marRight w:val="0"/>
          <w:marTop w:val="0"/>
          <w:marBottom w:val="120"/>
          <w:divBdr>
            <w:top w:val="none" w:sz="0" w:space="0" w:color="auto"/>
            <w:left w:val="none" w:sz="0" w:space="0" w:color="auto"/>
            <w:bottom w:val="none" w:sz="0" w:space="0" w:color="auto"/>
            <w:right w:val="none" w:sz="0" w:space="0" w:color="auto"/>
          </w:divBdr>
        </w:div>
        <w:div w:id="341276873">
          <w:marLeft w:val="274"/>
          <w:marRight w:val="0"/>
          <w:marTop w:val="0"/>
          <w:marBottom w:val="120"/>
          <w:divBdr>
            <w:top w:val="none" w:sz="0" w:space="0" w:color="auto"/>
            <w:left w:val="none" w:sz="0" w:space="0" w:color="auto"/>
            <w:bottom w:val="none" w:sz="0" w:space="0" w:color="auto"/>
            <w:right w:val="none" w:sz="0" w:space="0" w:color="auto"/>
          </w:divBdr>
        </w:div>
        <w:div w:id="347567464">
          <w:marLeft w:val="274"/>
          <w:marRight w:val="0"/>
          <w:marTop w:val="0"/>
          <w:marBottom w:val="120"/>
          <w:divBdr>
            <w:top w:val="none" w:sz="0" w:space="0" w:color="auto"/>
            <w:left w:val="none" w:sz="0" w:space="0" w:color="auto"/>
            <w:bottom w:val="none" w:sz="0" w:space="0" w:color="auto"/>
            <w:right w:val="none" w:sz="0" w:space="0" w:color="auto"/>
          </w:divBdr>
        </w:div>
        <w:div w:id="472865739">
          <w:marLeft w:val="274"/>
          <w:marRight w:val="0"/>
          <w:marTop w:val="0"/>
          <w:marBottom w:val="120"/>
          <w:divBdr>
            <w:top w:val="none" w:sz="0" w:space="0" w:color="auto"/>
            <w:left w:val="none" w:sz="0" w:space="0" w:color="auto"/>
            <w:bottom w:val="none" w:sz="0" w:space="0" w:color="auto"/>
            <w:right w:val="none" w:sz="0" w:space="0" w:color="auto"/>
          </w:divBdr>
        </w:div>
        <w:div w:id="505899013">
          <w:marLeft w:val="274"/>
          <w:marRight w:val="0"/>
          <w:marTop w:val="0"/>
          <w:marBottom w:val="120"/>
          <w:divBdr>
            <w:top w:val="none" w:sz="0" w:space="0" w:color="auto"/>
            <w:left w:val="none" w:sz="0" w:space="0" w:color="auto"/>
            <w:bottom w:val="none" w:sz="0" w:space="0" w:color="auto"/>
            <w:right w:val="none" w:sz="0" w:space="0" w:color="auto"/>
          </w:divBdr>
        </w:div>
        <w:div w:id="517700727">
          <w:marLeft w:val="274"/>
          <w:marRight w:val="0"/>
          <w:marTop w:val="0"/>
          <w:marBottom w:val="120"/>
          <w:divBdr>
            <w:top w:val="none" w:sz="0" w:space="0" w:color="auto"/>
            <w:left w:val="none" w:sz="0" w:space="0" w:color="auto"/>
            <w:bottom w:val="none" w:sz="0" w:space="0" w:color="auto"/>
            <w:right w:val="none" w:sz="0" w:space="0" w:color="auto"/>
          </w:divBdr>
        </w:div>
        <w:div w:id="545992811">
          <w:marLeft w:val="274"/>
          <w:marRight w:val="0"/>
          <w:marTop w:val="0"/>
          <w:marBottom w:val="120"/>
          <w:divBdr>
            <w:top w:val="none" w:sz="0" w:space="0" w:color="auto"/>
            <w:left w:val="none" w:sz="0" w:space="0" w:color="auto"/>
            <w:bottom w:val="none" w:sz="0" w:space="0" w:color="auto"/>
            <w:right w:val="none" w:sz="0" w:space="0" w:color="auto"/>
          </w:divBdr>
        </w:div>
        <w:div w:id="684746241">
          <w:marLeft w:val="274"/>
          <w:marRight w:val="0"/>
          <w:marTop w:val="0"/>
          <w:marBottom w:val="120"/>
          <w:divBdr>
            <w:top w:val="none" w:sz="0" w:space="0" w:color="auto"/>
            <w:left w:val="none" w:sz="0" w:space="0" w:color="auto"/>
            <w:bottom w:val="none" w:sz="0" w:space="0" w:color="auto"/>
            <w:right w:val="none" w:sz="0" w:space="0" w:color="auto"/>
          </w:divBdr>
        </w:div>
        <w:div w:id="803280808">
          <w:marLeft w:val="274"/>
          <w:marRight w:val="0"/>
          <w:marTop w:val="0"/>
          <w:marBottom w:val="120"/>
          <w:divBdr>
            <w:top w:val="none" w:sz="0" w:space="0" w:color="auto"/>
            <w:left w:val="none" w:sz="0" w:space="0" w:color="auto"/>
            <w:bottom w:val="none" w:sz="0" w:space="0" w:color="auto"/>
            <w:right w:val="none" w:sz="0" w:space="0" w:color="auto"/>
          </w:divBdr>
        </w:div>
        <w:div w:id="892930739">
          <w:marLeft w:val="274"/>
          <w:marRight w:val="0"/>
          <w:marTop w:val="0"/>
          <w:marBottom w:val="120"/>
          <w:divBdr>
            <w:top w:val="none" w:sz="0" w:space="0" w:color="auto"/>
            <w:left w:val="none" w:sz="0" w:space="0" w:color="auto"/>
            <w:bottom w:val="none" w:sz="0" w:space="0" w:color="auto"/>
            <w:right w:val="none" w:sz="0" w:space="0" w:color="auto"/>
          </w:divBdr>
        </w:div>
        <w:div w:id="907690606">
          <w:marLeft w:val="274"/>
          <w:marRight w:val="0"/>
          <w:marTop w:val="0"/>
          <w:marBottom w:val="120"/>
          <w:divBdr>
            <w:top w:val="none" w:sz="0" w:space="0" w:color="auto"/>
            <w:left w:val="none" w:sz="0" w:space="0" w:color="auto"/>
            <w:bottom w:val="none" w:sz="0" w:space="0" w:color="auto"/>
            <w:right w:val="none" w:sz="0" w:space="0" w:color="auto"/>
          </w:divBdr>
        </w:div>
        <w:div w:id="1047753956">
          <w:marLeft w:val="274"/>
          <w:marRight w:val="0"/>
          <w:marTop w:val="0"/>
          <w:marBottom w:val="120"/>
          <w:divBdr>
            <w:top w:val="none" w:sz="0" w:space="0" w:color="auto"/>
            <w:left w:val="none" w:sz="0" w:space="0" w:color="auto"/>
            <w:bottom w:val="none" w:sz="0" w:space="0" w:color="auto"/>
            <w:right w:val="none" w:sz="0" w:space="0" w:color="auto"/>
          </w:divBdr>
        </w:div>
        <w:div w:id="1126964901">
          <w:marLeft w:val="274"/>
          <w:marRight w:val="0"/>
          <w:marTop w:val="0"/>
          <w:marBottom w:val="120"/>
          <w:divBdr>
            <w:top w:val="none" w:sz="0" w:space="0" w:color="auto"/>
            <w:left w:val="none" w:sz="0" w:space="0" w:color="auto"/>
            <w:bottom w:val="none" w:sz="0" w:space="0" w:color="auto"/>
            <w:right w:val="none" w:sz="0" w:space="0" w:color="auto"/>
          </w:divBdr>
        </w:div>
        <w:div w:id="1248921254">
          <w:marLeft w:val="274"/>
          <w:marRight w:val="0"/>
          <w:marTop w:val="0"/>
          <w:marBottom w:val="120"/>
          <w:divBdr>
            <w:top w:val="none" w:sz="0" w:space="0" w:color="auto"/>
            <w:left w:val="none" w:sz="0" w:space="0" w:color="auto"/>
            <w:bottom w:val="none" w:sz="0" w:space="0" w:color="auto"/>
            <w:right w:val="none" w:sz="0" w:space="0" w:color="auto"/>
          </w:divBdr>
        </w:div>
        <w:div w:id="1251236651">
          <w:marLeft w:val="274"/>
          <w:marRight w:val="0"/>
          <w:marTop w:val="0"/>
          <w:marBottom w:val="120"/>
          <w:divBdr>
            <w:top w:val="none" w:sz="0" w:space="0" w:color="auto"/>
            <w:left w:val="none" w:sz="0" w:space="0" w:color="auto"/>
            <w:bottom w:val="none" w:sz="0" w:space="0" w:color="auto"/>
            <w:right w:val="none" w:sz="0" w:space="0" w:color="auto"/>
          </w:divBdr>
        </w:div>
        <w:div w:id="1283342651">
          <w:marLeft w:val="274"/>
          <w:marRight w:val="0"/>
          <w:marTop w:val="0"/>
          <w:marBottom w:val="120"/>
          <w:divBdr>
            <w:top w:val="none" w:sz="0" w:space="0" w:color="auto"/>
            <w:left w:val="none" w:sz="0" w:space="0" w:color="auto"/>
            <w:bottom w:val="none" w:sz="0" w:space="0" w:color="auto"/>
            <w:right w:val="none" w:sz="0" w:space="0" w:color="auto"/>
          </w:divBdr>
        </w:div>
        <w:div w:id="1455444639">
          <w:marLeft w:val="274"/>
          <w:marRight w:val="0"/>
          <w:marTop w:val="0"/>
          <w:marBottom w:val="120"/>
          <w:divBdr>
            <w:top w:val="none" w:sz="0" w:space="0" w:color="auto"/>
            <w:left w:val="none" w:sz="0" w:space="0" w:color="auto"/>
            <w:bottom w:val="none" w:sz="0" w:space="0" w:color="auto"/>
            <w:right w:val="none" w:sz="0" w:space="0" w:color="auto"/>
          </w:divBdr>
        </w:div>
        <w:div w:id="1457410739">
          <w:marLeft w:val="274"/>
          <w:marRight w:val="0"/>
          <w:marTop w:val="0"/>
          <w:marBottom w:val="120"/>
          <w:divBdr>
            <w:top w:val="none" w:sz="0" w:space="0" w:color="auto"/>
            <w:left w:val="none" w:sz="0" w:space="0" w:color="auto"/>
            <w:bottom w:val="none" w:sz="0" w:space="0" w:color="auto"/>
            <w:right w:val="none" w:sz="0" w:space="0" w:color="auto"/>
          </w:divBdr>
        </w:div>
        <w:div w:id="1472332321">
          <w:marLeft w:val="274"/>
          <w:marRight w:val="0"/>
          <w:marTop w:val="0"/>
          <w:marBottom w:val="120"/>
          <w:divBdr>
            <w:top w:val="none" w:sz="0" w:space="0" w:color="auto"/>
            <w:left w:val="none" w:sz="0" w:space="0" w:color="auto"/>
            <w:bottom w:val="none" w:sz="0" w:space="0" w:color="auto"/>
            <w:right w:val="none" w:sz="0" w:space="0" w:color="auto"/>
          </w:divBdr>
        </w:div>
        <w:div w:id="2016691204">
          <w:marLeft w:val="274"/>
          <w:marRight w:val="0"/>
          <w:marTop w:val="0"/>
          <w:marBottom w:val="120"/>
          <w:divBdr>
            <w:top w:val="none" w:sz="0" w:space="0" w:color="auto"/>
            <w:left w:val="none" w:sz="0" w:space="0" w:color="auto"/>
            <w:bottom w:val="none" w:sz="0" w:space="0" w:color="auto"/>
            <w:right w:val="none" w:sz="0" w:space="0" w:color="auto"/>
          </w:divBdr>
        </w:div>
      </w:divsChild>
    </w:div>
    <w:div w:id="1237714954">
      <w:bodyDiv w:val="1"/>
      <w:marLeft w:val="0"/>
      <w:marRight w:val="0"/>
      <w:marTop w:val="0"/>
      <w:marBottom w:val="0"/>
      <w:divBdr>
        <w:top w:val="none" w:sz="0" w:space="0" w:color="auto"/>
        <w:left w:val="none" w:sz="0" w:space="0" w:color="auto"/>
        <w:bottom w:val="none" w:sz="0" w:space="0" w:color="auto"/>
        <w:right w:val="none" w:sz="0" w:space="0" w:color="auto"/>
      </w:divBdr>
      <w:divsChild>
        <w:div w:id="74524023">
          <w:marLeft w:val="274"/>
          <w:marRight w:val="0"/>
          <w:marTop w:val="0"/>
          <w:marBottom w:val="40"/>
          <w:divBdr>
            <w:top w:val="none" w:sz="0" w:space="0" w:color="auto"/>
            <w:left w:val="none" w:sz="0" w:space="0" w:color="auto"/>
            <w:bottom w:val="none" w:sz="0" w:space="0" w:color="auto"/>
            <w:right w:val="none" w:sz="0" w:space="0" w:color="auto"/>
          </w:divBdr>
        </w:div>
        <w:div w:id="710375125">
          <w:marLeft w:val="274"/>
          <w:marRight w:val="0"/>
          <w:marTop w:val="0"/>
          <w:marBottom w:val="40"/>
          <w:divBdr>
            <w:top w:val="none" w:sz="0" w:space="0" w:color="auto"/>
            <w:left w:val="none" w:sz="0" w:space="0" w:color="auto"/>
            <w:bottom w:val="none" w:sz="0" w:space="0" w:color="auto"/>
            <w:right w:val="none" w:sz="0" w:space="0" w:color="auto"/>
          </w:divBdr>
        </w:div>
        <w:div w:id="744573214">
          <w:marLeft w:val="274"/>
          <w:marRight w:val="0"/>
          <w:marTop w:val="0"/>
          <w:marBottom w:val="40"/>
          <w:divBdr>
            <w:top w:val="none" w:sz="0" w:space="0" w:color="auto"/>
            <w:left w:val="none" w:sz="0" w:space="0" w:color="auto"/>
            <w:bottom w:val="none" w:sz="0" w:space="0" w:color="auto"/>
            <w:right w:val="none" w:sz="0" w:space="0" w:color="auto"/>
          </w:divBdr>
        </w:div>
      </w:divsChild>
    </w:div>
    <w:div w:id="1318918594">
      <w:bodyDiv w:val="1"/>
      <w:marLeft w:val="0"/>
      <w:marRight w:val="0"/>
      <w:marTop w:val="0"/>
      <w:marBottom w:val="0"/>
      <w:divBdr>
        <w:top w:val="none" w:sz="0" w:space="0" w:color="auto"/>
        <w:left w:val="none" w:sz="0" w:space="0" w:color="auto"/>
        <w:bottom w:val="none" w:sz="0" w:space="0" w:color="auto"/>
        <w:right w:val="none" w:sz="0" w:space="0" w:color="auto"/>
      </w:divBdr>
    </w:div>
    <w:div w:id="1375348184">
      <w:bodyDiv w:val="1"/>
      <w:marLeft w:val="0"/>
      <w:marRight w:val="0"/>
      <w:marTop w:val="0"/>
      <w:marBottom w:val="0"/>
      <w:divBdr>
        <w:top w:val="none" w:sz="0" w:space="0" w:color="auto"/>
        <w:left w:val="none" w:sz="0" w:space="0" w:color="auto"/>
        <w:bottom w:val="none" w:sz="0" w:space="0" w:color="auto"/>
        <w:right w:val="none" w:sz="0" w:space="0" w:color="auto"/>
      </w:divBdr>
    </w:div>
    <w:div w:id="1392382099">
      <w:bodyDiv w:val="1"/>
      <w:marLeft w:val="0"/>
      <w:marRight w:val="0"/>
      <w:marTop w:val="0"/>
      <w:marBottom w:val="0"/>
      <w:divBdr>
        <w:top w:val="none" w:sz="0" w:space="0" w:color="auto"/>
        <w:left w:val="none" w:sz="0" w:space="0" w:color="auto"/>
        <w:bottom w:val="none" w:sz="0" w:space="0" w:color="auto"/>
        <w:right w:val="none" w:sz="0" w:space="0" w:color="auto"/>
      </w:divBdr>
    </w:div>
    <w:div w:id="1429153431">
      <w:bodyDiv w:val="1"/>
      <w:marLeft w:val="0"/>
      <w:marRight w:val="0"/>
      <w:marTop w:val="0"/>
      <w:marBottom w:val="0"/>
      <w:divBdr>
        <w:top w:val="none" w:sz="0" w:space="0" w:color="auto"/>
        <w:left w:val="none" w:sz="0" w:space="0" w:color="auto"/>
        <w:bottom w:val="none" w:sz="0" w:space="0" w:color="auto"/>
        <w:right w:val="none" w:sz="0" w:space="0" w:color="auto"/>
      </w:divBdr>
    </w:div>
    <w:div w:id="1436904407">
      <w:bodyDiv w:val="1"/>
      <w:marLeft w:val="0"/>
      <w:marRight w:val="0"/>
      <w:marTop w:val="0"/>
      <w:marBottom w:val="0"/>
      <w:divBdr>
        <w:top w:val="none" w:sz="0" w:space="0" w:color="auto"/>
        <w:left w:val="none" w:sz="0" w:space="0" w:color="auto"/>
        <w:bottom w:val="none" w:sz="0" w:space="0" w:color="auto"/>
        <w:right w:val="none" w:sz="0" w:space="0" w:color="auto"/>
      </w:divBdr>
    </w:div>
    <w:div w:id="1459714925">
      <w:bodyDiv w:val="1"/>
      <w:marLeft w:val="0"/>
      <w:marRight w:val="0"/>
      <w:marTop w:val="0"/>
      <w:marBottom w:val="0"/>
      <w:divBdr>
        <w:top w:val="none" w:sz="0" w:space="0" w:color="auto"/>
        <w:left w:val="none" w:sz="0" w:space="0" w:color="auto"/>
        <w:bottom w:val="none" w:sz="0" w:space="0" w:color="auto"/>
        <w:right w:val="none" w:sz="0" w:space="0" w:color="auto"/>
      </w:divBdr>
    </w:div>
    <w:div w:id="1461340058">
      <w:bodyDiv w:val="1"/>
      <w:marLeft w:val="0"/>
      <w:marRight w:val="0"/>
      <w:marTop w:val="0"/>
      <w:marBottom w:val="0"/>
      <w:divBdr>
        <w:top w:val="none" w:sz="0" w:space="0" w:color="auto"/>
        <w:left w:val="none" w:sz="0" w:space="0" w:color="auto"/>
        <w:bottom w:val="none" w:sz="0" w:space="0" w:color="auto"/>
        <w:right w:val="none" w:sz="0" w:space="0" w:color="auto"/>
      </w:divBdr>
    </w:div>
    <w:div w:id="1467048174">
      <w:bodyDiv w:val="1"/>
      <w:marLeft w:val="0"/>
      <w:marRight w:val="0"/>
      <w:marTop w:val="0"/>
      <w:marBottom w:val="0"/>
      <w:divBdr>
        <w:top w:val="none" w:sz="0" w:space="0" w:color="auto"/>
        <w:left w:val="none" w:sz="0" w:space="0" w:color="auto"/>
        <w:bottom w:val="none" w:sz="0" w:space="0" w:color="auto"/>
        <w:right w:val="none" w:sz="0" w:space="0" w:color="auto"/>
      </w:divBdr>
    </w:div>
    <w:div w:id="1522547800">
      <w:bodyDiv w:val="1"/>
      <w:marLeft w:val="0"/>
      <w:marRight w:val="0"/>
      <w:marTop w:val="0"/>
      <w:marBottom w:val="0"/>
      <w:divBdr>
        <w:top w:val="none" w:sz="0" w:space="0" w:color="auto"/>
        <w:left w:val="none" w:sz="0" w:space="0" w:color="auto"/>
        <w:bottom w:val="none" w:sz="0" w:space="0" w:color="auto"/>
        <w:right w:val="none" w:sz="0" w:space="0" w:color="auto"/>
      </w:divBdr>
    </w:div>
    <w:div w:id="1524516566">
      <w:bodyDiv w:val="1"/>
      <w:marLeft w:val="0"/>
      <w:marRight w:val="0"/>
      <w:marTop w:val="0"/>
      <w:marBottom w:val="0"/>
      <w:divBdr>
        <w:top w:val="none" w:sz="0" w:space="0" w:color="auto"/>
        <w:left w:val="none" w:sz="0" w:space="0" w:color="auto"/>
        <w:bottom w:val="none" w:sz="0" w:space="0" w:color="auto"/>
        <w:right w:val="none" w:sz="0" w:space="0" w:color="auto"/>
      </w:divBdr>
      <w:divsChild>
        <w:div w:id="412094247">
          <w:marLeft w:val="0"/>
          <w:marRight w:val="0"/>
          <w:marTop w:val="0"/>
          <w:marBottom w:val="0"/>
          <w:divBdr>
            <w:top w:val="none" w:sz="0" w:space="0" w:color="auto"/>
            <w:left w:val="none" w:sz="0" w:space="0" w:color="auto"/>
            <w:bottom w:val="none" w:sz="0" w:space="0" w:color="auto"/>
            <w:right w:val="none" w:sz="0" w:space="0" w:color="auto"/>
          </w:divBdr>
        </w:div>
      </w:divsChild>
    </w:div>
    <w:div w:id="1706909154">
      <w:bodyDiv w:val="1"/>
      <w:marLeft w:val="0"/>
      <w:marRight w:val="0"/>
      <w:marTop w:val="0"/>
      <w:marBottom w:val="0"/>
      <w:divBdr>
        <w:top w:val="none" w:sz="0" w:space="0" w:color="auto"/>
        <w:left w:val="none" w:sz="0" w:space="0" w:color="auto"/>
        <w:bottom w:val="none" w:sz="0" w:space="0" w:color="auto"/>
        <w:right w:val="none" w:sz="0" w:space="0" w:color="auto"/>
      </w:divBdr>
    </w:div>
    <w:div w:id="1723823880">
      <w:bodyDiv w:val="1"/>
      <w:marLeft w:val="0"/>
      <w:marRight w:val="0"/>
      <w:marTop w:val="0"/>
      <w:marBottom w:val="0"/>
      <w:divBdr>
        <w:top w:val="none" w:sz="0" w:space="0" w:color="auto"/>
        <w:left w:val="none" w:sz="0" w:space="0" w:color="auto"/>
        <w:bottom w:val="none" w:sz="0" w:space="0" w:color="auto"/>
        <w:right w:val="none" w:sz="0" w:space="0" w:color="auto"/>
      </w:divBdr>
    </w:div>
    <w:div w:id="1747727847">
      <w:bodyDiv w:val="1"/>
      <w:marLeft w:val="0"/>
      <w:marRight w:val="0"/>
      <w:marTop w:val="0"/>
      <w:marBottom w:val="0"/>
      <w:divBdr>
        <w:top w:val="none" w:sz="0" w:space="0" w:color="auto"/>
        <w:left w:val="none" w:sz="0" w:space="0" w:color="auto"/>
        <w:bottom w:val="none" w:sz="0" w:space="0" w:color="auto"/>
        <w:right w:val="none" w:sz="0" w:space="0" w:color="auto"/>
      </w:divBdr>
    </w:div>
    <w:div w:id="1768304673">
      <w:bodyDiv w:val="1"/>
      <w:marLeft w:val="0"/>
      <w:marRight w:val="0"/>
      <w:marTop w:val="0"/>
      <w:marBottom w:val="0"/>
      <w:divBdr>
        <w:top w:val="none" w:sz="0" w:space="0" w:color="auto"/>
        <w:left w:val="none" w:sz="0" w:space="0" w:color="auto"/>
        <w:bottom w:val="none" w:sz="0" w:space="0" w:color="auto"/>
        <w:right w:val="none" w:sz="0" w:space="0" w:color="auto"/>
      </w:divBdr>
    </w:div>
    <w:div w:id="18029619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997880908">
      <w:bodyDiv w:val="1"/>
      <w:marLeft w:val="0"/>
      <w:marRight w:val="0"/>
      <w:marTop w:val="0"/>
      <w:marBottom w:val="0"/>
      <w:divBdr>
        <w:top w:val="none" w:sz="0" w:space="0" w:color="auto"/>
        <w:left w:val="none" w:sz="0" w:space="0" w:color="auto"/>
        <w:bottom w:val="none" w:sz="0" w:space="0" w:color="auto"/>
        <w:right w:val="none" w:sz="0" w:space="0" w:color="auto"/>
      </w:divBdr>
      <w:divsChild>
        <w:div w:id="180552099">
          <w:marLeft w:val="274"/>
          <w:marRight w:val="0"/>
          <w:marTop w:val="0"/>
          <w:marBottom w:val="120"/>
          <w:divBdr>
            <w:top w:val="none" w:sz="0" w:space="0" w:color="auto"/>
            <w:left w:val="none" w:sz="0" w:space="0" w:color="auto"/>
            <w:bottom w:val="none" w:sz="0" w:space="0" w:color="auto"/>
            <w:right w:val="none" w:sz="0" w:space="0" w:color="auto"/>
          </w:divBdr>
        </w:div>
        <w:div w:id="527984270">
          <w:marLeft w:val="274"/>
          <w:marRight w:val="0"/>
          <w:marTop w:val="0"/>
          <w:marBottom w:val="120"/>
          <w:divBdr>
            <w:top w:val="none" w:sz="0" w:space="0" w:color="auto"/>
            <w:left w:val="none" w:sz="0" w:space="0" w:color="auto"/>
            <w:bottom w:val="none" w:sz="0" w:space="0" w:color="auto"/>
            <w:right w:val="none" w:sz="0" w:space="0" w:color="auto"/>
          </w:divBdr>
        </w:div>
        <w:div w:id="661546797">
          <w:marLeft w:val="274"/>
          <w:marRight w:val="0"/>
          <w:marTop w:val="0"/>
          <w:marBottom w:val="120"/>
          <w:divBdr>
            <w:top w:val="none" w:sz="0" w:space="0" w:color="auto"/>
            <w:left w:val="none" w:sz="0" w:space="0" w:color="auto"/>
            <w:bottom w:val="none" w:sz="0" w:space="0" w:color="auto"/>
            <w:right w:val="none" w:sz="0" w:space="0" w:color="auto"/>
          </w:divBdr>
        </w:div>
        <w:div w:id="850796234">
          <w:marLeft w:val="274"/>
          <w:marRight w:val="0"/>
          <w:marTop w:val="0"/>
          <w:marBottom w:val="120"/>
          <w:divBdr>
            <w:top w:val="none" w:sz="0" w:space="0" w:color="auto"/>
            <w:left w:val="none" w:sz="0" w:space="0" w:color="auto"/>
            <w:bottom w:val="none" w:sz="0" w:space="0" w:color="auto"/>
            <w:right w:val="none" w:sz="0" w:space="0" w:color="auto"/>
          </w:divBdr>
        </w:div>
        <w:div w:id="1118644851">
          <w:marLeft w:val="274"/>
          <w:marRight w:val="0"/>
          <w:marTop w:val="0"/>
          <w:marBottom w:val="120"/>
          <w:divBdr>
            <w:top w:val="none" w:sz="0" w:space="0" w:color="auto"/>
            <w:left w:val="none" w:sz="0" w:space="0" w:color="auto"/>
            <w:bottom w:val="none" w:sz="0" w:space="0" w:color="auto"/>
            <w:right w:val="none" w:sz="0" w:space="0" w:color="auto"/>
          </w:divBdr>
        </w:div>
        <w:div w:id="1134248186">
          <w:marLeft w:val="274"/>
          <w:marRight w:val="0"/>
          <w:marTop w:val="0"/>
          <w:marBottom w:val="120"/>
          <w:divBdr>
            <w:top w:val="none" w:sz="0" w:space="0" w:color="auto"/>
            <w:left w:val="none" w:sz="0" w:space="0" w:color="auto"/>
            <w:bottom w:val="none" w:sz="0" w:space="0" w:color="auto"/>
            <w:right w:val="none" w:sz="0" w:space="0" w:color="auto"/>
          </w:divBdr>
        </w:div>
        <w:div w:id="1441803565">
          <w:marLeft w:val="274"/>
          <w:marRight w:val="0"/>
          <w:marTop w:val="0"/>
          <w:marBottom w:val="120"/>
          <w:divBdr>
            <w:top w:val="none" w:sz="0" w:space="0" w:color="auto"/>
            <w:left w:val="none" w:sz="0" w:space="0" w:color="auto"/>
            <w:bottom w:val="none" w:sz="0" w:space="0" w:color="auto"/>
            <w:right w:val="none" w:sz="0" w:space="0" w:color="auto"/>
          </w:divBdr>
        </w:div>
        <w:div w:id="1563641560">
          <w:marLeft w:val="274"/>
          <w:marRight w:val="0"/>
          <w:marTop w:val="0"/>
          <w:marBottom w:val="120"/>
          <w:divBdr>
            <w:top w:val="none" w:sz="0" w:space="0" w:color="auto"/>
            <w:left w:val="none" w:sz="0" w:space="0" w:color="auto"/>
            <w:bottom w:val="none" w:sz="0" w:space="0" w:color="auto"/>
            <w:right w:val="none" w:sz="0" w:space="0" w:color="auto"/>
          </w:divBdr>
        </w:div>
        <w:div w:id="1709839941">
          <w:marLeft w:val="274"/>
          <w:marRight w:val="0"/>
          <w:marTop w:val="0"/>
          <w:marBottom w:val="120"/>
          <w:divBdr>
            <w:top w:val="none" w:sz="0" w:space="0" w:color="auto"/>
            <w:left w:val="none" w:sz="0" w:space="0" w:color="auto"/>
            <w:bottom w:val="none" w:sz="0" w:space="0" w:color="auto"/>
            <w:right w:val="none" w:sz="0" w:space="0" w:color="auto"/>
          </w:divBdr>
        </w:div>
        <w:div w:id="1776754796">
          <w:marLeft w:val="274"/>
          <w:marRight w:val="0"/>
          <w:marTop w:val="0"/>
          <w:marBottom w:val="120"/>
          <w:divBdr>
            <w:top w:val="none" w:sz="0" w:space="0" w:color="auto"/>
            <w:left w:val="none" w:sz="0" w:space="0" w:color="auto"/>
            <w:bottom w:val="none" w:sz="0" w:space="0" w:color="auto"/>
            <w:right w:val="none" w:sz="0" w:space="0" w:color="auto"/>
          </w:divBdr>
        </w:div>
      </w:divsChild>
    </w:div>
    <w:div w:id="2047556501">
      <w:bodyDiv w:val="1"/>
      <w:marLeft w:val="0"/>
      <w:marRight w:val="0"/>
      <w:marTop w:val="0"/>
      <w:marBottom w:val="0"/>
      <w:divBdr>
        <w:top w:val="none" w:sz="0" w:space="0" w:color="auto"/>
        <w:left w:val="none" w:sz="0" w:space="0" w:color="auto"/>
        <w:bottom w:val="none" w:sz="0" w:space="0" w:color="auto"/>
        <w:right w:val="none" w:sz="0" w:space="0" w:color="auto"/>
      </w:divBdr>
    </w:div>
    <w:div w:id="2081899860">
      <w:bodyDiv w:val="1"/>
      <w:marLeft w:val="0"/>
      <w:marRight w:val="0"/>
      <w:marTop w:val="0"/>
      <w:marBottom w:val="0"/>
      <w:divBdr>
        <w:top w:val="none" w:sz="0" w:space="0" w:color="auto"/>
        <w:left w:val="none" w:sz="0" w:space="0" w:color="auto"/>
        <w:bottom w:val="none" w:sz="0" w:space="0" w:color="auto"/>
        <w:right w:val="none" w:sz="0" w:space="0" w:color="auto"/>
      </w:divBdr>
    </w:div>
    <w:div w:id="20995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vic.gov.au/hospitals-and-health-services/funding-performance-and-accountability" TargetMode="External"/><Relationship Id="rId18" Type="http://schemas.openxmlformats.org/officeDocument/2006/relationships/hyperlink" Target="https://www.health.vic.gov.au/our-strategic-plan-2023-27" TargetMode="External"/><Relationship Id="rId26" Type="http://schemas.openxmlformats.org/officeDocument/2006/relationships/hyperlink" Target="https://www.health.vic.gov.au/mental-health/research-and-reporting/mental-health-and-wellbeing-outcomes-and-performance-framework" TargetMode="External"/><Relationship Id="rId39"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health.vic.gov.au/our-strategic-plan-2023-27/our-outcomes-framework"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Accountability" TargetMode="External"/><Relationship Id="rId17" Type="http://schemas.openxmlformats.org/officeDocument/2006/relationships/hyperlink" Target="https://www.health.vic.gov.au/funding-performance-accountability/statements-of-priorities" TargetMode="External"/><Relationship Id="rId25" Type="http://schemas.openxmlformats.org/officeDocument/2006/relationships/hyperlink" Target="https://www.safercare.vic.gov.au/best-practice-improvement/publications/clinical-governance-framework" TargetMode="External"/><Relationship Id="rId33" Type="http://schemas.openxmlformats.org/officeDocument/2006/relationships/header" Target="header1.xml"/><Relationship Id="rId38" Type="http://schemas.openxmlformats.org/officeDocument/2006/relationships/hyperlink" Target="mailto:hsim@health.vic.gov.au" TargetMode="External"/><Relationship Id="rId2" Type="http://schemas.openxmlformats.org/officeDocument/2006/relationships/customXml" Target="../customXml/item2.xml"/><Relationship Id="rId16" Type="http://schemas.openxmlformats.org/officeDocument/2006/relationships/hyperlink" Target="https://www.health.vic.gov.au/funding-performance-accountability/statements-of-priorities" TargetMode="External"/><Relationship Id="rId20" Type="http://schemas.openxmlformats.org/officeDocument/2006/relationships/hyperlink" Target="https://www.health.vic.gov.au/our-strategic-plan-2023-27/our-outcomes-framework"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afercare.vic.gov.au/best-practice-improvement/publications/clinical-governance-framework" TargetMode="External"/><Relationship Id="rId32" Type="http://schemas.openxmlformats.org/officeDocument/2006/relationships/image" Target="media/image6.png"/><Relationship Id="rId37" Type="http://schemas.openxmlformats.org/officeDocument/2006/relationships/hyperlink" Target="mailto:hsim@health.vic.gov.au" TargetMode="External"/><Relationship Id="rId40"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https://www.health.vic.gov.au/funding-performance-accountability/performance-monitoring-framework" TargetMode="External"/><Relationship Id="rId23" Type="http://schemas.openxmlformats.org/officeDocument/2006/relationships/hyperlink" Target="https://www.health.vic.gov.au/policy-and-funding-guidelines-for-health-services" TargetMode="External"/><Relationship Id="rId28" Type="http://schemas.openxmlformats.org/officeDocument/2006/relationships/image" Target="media/image2.png"/><Relationship Id="rId36" Type="http://schemas.openxmlformats.org/officeDocument/2006/relationships/hyperlink" Target="mailto:plannedcare@health.vic.gov.au" TargetMode="External"/><Relationship Id="rId10" Type="http://schemas.openxmlformats.org/officeDocument/2006/relationships/endnotes" Target="endnotes.xml"/><Relationship Id="rId19" Type="http://schemas.openxmlformats.org/officeDocument/2006/relationships/hyperlink" Target="https://www.health.vic.gov.au/our-strategic-plan-2023-27"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funding-performance-accountability/performance-monitoring-framework" TargetMode="External"/><Relationship Id="rId22" Type="http://schemas.openxmlformats.org/officeDocument/2006/relationships/hyperlink" Target="https://www.health.vic.gov.au/policy-and-funding-guidelines-for-health-services" TargetMode="External"/><Relationship Id="rId27" Type="http://schemas.openxmlformats.org/officeDocument/2006/relationships/hyperlink" Target="https://www.health.vic.gov.au/health-system-design-planning/service-capability-frameworks-for-victoria" TargetMode="External"/><Relationship Id="rId30" Type="http://schemas.openxmlformats.org/officeDocument/2006/relationships/image" Target="media/image4.png"/><Relationship Id="rId35" Type="http://schemas.openxmlformats.org/officeDocument/2006/relationships/footer" Target="footer2.xml"/><Relationship Id="rId43"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planned-surgery-recovery-and-reform-program" TargetMode="External"/></Relationships>
</file>

<file path=word/documenttasks/documenttasks1.xml><?xml version="1.0" encoding="utf-8"?>
<t:Tasks xmlns:t="http://schemas.microsoft.com/office/tasks/2019/documenttasks" xmlns:oel="http://schemas.microsoft.com/office/2019/extlst">
  <t:Task id="{7DBA55AD-2962-4486-80D6-7C5F046775A7}">
    <t:Anchor>
      <t:Comment id="2007520014"/>
    </t:Anchor>
    <t:History>
      <t:Event id="{E34D1F70-8773-4B19-B80D-029FE9B37FCB}" time="2025-09-17T22:16:19.672Z">
        <t:Attribution userId="S::Debra.Sudano@health.vic.gov.au::cce08071-a3d0-4c84-bdee-08f1e5499f81" userProvider="AD" userName="Debra Sudano (Health)"/>
        <t:Anchor>
          <t:Comment id="2007520014"/>
        </t:Anchor>
        <t:Create/>
      </t:Event>
      <t:Event id="{AF8D695F-880A-4A80-BD62-A326355DC925}" time="2025-09-17T22:16:19.672Z">
        <t:Attribution userId="S::Debra.Sudano@health.vic.gov.au::cce08071-a3d0-4c84-bdee-08f1e5499f81" userProvider="AD" userName="Debra Sudano (Health)"/>
        <t:Anchor>
          <t:Comment id="2007520014"/>
        </t:Anchor>
        <t:Assign userId="S::Emmy.Fekete@health.vic.gov.au::eff047ae-0790-4b53-a148-564bdb0ca82c" userProvider="AD" userName="Emmy Fekete (Health)"/>
      </t:Event>
      <t:Event id="{8D926EBA-81DF-4AFA-840A-511F918E4358}" time="2025-09-17T22:16:19.672Z">
        <t:Attribution userId="S::Debra.Sudano@health.vic.gov.au::cce08071-a3d0-4c84-bdee-08f1e5499f81" userProvider="AD" userName="Debra Sudano (Health)"/>
        <t:Anchor>
          <t:Comment id="2007520014"/>
        </t:Anchor>
        <t:SetTitle title="@Emmy Fekete (Health) could you also please add HV as a sub domain provides / key lead etc for financial managemnet domain. I have removed it (as tracked change) from HHS section bel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127D056BDBB4C9C781218AD1F7657" ma:contentTypeVersion="11" ma:contentTypeDescription="Create a new document." ma:contentTypeScope="" ma:versionID="847d68b0bb07643d48ec1207ebf1e291">
  <xsd:schema xmlns:xsd="http://www.w3.org/2001/XMLSchema" xmlns:xs="http://www.w3.org/2001/XMLSchema" xmlns:p="http://schemas.microsoft.com/office/2006/metadata/properties" xmlns:ns2="3f95cd32-b15b-4b61-9338-dd20ec753b7f" xmlns:ns3="5ce0f2b5-5be5-4508-bce9-d7011ece0659" targetNamespace="http://schemas.microsoft.com/office/2006/metadata/properties" ma:root="true" ma:fieldsID="dac4df58a6322d7be153c3625df2558c" ns2:_="" ns3:_="">
    <xsd:import namespace="3f95cd32-b15b-4b61-9338-dd20ec753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5cd32-b15b-4b61-9338-dd20ec75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5ba422a-75b1-45ac-aac4-4451e2965dfc}" ma:internalName="TaxCatchAll" ma:showField="CatchAllData" ma:web="01ddb4ba-890d-44a7-97bd-fbe2f07f6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95cd32-b15b-4b61-9338-dd20ec753b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1F4D-B677-42EA-B8C0-82618FC4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5cd32-b15b-4b61-9338-dd20ec753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1ED90-F076-4C02-B126-A2E887C410D3}">
  <ds:schemaRefs>
    <ds:schemaRef ds:uri="http://schemas.microsoft.com/sharepoint/v3/contenttype/forms"/>
  </ds:schemaRefs>
</ds:datastoreItem>
</file>

<file path=customXml/itemProps3.xml><?xml version="1.0" encoding="utf-8"?>
<ds:datastoreItem xmlns:ds="http://schemas.openxmlformats.org/officeDocument/2006/customXml" ds:itemID="{DD9113C0-233A-4314-8E21-2B8D1F4D4C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ce0f2b5-5be5-4508-bce9-d7011ece0659"/>
    <ds:schemaRef ds:uri="3f95cd32-b15b-4b61-9338-dd20ec753b7f"/>
    <ds:schemaRef ds:uri="http://www.w3.org/XML/1998/namespace"/>
    <ds:schemaRef ds:uri="http://purl.org/dc/dcmitype/"/>
  </ds:schemaRefs>
</ds:datastoreItem>
</file>

<file path=customXml/itemProps4.xml><?xml version="1.0" encoding="utf-8"?>
<ds:datastoreItem xmlns:ds="http://schemas.openxmlformats.org/officeDocument/2006/customXml" ds:itemID="{4464C8E1-0A31-4B41-AD2B-210826CE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12362</Words>
  <Characters>70464</Characters>
  <Application>Microsoft Office Word</Application>
  <DocSecurity>0</DocSecurity>
  <Lines>587</Lines>
  <Paragraphs>165</Paragraphs>
  <ScaleCrop>false</ScaleCrop>
  <Company/>
  <LinksUpToDate>false</LinksUpToDate>
  <CharactersWithSpaces>82661</CharactersWithSpaces>
  <SharedDoc>false</SharedDoc>
  <HLinks>
    <vt:vector size="336" baseType="variant">
      <vt:variant>
        <vt:i4>2555905</vt:i4>
      </vt:variant>
      <vt:variant>
        <vt:i4>291</vt:i4>
      </vt:variant>
      <vt:variant>
        <vt:i4>0</vt:i4>
      </vt:variant>
      <vt:variant>
        <vt:i4>5</vt:i4>
      </vt:variant>
      <vt:variant>
        <vt:lpwstr>mailto:hsim@health.vic.gov.au</vt:lpwstr>
      </vt:variant>
      <vt:variant>
        <vt:lpwstr/>
      </vt:variant>
      <vt:variant>
        <vt:i4>2555905</vt:i4>
      </vt:variant>
      <vt:variant>
        <vt:i4>279</vt:i4>
      </vt:variant>
      <vt:variant>
        <vt:i4>0</vt:i4>
      </vt:variant>
      <vt:variant>
        <vt:i4>5</vt:i4>
      </vt:variant>
      <vt:variant>
        <vt:lpwstr>mailto:hsim@health.vic.gov.au</vt:lpwstr>
      </vt:variant>
      <vt:variant>
        <vt:lpwstr/>
      </vt:variant>
      <vt:variant>
        <vt:i4>6094968</vt:i4>
      </vt:variant>
      <vt:variant>
        <vt:i4>276</vt:i4>
      </vt:variant>
      <vt:variant>
        <vt:i4>0</vt:i4>
      </vt:variant>
      <vt:variant>
        <vt:i4>5</vt:i4>
      </vt:variant>
      <vt:variant>
        <vt:lpwstr>mailto:plannedcare@health.vic.gov.au</vt:lpwstr>
      </vt:variant>
      <vt:variant>
        <vt:lpwstr/>
      </vt:variant>
      <vt:variant>
        <vt:i4>3473446</vt:i4>
      </vt:variant>
      <vt:variant>
        <vt:i4>264</vt:i4>
      </vt:variant>
      <vt:variant>
        <vt:i4>0</vt:i4>
      </vt:variant>
      <vt:variant>
        <vt:i4>5</vt:i4>
      </vt:variant>
      <vt:variant>
        <vt:lpwstr>https://www.health.vic.gov.au/health-system-design-planning/service-capability-frameworks-for-victoria</vt:lpwstr>
      </vt:variant>
      <vt:variant>
        <vt:lpwstr/>
      </vt:variant>
      <vt:variant>
        <vt:i4>4849750</vt:i4>
      </vt:variant>
      <vt:variant>
        <vt:i4>261</vt:i4>
      </vt:variant>
      <vt:variant>
        <vt:i4>0</vt:i4>
      </vt:variant>
      <vt:variant>
        <vt:i4>5</vt:i4>
      </vt:variant>
      <vt:variant>
        <vt:lpwstr>https://www.health.vic.gov.au/mental-health/research-and-reporting/mental-health-and-wellbeing-outcomes-and-performance-framework</vt:lpwstr>
      </vt:variant>
      <vt:variant>
        <vt:lpwstr/>
      </vt:variant>
      <vt:variant>
        <vt:i4>4849737</vt:i4>
      </vt:variant>
      <vt:variant>
        <vt:i4>258</vt:i4>
      </vt:variant>
      <vt:variant>
        <vt:i4>0</vt:i4>
      </vt:variant>
      <vt:variant>
        <vt:i4>5</vt:i4>
      </vt:variant>
      <vt:variant>
        <vt:lpwstr>https://www.safercare.vic.gov.au/best-practice-improvement/publications/clinical-governance-framework</vt:lpwstr>
      </vt:variant>
      <vt:variant>
        <vt:lpwstr/>
      </vt:variant>
      <vt:variant>
        <vt:i4>4849737</vt:i4>
      </vt:variant>
      <vt:variant>
        <vt:i4>255</vt:i4>
      </vt:variant>
      <vt:variant>
        <vt:i4>0</vt:i4>
      </vt:variant>
      <vt:variant>
        <vt:i4>5</vt:i4>
      </vt:variant>
      <vt:variant>
        <vt:lpwstr>https://www.safercare.vic.gov.au/best-practice-improvement/publications/clinical-governance-framework</vt:lpwstr>
      </vt:variant>
      <vt:variant>
        <vt:lpwstr/>
      </vt:variant>
      <vt:variant>
        <vt:i4>8061047</vt:i4>
      </vt:variant>
      <vt:variant>
        <vt:i4>252</vt:i4>
      </vt:variant>
      <vt:variant>
        <vt:i4>0</vt:i4>
      </vt:variant>
      <vt:variant>
        <vt:i4>5</vt:i4>
      </vt:variant>
      <vt:variant>
        <vt:lpwstr>https://www.health.vic.gov.au/policy-and-funding-guidelines-for-health-services</vt:lpwstr>
      </vt:variant>
      <vt:variant>
        <vt:lpwstr/>
      </vt:variant>
      <vt:variant>
        <vt:i4>8061047</vt:i4>
      </vt:variant>
      <vt:variant>
        <vt:i4>249</vt:i4>
      </vt:variant>
      <vt:variant>
        <vt:i4>0</vt:i4>
      </vt:variant>
      <vt:variant>
        <vt:i4>5</vt:i4>
      </vt:variant>
      <vt:variant>
        <vt:lpwstr>https://www.health.vic.gov.au/policy-and-funding-guidelines-for-health-services</vt:lpwstr>
      </vt:variant>
      <vt:variant>
        <vt:lpwstr/>
      </vt:variant>
      <vt:variant>
        <vt:i4>2883699</vt:i4>
      </vt:variant>
      <vt:variant>
        <vt:i4>246</vt:i4>
      </vt:variant>
      <vt:variant>
        <vt:i4>0</vt:i4>
      </vt:variant>
      <vt:variant>
        <vt:i4>5</vt:i4>
      </vt:variant>
      <vt:variant>
        <vt:lpwstr>https://www.health.vic.gov.au/our-strategic-plan-2023-27/our-outcomes-framework</vt:lpwstr>
      </vt:variant>
      <vt:variant>
        <vt:lpwstr/>
      </vt:variant>
      <vt:variant>
        <vt:i4>2883699</vt:i4>
      </vt:variant>
      <vt:variant>
        <vt:i4>243</vt:i4>
      </vt:variant>
      <vt:variant>
        <vt:i4>0</vt:i4>
      </vt:variant>
      <vt:variant>
        <vt:i4>5</vt:i4>
      </vt:variant>
      <vt:variant>
        <vt:lpwstr>https://www.health.vic.gov.au/our-strategic-plan-2023-27/our-outcomes-framework</vt:lpwstr>
      </vt:variant>
      <vt:variant>
        <vt:lpwstr/>
      </vt:variant>
      <vt:variant>
        <vt:i4>1507329</vt:i4>
      </vt:variant>
      <vt:variant>
        <vt:i4>240</vt:i4>
      </vt:variant>
      <vt:variant>
        <vt:i4>0</vt:i4>
      </vt:variant>
      <vt:variant>
        <vt:i4>5</vt:i4>
      </vt:variant>
      <vt:variant>
        <vt:lpwstr>https://www.health.vic.gov.au/our-strategic-plan-2023-27</vt:lpwstr>
      </vt:variant>
      <vt:variant>
        <vt:lpwstr/>
      </vt:variant>
      <vt:variant>
        <vt:i4>1507329</vt:i4>
      </vt:variant>
      <vt:variant>
        <vt:i4>237</vt:i4>
      </vt:variant>
      <vt:variant>
        <vt:i4>0</vt:i4>
      </vt:variant>
      <vt:variant>
        <vt:i4>5</vt:i4>
      </vt:variant>
      <vt:variant>
        <vt:lpwstr>https://www.health.vic.gov.au/our-strategic-plan-2023-27</vt:lpwstr>
      </vt:variant>
      <vt:variant>
        <vt:lpwstr/>
      </vt:variant>
      <vt:variant>
        <vt:i4>4325396</vt:i4>
      </vt:variant>
      <vt:variant>
        <vt:i4>234</vt:i4>
      </vt:variant>
      <vt:variant>
        <vt:i4>0</vt:i4>
      </vt:variant>
      <vt:variant>
        <vt:i4>5</vt:i4>
      </vt:variant>
      <vt:variant>
        <vt:lpwstr>https://www.health.vic.gov.au/funding-performance-accountability/statements-of-priorities</vt:lpwstr>
      </vt:variant>
      <vt:variant>
        <vt:lpwstr/>
      </vt:variant>
      <vt:variant>
        <vt:i4>4325396</vt:i4>
      </vt:variant>
      <vt:variant>
        <vt:i4>231</vt:i4>
      </vt:variant>
      <vt:variant>
        <vt:i4>0</vt:i4>
      </vt:variant>
      <vt:variant>
        <vt:i4>5</vt:i4>
      </vt:variant>
      <vt:variant>
        <vt:lpwstr>https://www.health.vic.gov.au/funding-performance-accountability/statements-of-priorities</vt:lpwstr>
      </vt:variant>
      <vt:variant>
        <vt:lpwstr/>
      </vt:variant>
      <vt:variant>
        <vt:i4>4325391</vt:i4>
      </vt:variant>
      <vt:variant>
        <vt:i4>228</vt:i4>
      </vt:variant>
      <vt:variant>
        <vt:i4>0</vt:i4>
      </vt:variant>
      <vt:variant>
        <vt:i4>5</vt:i4>
      </vt:variant>
      <vt:variant>
        <vt:lpwstr>https://www.health.vic.gov.au/funding-performance-accountability/performance-monitoring-framework</vt:lpwstr>
      </vt:variant>
      <vt:variant>
        <vt:lpwstr/>
      </vt:variant>
      <vt:variant>
        <vt:i4>4325391</vt:i4>
      </vt:variant>
      <vt:variant>
        <vt:i4>225</vt:i4>
      </vt:variant>
      <vt:variant>
        <vt:i4>0</vt:i4>
      </vt:variant>
      <vt:variant>
        <vt:i4>5</vt:i4>
      </vt:variant>
      <vt:variant>
        <vt:lpwstr>https://www.health.vic.gov.au/funding-performance-accountability/performance-monitoring-framework</vt:lpwstr>
      </vt:variant>
      <vt:variant>
        <vt:lpwstr/>
      </vt:variant>
      <vt:variant>
        <vt:i4>1441844</vt:i4>
      </vt:variant>
      <vt:variant>
        <vt:i4>218</vt:i4>
      </vt:variant>
      <vt:variant>
        <vt:i4>0</vt:i4>
      </vt:variant>
      <vt:variant>
        <vt:i4>5</vt:i4>
      </vt:variant>
      <vt:variant>
        <vt:lpwstr/>
      </vt:variant>
      <vt:variant>
        <vt:lpwstr>_Toc211343306</vt:lpwstr>
      </vt:variant>
      <vt:variant>
        <vt:i4>1441844</vt:i4>
      </vt:variant>
      <vt:variant>
        <vt:i4>212</vt:i4>
      </vt:variant>
      <vt:variant>
        <vt:i4>0</vt:i4>
      </vt:variant>
      <vt:variant>
        <vt:i4>5</vt:i4>
      </vt:variant>
      <vt:variant>
        <vt:lpwstr/>
      </vt:variant>
      <vt:variant>
        <vt:lpwstr>_Toc211343305</vt:lpwstr>
      </vt:variant>
      <vt:variant>
        <vt:i4>1441844</vt:i4>
      </vt:variant>
      <vt:variant>
        <vt:i4>206</vt:i4>
      </vt:variant>
      <vt:variant>
        <vt:i4>0</vt:i4>
      </vt:variant>
      <vt:variant>
        <vt:i4>5</vt:i4>
      </vt:variant>
      <vt:variant>
        <vt:lpwstr/>
      </vt:variant>
      <vt:variant>
        <vt:lpwstr>_Toc211343304</vt:lpwstr>
      </vt:variant>
      <vt:variant>
        <vt:i4>1441844</vt:i4>
      </vt:variant>
      <vt:variant>
        <vt:i4>200</vt:i4>
      </vt:variant>
      <vt:variant>
        <vt:i4>0</vt:i4>
      </vt:variant>
      <vt:variant>
        <vt:i4>5</vt:i4>
      </vt:variant>
      <vt:variant>
        <vt:lpwstr/>
      </vt:variant>
      <vt:variant>
        <vt:lpwstr>_Toc211343303</vt:lpwstr>
      </vt:variant>
      <vt:variant>
        <vt:i4>1441844</vt:i4>
      </vt:variant>
      <vt:variant>
        <vt:i4>194</vt:i4>
      </vt:variant>
      <vt:variant>
        <vt:i4>0</vt:i4>
      </vt:variant>
      <vt:variant>
        <vt:i4>5</vt:i4>
      </vt:variant>
      <vt:variant>
        <vt:lpwstr/>
      </vt:variant>
      <vt:variant>
        <vt:lpwstr>_Toc211343302</vt:lpwstr>
      </vt:variant>
      <vt:variant>
        <vt:i4>1441844</vt:i4>
      </vt:variant>
      <vt:variant>
        <vt:i4>188</vt:i4>
      </vt:variant>
      <vt:variant>
        <vt:i4>0</vt:i4>
      </vt:variant>
      <vt:variant>
        <vt:i4>5</vt:i4>
      </vt:variant>
      <vt:variant>
        <vt:lpwstr/>
      </vt:variant>
      <vt:variant>
        <vt:lpwstr>_Toc211343301</vt:lpwstr>
      </vt:variant>
      <vt:variant>
        <vt:i4>1441844</vt:i4>
      </vt:variant>
      <vt:variant>
        <vt:i4>182</vt:i4>
      </vt:variant>
      <vt:variant>
        <vt:i4>0</vt:i4>
      </vt:variant>
      <vt:variant>
        <vt:i4>5</vt:i4>
      </vt:variant>
      <vt:variant>
        <vt:lpwstr/>
      </vt:variant>
      <vt:variant>
        <vt:lpwstr>_Toc211343300</vt:lpwstr>
      </vt:variant>
      <vt:variant>
        <vt:i4>2031669</vt:i4>
      </vt:variant>
      <vt:variant>
        <vt:i4>176</vt:i4>
      </vt:variant>
      <vt:variant>
        <vt:i4>0</vt:i4>
      </vt:variant>
      <vt:variant>
        <vt:i4>5</vt:i4>
      </vt:variant>
      <vt:variant>
        <vt:lpwstr/>
      </vt:variant>
      <vt:variant>
        <vt:lpwstr>_Toc211343299</vt:lpwstr>
      </vt:variant>
      <vt:variant>
        <vt:i4>2031669</vt:i4>
      </vt:variant>
      <vt:variant>
        <vt:i4>170</vt:i4>
      </vt:variant>
      <vt:variant>
        <vt:i4>0</vt:i4>
      </vt:variant>
      <vt:variant>
        <vt:i4>5</vt:i4>
      </vt:variant>
      <vt:variant>
        <vt:lpwstr/>
      </vt:variant>
      <vt:variant>
        <vt:lpwstr>_Toc211343298</vt:lpwstr>
      </vt:variant>
      <vt:variant>
        <vt:i4>2031669</vt:i4>
      </vt:variant>
      <vt:variant>
        <vt:i4>164</vt:i4>
      </vt:variant>
      <vt:variant>
        <vt:i4>0</vt:i4>
      </vt:variant>
      <vt:variant>
        <vt:i4>5</vt:i4>
      </vt:variant>
      <vt:variant>
        <vt:lpwstr/>
      </vt:variant>
      <vt:variant>
        <vt:lpwstr>_Toc211343297</vt:lpwstr>
      </vt:variant>
      <vt:variant>
        <vt:i4>2031669</vt:i4>
      </vt:variant>
      <vt:variant>
        <vt:i4>158</vt:i4>
      </vt:variant>
      <vt:variant>
        <vt:i4>0</vt:i4>
      </vt:variant>
      <vt:variant>
        <vt:i4>5</vt:i4>
      </vt:variant>
      <vt:variant>
        <vt:lpwstr/>
      </vt:variant>
      <vt:variant>
        <vt:lpwstr>_Toc211343296</vt:lpwstr>
      </vt:variant>
      <vt:variant>
        <vt:i4>2031669</vt:i4>
      </vt:variant>
      <vt:variant>
        <vt:i4>152</vt:i4>
      </vt:variant>
      <vt:variant>
        <vt:i4>0</vt:i4>
      </vt:variant>
      <vt:variant>
        <vt:i4>5</vt:i4>
      </vt:variant>
      <vt:variant>
        <vt:lpwstr/>
      </vt:variant>
      <vt:variant>
        <vt:lpwstr>_Toc211343295</vt:lpwstr>
      </vt:variant>
      <vt:variant>
        <vt:i4>2031669</vt:i4>
      </vt:variant>
      <vt:variant>
        <vt:i4>146</vt:i4>
      </vt:variant>
      <vt:variant>
        <vt:i4>0</vt:i4>
      </vt:variant>
      <vt:variant>
        <vt:i4>5</vt:i4>
      </vt:variant>
      <vt:variant>
        <vt:lpwstr/>
      </vt:variant>
      <vt:variant>
        <vt:lpwstr>_Toc211343294</vt:lpwstr>
      </vt:variant>
      <vt:variant>
        <vt:i4>2031669</vt:i4>
      </vt:variant>
      <vt:variant>
        <vt:i4>140</vt:i4>
      </vt:variant>
      <vt:variant>
        <vt:i4>0</vt:i4>
      </vt:variant>
      <vt:variant>
        <vt:i4>5</vt:i4>
      </vt:variant>
      <vt:variant>
        <vt:lpwstr/>
      </vt:variant>
      <vt:variant>
        <vt:lpwstr>_Toc211343293</vt:lpwstr>
      </vt:variant>
      <vt:variant>
        <vt:i4>2031669</vt:i4>
      </vt:variant>
      <vt:variant>
        <vt:i4>134</vt:i4>
      </vt:variant>
      <vt:variant>
        <vt:i4>0</vt:i4>
      </vt:variant>
      <vt:variant>
        <vt:i4>5</vt:i4>
      </vt:variant>
      <vt:variant>
        <vt:lpwstr/>
      </vt:variant>
      <vt:variant>
        <vt:lpwstr>_Toc211343292</vt:lpwstr>
      </vt:variant>
      <vt:variant>
        <vt:i4>2031669</vt:i4>
      </vt:variant>
      <vt:variant>
        <vt:i4>128</vt:i4>
      </vt:variant>
      <vt:variant>
        <vt:i4>0</vt:i4>
      </vt:variant>
      <vt:variant>
        <vt:i4>5</vt:i4>
      </vt:variant>
      <vt:variant>
        <vt:lpwstr/>
      </vt:variant>
      <vt:variant>
        <vt:lpwstr>_Toc211343291</vt:lpwstr>
      </vt:variant>
      <vt:variant>
        <vt:i4>2031669</vt:i4>
      </vt:variant>
      <vt:variant>
        <vt:i4>122</vt:i4>
      </vt:variant>
      <vt:variant>
        <vt:i4>0</vt:i4>
      </vt:variant>
      <vt:variant>
        <vt:i4>5</vt:i4>
      </vt:variant>
      <vt:variant>
        <vt:lpwstr/>
      </vt:variant>
      <vt:variant>
        <vt:lpwstr>_Toc211343290</vt:lpwstr>
      </vt:variant>
      <vt:variant>
        <vt:i4>1966133</vt:i4>
      </vt:variant>
      <vt:variant>
        <vt:i4>116</vt:i4>
      </vt:variant>
      <vt:variant>
        <vt:i4>0</vt:i4>
      </vt:variant>
      <vt:variant>
        <vt:i4>5</vt:i4>
      </vt:variant>
      <vt:variant>
        <vt:lpwstr/>
      </vt:variant>
      <vt:variant>
        <vt:lpwstr>_Toc211343289</vt:lpwstr>
      </vt:variant>
      <vt:variant>
        <vt:i4>1966133</vt:i4>
      </vt:variant>
      <vt:variant>
        <vt:i4>110</vt:i4>
      </vt:variant>
      <vt:variant>
        <vt:i4>0</vt:i4>
      </vt:variant>
      <vt:variant>
        <vt:i4>5</vt:i4>
      </vt:variant>
      <vt:variant>
        <vt:lpwstr/>
      </vt:variant>
      <vt:variant>
        <vt:lpwstr>_Toc211343288</vt:lpwstr>
      </vt:variant>
      <vt:variant>
        <vt:i4>1966133</vt:i4>
      </vt:variant>
      <vt:variant>
        <vt:i4>104</vt:i4>
      </vt:variant>
      <vt:variant>
        <vt:i4>0</vt:i4>
      </vt:variant>
      <vt:variant>
        <vt:i4>5</vt:i4>
      </vt:variant>
      <vt:variant>
        <vt:lpwstr/>
      </vt:variant>
      <vt:variant>
        <vt:lpwstr>_Toc211343287</vt:lpwstr>
      </vt:variant>
      <vt:variant>
        <vt:i4>1966133</vt:i4>
      </vt:variant>
      <vt:variant>
        <vt:i4>98</vt:i4>
      </vt:variant>
      <vt:variant>
        <vt:i4>0</vt:i4>
      </vt:variant>
      <vt:variant>
        <vt:i4>5</vt:i4>
      </vt:variant>
      <vt:variant>
        <vt:lpwstr/>
      </vt:variant>
      <vt:variant>
        <vt:lpwstr>_Toc211343286</vt:lpwstr>
      </vt:variant>
      <vt:variant>
        <vt:i4>1966133</vt:i4>
      </vt:variant>
      <vt:variant>
        <vt:i4>92</vt:i4>
      </vt:variant>
      <vt:variant>
        <vt:i4>0</vt:i4>
      </vt:variant>
      <vt:variant>
        <vt:i4>5</vt:i4>
      </vt:variant>
      <vt:variant>
        <vt:lpwstr/>
      </vt:variant>
      <vt:variant>
        <vt:lpwstr>_Toc211343285</vt:lpwstr>
      </vt:variant>
      <vt:variant>
        <vt:i4>1966133</vt:i4>
      </vt:variant>
      <vt:variant>
        <vt:i4>86</vt:i4>
      </vt:variant>
      <vt:variant>
        <vt:i4>0</vt:i4>
      </vt:variant>
      <vt:variant>
        <vt:i4>5</vt:i4>
      </vt:variant>
      <vt:variant>
        <vt:lpwstr/>
      </vt:variant>
      <vt:variant>
        <vt:lpwstr>_Toc211343284</vt:lpwstr>
      </vt:variant>
      <vt:variant>
        <vt:i4>1966133</vt:i4>
      </vt:variant>
      <vt:variant>
        <vt:i4>80</vt:i4>
      </vt:variant>
      <vt:variant>
        <vt:i4>0</vt:i4>
      </vt:variant>
      <vt:variant>
        <vt:i4>5</vt:i4>
      </vt:variant>
      <vt:variant>
        <vt:lpwstr/>
      </vt:variant>
      <vt:variant>
        <vt:lpwstr>_Toc211343283</vt:lpwstr>
      </vt:variant>
      <vt:variant>
        <vt:i4>1966133</vt:i4>
      </vt:variant>
      <vt:variant>
        <vt:i4>74</vt:i4>
      </vt:variant>
      <vt:variant>
        <vt:i4>0</vt:i4>
      </vt:variant>
      <vt:variant>
        <vt:i4>5</vt:i4>
      </vt:variant>
      <vt:variant>
        <vt:lpwstr/>
      </vt:variant>
      <vt:variant>
        <vt:lpwstr>_Toc211343282</vt:lpwstr>
      </vt:variant>
      <vt:variant>
        <vt:i4>1966133</vt:i4>
      </vt:variant>
      <vt:variant>
        <vt:i4>68</vt:i4>
      </vt:variant>
      <vt:variant>
        <vt:i4>0</vt:i4>
      </vt:variant>
      <vt:variant>
        <vt:i4>5</vt:i4>
      </vt:variant>
      <vt:variant>
        <vt:lpwstr/>
      </vt:variant>
      <vt:variant>
        <vt:lpwstr>_Toc211343281</vt:lpwstr>
      </vt:variant>
      <vt:variant>
        <vt:i4>1966133</vt:i4>
      </vt:variant>
      <vt:variant>
        <vt:i4>62</vt:i4>
      </vt:variant>
      <vt:variant>
        <vt:i4>0</vt:i4>
      </vt:variant>
      <vt:variant>
        <vt:i4>5</vt:i4>
      </vt:variant>
      <vt:variant>
        <vt:lpwstr/>
      </vt:variant>
      <vt:variant>
        <vt:lpwstr>_Toc211343280</vt:lpwstr>
      </vt:variant>
      <vt:variant>
        <vt:i4>1114165</vt:i4>
      </vt:variant>
      <vt:variant>
        <vt:i4>56</vt:i4>
      </vt:variant>
      <vt:variant>
        <vt:i4>0</vt:i4>
      </vt:variant>
      <vt:variant>
        <vt:i4>5</vt:i4>
      </vt:variant>
      <vt:variant>
        <vt:lpwstr/>
      </vt:variant>
      <vt:variant>
        <vt:lpwstr>_Toc211343279</vt:lpwstr>
      </vt:variant>
      <vt:variant>
        <vt:i4>1114165</vt:i4>
      </vt:variant>
      <vt:variant>
        <vt:i4>50</vt:i4>
      </vt:variant>
      <vt:variant>
        <vt:i4>0</vt:i4>
      </vt:variant>
      <vt:variant>
        <vt:i4>5</vt:i4>
      </vt:variant>
      <vt:variant>
        <vt:lpwstr/>
      </vt:variant>
      <vt:variant>
        <vt:lpwstr>_Toc211343278</vt:lpwstr>
      </vt:variant>
      <vt:variant>
        <vt:i4>1114165</vt:i4>
      </vt:variant>
      <vt:variant>
        <vt:i4>44</vt:i4>
      </vt:variant>
      <vt:variant>
        <vt:i4>0</vt:i4>
      </vt:variant>
      <vt:variant>
        <vt:i4>5</vt:i4>
      </vt:variant>
      <vt:variant>
        <vt:lpwstr/>
      </vt:variant>
      <vt:variant>
        <vt:lpwstr>_Toc211343277</vt:lpwstr>
      </vt:variant>
      <vt:variant>
        <vt:i4>1114165</vt:i4>
      </vt:variant>
      <vt:variant>
        <vt:i4>38</vt:i4>
      </vt:variant>
      <vt:variant>
        <vt:i4>0</vt:i4>
      </vt:variant>
      <vt:variant>
        <vt:i4>5</vt:i4>
      </vt:variant>
      <vt:variant>
        <vt:lpwstr/>
      </vt:variant>
      <vt:variant>
        <vt:lpwstr>_Toc211343276</vt:lpwstr>
      </vt:variant>
      <vt:variant>
        <vt:i4>1114165</vt:i4>
      </vt:variant>
      <vt:variant>
        <vt:i4>32</vt:i4>
      </vt:variant>
      <vt:variant>
        <vt:i4>0</vt:i4>
      </vt:variant>
      <vt:variant>
        <vt:i4>5</vt:i4>
      </vt:variant>
      <vt:variant>
        <vt:lpwstr/>
      </vt:variant>
      <vt:variant>
        <vt:lpwstr>_Toc211343275</vt:lpwstr>
      </vt:variant>
      <vt:variant>
        <vt:i4>1114165</vt:i4>
      </vt:variant>
      <vt:variant>
        <vt:i4>26</vt:i4>
      </vt:variant>
      <vt:variant>
        <vt:i4>0</vt:i4>
      </vt:variant>
      <vt:variant>
        <vt:i4>5</vt:i4>
      </vt:variant>
      <vt:variant>
        <vt:lpwstr/>
      </vt:variant>
      <vt:variant>
        <vt:lpwstr>_Toc211343274</vt:lpwstr>
      </vt:variant>
      <vt:variant>
        <vt:i4>1114165</vt:i4>
      </vt:variant>
      <vt:variant>
        <vt:i4>20</vt:i4>
      </vt:variant>
      <vt:variant>
        <vt:i4>0</vt:i4>
      </vt:variant>
      <vt:variant>
        <vt:i4>5</vt:i4>
      </vt:variant>
      <vt:variant>
        <vt:lpwstr/>
      </vt:variant>
      <vt:variant>
        <vt:lpwstr>_Toc211343273</vt:lpwstr>
      </vt:variant>
      <vt:variant>
        <vt:i4>1114165</vt:i4>
      </vt:variant>
      <vt:variant>
        <vt:i4>14</vt:i4>
      </vt:variant>
      <vt:variant>
        <vt:i4>0</vt:i4>
      </vt:variant>
      <vt:variant>
        <vt:i4>5</vt:i4>
      </vt:variant>
      <vt:variant>
        <vt:lpwstr/>
      </vt:variant>
      <vt:variant>
        <vt:lpwstr>_Toc211343272</vt:lpwstr>
      </vt:variant>
      <vt:variant>
        <vt:i4>1114165</vt:i4>
      </vt:variant>
      <vt:variant>
        <vt:i4>8</vt:i4>
      </vt:variant>
      <vt:variant>
        <vt:i4>0</vt:i4>
      </vt:variant>
      <vt:variant>
        <vt:i4>5</vt:i4>
      </vt:variant>
      <vt:variant>
        <vt:lpwstr/>
      </vt:variant>
      <vt:variant>
        <vt:lpwstr>_Toc211343271</vt:lpwstr>
      </vt:variant>
      <vt:variant>
        <vt:i4>8126503</vt:i4>
      </vt:variant>
      <vt:variant>
        <vt:i4>3</vt:i4>
      </vt:variant>
      <vt:variant>
        <vt:i4>0</vt:i4>
      </vt:variant>
      <vt:variant>
        <vt:i4>5</vt:i4>
      </vt:variant>
      <vt:variant>
        <vt:lpwstr>https://www.health.vic.gov.au/hospitals-and-health-services/funding-performance-and-accountability</vt:lpwstr>
      </vt:variant>
      <vt:variant>
        <vt:lpwstr/>
      </vt:variant>
      <vt:variant>
        <vt:i4>851969</vt:i4>
      </vt:variant>
      <vt:variant>
        <vt:i4>0</vt:i4>
      </vt:variant>
      <vt:variant>
        <vt:i4>0</vt:i4>
      </vt:variant>
      <vt:variant>
        <vt:i4>5</vt:i4>
      </vt:variant>
      <vt:variant>
        <vt:lpwstr>mailto:%20Accountability</vt:lpwstr>
      </vt:variant>
      <vt:variant>
        <vt:lpwstr/>
      </vt:variant>
      <vt:variant>
        <vt:i4>4718615</vt:i4>
      </vt:variant>
      <vt:variant>
        <vt:i4>0</vt:i4>
      </vt:variant>
      <vt:variant>
        <vt:i4>0</vt:i4>
      </vt:variant>
      <vt:variant>
        <vt:i4>5</vt:i4>
      </vt:variant>
      <vt:variant>
        <vt:lpwstr>https://www.health.vic.gov.au/planned-surgery-recovery-and-reform-program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Health Services Performance Monitoring Framework 2025-26</dc:title>
  <dc:subject/>
  <dc:creator>Emmy Fekete (Health)</dc:creator>
  <cp:keywords/>
  <dc:description/>
  <cp:lastModifiedBy>Emmy Fekete (Health)</cp:lastModifiedBy>
  <cp:revision>2</cp:revision>
  <cp:lastPrinted>2025-07-22T01:38:00Z</cp:lastPrinted>
  <dcterms:created xsi:type="dcterms:W3CDTF">2025-11-04T22:54:00Z</dcterms:created>
  <dcterms:modified xsi:type="dcterms:W3CDTF">2025-11-04T22:54:00Z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4cb33fe1,39192b16,8ec7b3c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2024-09-02T23:08:33Z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d35f274d-ba5c-4b9a-a155-c52fa03fd56a</vt:lpwstr>
  </property>
  <property fmtid="{D5CDD505-2E9C-101B-9397-08002B2CF9AE}" pid="11" name="MSIP_Label_43e64453-338c-4f93-8a4d-0039a0a41f2a_ContentBits">
    <vt:lpwstr>2</vt:lpwstr>
  </property>
  <property fmtid="{D5CDD505-2E9C-101B-9397-08002B2CF9AE}" pid="12" name="ContentTypeId">
    <vt:lpwstr>0x010100C97127D056BDBB4C9C781218AD1F7657</vt:lpwstr>
  </property>
  <property fmtid="{D5CDD505-2E9C-101B-9397-08002B2CF9AE}" pid="13" name="docLang">
    <vt:lpwstr>en</vt:lpwstr>
  </property>
  <property fmtid="{D5CDD505-2E9C-101B-9397-08002B2CF9AE}" pid="14" name="MediaServiceImageTags">
    <vt:lpwstr/>
  </property>
</Properties>
</file>