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9E97" w14:textId="77777777" w:rsidR="00056EC4" w:rsidRDefault="00E9042A" w:rsidP="00977D59">
      <w:pPr>
        <w:pStyle w:val="Heading1"/>
      </w:pPr>
      <w:bookmarkStart w:id="0" w:name="_Toc144975786"/>
      <w:bookmarkStart w:id="1" w:name="_Toc147495496"/>
      <w:bookmarkStart w:id="2" w:name="_Toc147761570"/>
      <w:r w:rsidRPr="00977D59">
        <w:rPr>
          <w:noProof/>
        </w:rPr>
        <w:drawing>
          <wp:anchor distT="0" distB="0" distL="114300" distR="114300" simplePos="0" relativeHeight="251658240" behindDoc="1" locked="1" layoutInCell="1" allowOverlap="0" wp14:anchorId="219BFD37" wp14:editId="2E9068B3">
            <wp:simplePos x="0" y="0"/>
            <wp:positionH relativeFrom="page">
              <wp:posOffset>0</wp:posOffset>
            </wp:positionH>
            <wp:positionV relativeFrom="page">
              <wp:posOffset>-12700</wp:posOffset>
            </wp:positionV>
            <wp:extent cx="7555865" cy="10146030"/>
            <wp:effectExtent l="0" t="0" r="6985"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670FDB" w14:paraId="322BCFDA" w14:textId="77777777" w:rsidTr="008C0001">
        <w:trPr>
          <w:cantSplit/>
        </w:trPr>
        <w:tc>
          <w:tcPr>
            <w:tcW w:w="0" w:type="auto"/>
            <w:tcMar>
              <w:top w:w="0" w:type="dxa"/>
              <w:left w:w="0" w:type="dxa"/>
              <w:right w:w="0" w:type="dxa"/>
            </w:tcMar>
          </w:tcPr>
          <w:p w14:paraId="7FE5E915" w14:textId="5F8A6CDB" w:rsidR="00670FDB" w:rsidRPr="00431F42" w:rsidRDefault="00BA037E" w:rsidP="00670FDB">
            <w:pPr>
              <w:pStyle w:val="Documenttitle"/>
            </w:pPr>
            <w:r>
              <w:t>Sexual safety incidents</w:t>
            </w:r>
          </w:p>
        </w:tc>
      </w:tr>
      <w:tr w:rsidR="00670FDB" w14:paraId="69548587" w14:textId="77777777" w:rsidTr="008C0001">
        <w:trPr>
          <w:cantSplit/>
        </w:trPr>
        <w:tc>
          <w:tcPr>
            <w:tcW w:w="0" w:type="auto"/>
          </w:tcPr>
          <w:p w14:paraId="55D1B689" w14:textId="6F952276" w:rsidR="00670FDB" w:rsidRPr="00A1389F" w:rsidRDefault="00BA037E" w:rsidP="00670FDB">
            <w:pPr>
              <w:pStyle w:val="Documentsubtitle"/>
            </w:pPr>
            <w:r>
              <w:t>Chief Psychiatrist’s reporting directive</w:t>
            </w:r>
            <w:r w:rsidR="00670FDB">
              <w:t xml:space="preserve"> – </w:t>
            </w:r>
            <w:r w:rsidR="61A529EA">
              <w:t>November</w:t>
            </w:r>
            <w:r w:rsidR="00670FDB">
              <w:t xml:space="preserve"> </w:t>
            </w:r>
            <w:r w:rsidR="00D72DA0">
              <w:t>2025</w:t>
            </w:r>
          </w:p>
        </w:tc>
      </w:tr>
      <w:tr w:rsidR="00430393" w14:paraId="348197B9" w14:textId="77777777" w:rsidTr="008C0001">
        <w:trPr>
          <w:cantSplit/>
        </w:trPr>
        <w:tc>
          <w:tcPr>
            <w:tcW w:w="0" w:type="auto"/>
          </w:tcPr>
          <w:p w14:paraId="6A936B20" w14:textId="77777777" w:rsidR="00430393" w:rsidRDefault="00670FDB" w:rsidP="00430393">
            <w:pPr>
              <w:pStyle w:val="Bannermarking"/>
            </w:pPr>
            <w:fldSimple w:instr="FILLIN  &quot;Type the protective marking&quot; \d OFFICIAL \o  \* MERGEFORMAT">
              <w:r>
                <w:t>OFFICIAL</w:t>
              </w:r>
            </w:fldSimple>
          </w:p>
        </w:tc>
      </w:tr>
    </w:tbl>
    <w:p w14:paraId="6AA659AA" w14:textId="77777777" w:rsidR="00FE4081" w:rsidRDefault="00FE4081" w:rsidP="00FE4081">
      <w:pPr>
        <w:pStyle w:val="Body"/>
      </w:pPr>
    </w:p>
    <w:p w14:paraId="0ACAB736" w14:textId="77777777" w:rsidR="00FE4081" w:rsidRPr="00FE4081" w:rsidRDefault="00FE4081" w:rsidP="00FE4081">
      <w:pPr>
        <w:pStyle w:val="Body"/>
        <w:sectPr w:rsidR="00FE4081" w:rsidRPr="00FE4081" w:rsidSect="004B40C9">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DE34E0A"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C18F90" w14:textId="77777777" w:rsidTr="008C0001">
        <w:trPr>
          <w:trHeight w:val="7371"/>
        </w:trPr>
        <w:tc>
          <w:tcPr>
            <w:tcW w:w="7598" w:type="dxa"/>
            <w:vAlign w:val="center"/>
          </w:tcPr>
          <w:p w14:paraId="34358AAF" w14:textId="6991821A" w:rsidR="00431F42" w:rsidRDefault="007750F5" w:rsidP="00431F42">
            <w:pPr>
              <w:pStyle w:val="Documenttitle"/>
            </w:pPr>
            <w:r>
              <w:lastRenderedPageBreak/>
              <w:t>Sexual safety incidents</w:t>
            </w:r>
          </w:p>
          <w:p w14:paraId="05162622" w14:textId="5CE6818D" w:rsidR="00431F42" w:rsidRDefault="007750F5" w:rsidP="00431F42">
            <w:pPr>
              <w:pStyle w:val="Documentsubtitle"/>
            </w:pPr>
            <w:r>
              <w:t>Chief Psychiatrist’s reporting directive</w:t>
            </w:r>
            <w:r w:rsidR="00670FDB">
              <w:t xml:space="preserve"> – </w:t>
            </w:r>
            <w:r w:rsidR="1A6D0C91">
              <w:t>November</w:t>
            </w:r>
            <w:r w:rsidR="00670FDB">
              <w:t xml:space="preserve"> </w:t>
            </w:r>
            <w:r w:rsidR="00D72DA0">
              <w:t>2025</w:t>
            </w:r>
          </w:p>
        </w:tc>
      </w:tr>
      <w:tr w:rsidR="00431F42" w14:paraId="26E52D4F" w14:textId="77777777" w:rsidTr="008C0001">
        <w:tc>
          <w:tcPr>
            <w:tcW w:w="7598" w:type="dxa"/>
          </w:tcPr>
          <w:p w14:paraId="45AD5D68" w14:textId="77777777" w:rsidR="00431F42" w:rsidRDefault="00431F42" w:rsidP="00431F42">
            <w:pPr>
              <w:pStyle w:val="Body"/>
            </w:pPr>
          </w:p>
        </w:tc>
      </w:tr>
    </w:tbl>
    <w:p w14:paraId="4107F0F6" w14:textId="77777777" w:rsidR="000D2ABA" w:rsidRDefault="000D2ABA" w:rsidP="00431F42">
      <w:pPr>
        <w:pStyle w:val="Body"/>
      </w:pPr>
      <w:r>
        <w:br w:type="page"/>
      </w:r>
    </w:p>
    <w:p w14:paraId="68B3EF3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8896B69" w14:textId="77777777" w:rsidTr="008C0001">
        <w:trPr>
          <w:cantSplit/>
          <w:trHeight w:val="7088"/>
        </w:trPr>
        <w:tc>
          <w:tcPr>
            <w:tcW w:w="9288" w:type="dxa"/>
          </w:tcPr>
          <w:p w14:paraId="1425C87F" w14:textId="6D37497F" w:rsidR="009F2182" w:rsidRPr="00BA26F6" w:rsidRDefault="009F2182" w:rsidP="00BA26F6">
            <w:pPr>
              <w:pStyle w:val="Body"/>
              <w:rPr>
                <w:rFonts w:eastAsia="Times New Roman"/>
                <w:color w:val="87189D"/>
                <w:sz w:val="24"/>
                <w:szCs w:val="24"/>
              </w:rPr>
            </w:pPr>
          </w:p>
        </w:tc>
      </w:tr>
      <w:tr w:rsidR="009F2182" w14:paraId="702341C7" w14:textId="77777777" w:rsidTr="008C0001">
        <w:trPr>
          <w:cantSplit/>
          <w:trHeight w:val="5103"/>
        </w:trPr>
        <w:tc>
          <w:tcPr>
            <w:tcW w:w="9288" w:type="dxa"/>
            <w:vAlign w:val="bottom"/>
          </w:tcPr>
          <w:p w14:paraId="7AC8FAC9" w14:textId="77777777" w:rsidR="00670FDB" w:rsidRPr="0055119B" w:rsidRDefault="00670FDB" w:rsidP="00670FDB">
            <w:pPr>
              <w:pStyle w:val="Accessibilitypara"/>
            </w:pPr>
            <w:r w:rsidRPr="0055119B">
              <w:t>To receive this document in another format</w:t>
            </w:r>
            <w:r>
              <w:t>,</w:t>
            </w:r>
            <w:r w:rsidRPr="0055119B">
              <w:t xml:space="preserve"> phone</w:t>
            </w:r>
            <w:r w:rsidRPr="53A5BD89">
              <w:rPr>
                <w:rFonts w:eastAsia="Arial" w:cs="Arial"/>
                <w:color w:val="000000" w:themeColor="text1"/>
                <w:szCs w:val="24"/>
              </w:rPr>
              <w:t xml:space="preserve"> 1300 767 299</w:t>
            </w:r>
            <w:r w:rsidRPr="0055119B">
              <w:t xml:space="preserve">, using the National Relay Service 13 36 77 if required, or </w:t>
            </w:r>
            <w:hyperlink r:id="rId15">
              <w:r w:rsidRPr="53A5BD89">
                <w:rPr>
                  <w:rStyle w:val="Hyperlink"/>
                </w:rPr>
                <w:t>email</w:t>
              </w:r>
            </w:hyperlink>
            <w:r>
              <w:t xml:space="preserve"> the Office of the Chief Psychiatrist at </w:t>
            </w:r>
            <w:hyperlink r:id="rId16">
              <w:r w:rsidRPr="53A5BD89">
                <w:rPr>
                  <w:rStyle w:val="Hyperlink"/>
                </w:rPr>
                <w:t>ocp@health.vic.gov.au</w:t>
              </w:r>
            </w:hyperlink>
          </w:p>
          <w:p w14:paraId="0B49E3AA" w14:textId="77777777" w:rsidR="00670FDB" w:rsidRPr="0055119B" w:rsidRDefault="00670FDB" w:rsidP="00670FDB">
            <w:pPr>
              <w:pStyle w:val="Imprint"/>
            </w:pPr>
            <w:r w:rsidRPr="0055119B">
              <w:t>Authorised and published by the Victorian Government, 1 Treasury Place, Melbourne.</w:t>
            </w:r>
          </w:p>
          <w:p w14:paraId="2CAFA0F0" w14:textId="494EAE59" w:rsidR="00670FDB" w:rsidRPr="0055119B" w:rsidRDefault="00670FDB" w:rsidP="00670FDB">
            <w:pPr>
              <w:pStyle w:val="Imprint"/>
            </w:pPr>
            <w:r w:rsidRPr="0055119B">
              <w:t xml:space="preserve">© State of Victoria, Australia, </w:t>
            </w:r>
            <w:r w:rsidRPr="001E2A36">
              <w:t>Department of Health</w:t>
            </w:r>
            <w:r w:rsidRPr="0055119B">
              <w:t xml:space="preserve">, </w:t>
            </w:r>
            <w:r w:rsidR="0032333E" w:rsidRPr="0032333E">
              <w:rPr>
                <w:color w:val="365F91" w:themeColor="accent1" w:themeShade="BF"/>
              </w:rPr>
              <w:t xml:space="preserve">September </w:t>
            </w:r>
            <w:r w:rsidRPr="0032333E">
              <w:rPr>
                <w:color w:val="365F91" w:themeColor="accent1" w:themeShade="BF"/>
              </w:rPr>
              <w:t>2023</w:t>
            </w:r>
            <w:r w:rsidRPr="0055119B">
              <w:t>.</w:t>
            </w:r>
          </w:p>
          <w:p w14:paraId="68BDE928" w14:textId="37E3842A" w:rsidR="00670FDB" w:rsidRPr="0055119B" w:rsidRDefault="00670FDB" w:rsidP="00670FDB">
            <w:pPr>
              <w:pStyle w:val="Imprint"/>
            </w:pPr>
            <w:r w:rsidRPr="002C7974">
              <w:rPr>
                <w:b/>
                <w:bCs/>
              </w:rPr>
              <w:t>ISBN</w:t>
            </w:r>
            <w:r>
              <w:t xml:space="preserve"> </w:t>
            </w:r>
            <w:r>
              <w:rPr>
                <w:rFonts w:cs="Arial"/>
                <w:color w:val="000000"/>
              </w:rPr>
              <w:t xml:space="preserve">978-1-76131-186-4 </w:t>
            </w:r>
            <w:r w:rsidRPr="000F009B">
              <w:rPr>
                <w:b/>
                <w:bCs/>
              </w:rPr>
              <w:t>(online/PDF/Word)</w:t>
            </w:r>
          </w:p>
          <w:p w14:paraId="6FF34BD4" w14:textId="16FE7AB1" w:rsidR="00670FDB" w:rsidRDefault="00670FDB" w:rsidP="00670FDB">
            <w:pPr>
              <w:pStyle w:val="Body"/>
              <w:rPr>
                <w:color w:val="000000" w:themeColor="text1"/>
                <w:sz w:val="20"/>
              </w:rPr>
            </w:pPr>
            <w:r w:rsidRPr="0055119B">
              <w:t>Available at</w:t>
            </w:r>
            <w:r>
              <w:t xml:space="preserve"> </w:t>
            </w:r>
            <w:hyperlink r:id="rId17" w:history="1">
              <w:r w:rsidRPr="009363BF">
                <w:rPr>
                  <w:rStyle w:val="Hyperlink"/>
                </w:rPr>
                <w:t>Sexual Safety</w:t>
              </w:r>
            </w:hyperlink>
            <w:r>
              <w:t xml:space="preserve"> at </w:t>
            </w:r>
            <w:r w:rsidR="00AD1839" w:rsidRPr="000F009B">
              <w:t>&lt;</w:t>
            </w:r>
            <w:r w:rsidR="00AD1839" w:rsidRPr="000F009B">
              <w:rPr>
                <w:sz w:val="20"/>
              </w:rPr>
              <w:t>https://www.health.vic.gov.au/chief-psychiatrist/improving-sexual-safety&gt;</w:t>
            </w:r>
          </w:p>
          <w:p w14:paraId="3CDD5E4A" w14:textId="77777777" w:rsidR="00AD1839" w:rsidRDefault="00AD1839" w:rsidP="00670FDB">
            <w:pPr>
              <w:pStyle w:val="Body"/>
              <w:rPr>
                <w:rFonts w:cs="Arial"/>
                <w:color w:val="000000" w:themeColor="text1"/>
              </w:rPr>
            </w:pPr>
          </w:p>
          <w:p w14:paraId="079AFA0F" w14:textId="77777777" w:rsidR="00AD1839" w:rsidRDefault="00AD1839" w:rsidP="00670FDB">
            <w:pPr>
              <w:pStyle w:val="Body"/>
              <w:rPr>
                <w:rFonts w:cs="Arial"/>
              </w:rPr>
            </w:pPr>
          </w:p>
          <w:p w14:paraId="4BAF3156" w14:textId="4008FFD9" w:rsidR="00670FDB" w:rsidRPr="004566E5" w:rsidRDefault="00670FDB" w:rsidP="4E610130">
            <w:pPr>
              <w:pStyle w:val="Body"/>
              <w:rPr>
                <w:rFonts w:cs="Arial"/>
                <w:highlight w:val="yellow"/>
              </w:rPr>
            </w:pPr>
            <w:r w:rsidRPr="008C0001">
              <w:rPr>
                <w:rFonts w:cs="Arial"/>
              </w:rPr>
              <w:t xml:space="preserve">Date of publication: </w:t>
            </w:r>
            <w:r w:rsidR="7EAA8DA0" w:rsidRPr="008C0001">
              <w:rPr>
                <w:rFonts w:cs="Arial"/>
              </w:rPr>
              <w:t>November</w:t>
            </w:r>
            <w:r w:rsidRPr="008C0001">
              <w:rPr>
                <w:rFonts w:cs="Arial"/>
              </w:rPr>
              <w:t xml:space="preserve"> </w:t>
            </w:r>
            <w:r w:rsidR="00D72DA0" w:rsidRPr="008C0001">
              <w:rPr>
                <w:rFonts w:cs="Arial"/>
              </w:rPr>
              <w:t>2025</w:t>
            </w:r>
          </w:p>
          <w:p w14:paraId="42D13D23" w14:textId="2C8F1E65" w:rsidR="00670FDB" w:rsidRDefault="00670FDB" w:rsidP="00670FDB">
            <w:pPr>
              <w:pStyle w:val="Body"/>
            </w:pPr>
            <w:r w:rsidRPr="008C0001">
              <w:rPr>
                <w:rFonts w:cs="Arial"/>
              </w:rPr>
              <w:t xml:space="preserve">Date for review: </w:t>
            </w:r>
            <w:r w:rsidR="4D79B74B" w:rsidRPr="008C0001">
              <w:rPr>
                <w:rFonts w:cs="Arial"/>
              </w:rPr>
              <w:t>November</w:t>
            </w:r>
            <w:r w:rsidRPr="008C0001">
              <w:rPr>
                <w:rFonts w:cs="Arial"/>
              </w:rPr>
              <w:t xml:space="preserve"> 2027</w:t>
            </w:r>
          </w:p>
        </w:tc>
      </w:tr>
      <w:tr w:rsidR="0008204A" w14:paraId="62AE191C" w14:textId="77777777" w:rsidTr="008C0001">
        <w:trPr>
          <w:cantSplit/>
        </w:trPr>
        <w:tc>
          <w:tcPr>
            <w:tcW w:w="9288" w:type="dxa"/>
          </w:tcPr>
          <w:p w14:paraId="139F55DF" w14:textId="77777777" w:rsidR="0008204A" w:rsidRPr="0055119B" w:rsidRDefault="0008204A" w:rsidP="0008204A">
            <w:pPr>
              <w:pStyle w:val="Body"/>
            </w:pPr>
          </w:p>
        </w:tc>
      </w:tr>
    </w:tbl>
    <w:p w14:paraId="4C0643DA" w14:textId="77777777" w:rsidR="0008204A" w:rsidRPr="0008204A" w:rsidRDefault="0008204A" w:rsidP="0008204A">
      <w:pPr>
        <w:pStyle w:val="Body"/>
      </w:pPr>
      <w:r w:rsidRPr="0008204A">
        <w:br w:type="page"/>
      </w:r>
    </w:p>
    <w:p w14:paraId="2765E5A1" w14:textId="77777777" w:rsidR="00AD784C" w:rsidRPr="00B57329" w:rsidRDefault="00AD784C" w:rsidP="002365B4">
      <w:pPr>
        <w:pStyle w:val="TOCheadingreport"/>
      </w:pPr>
      <w:r w:rsidRPr="00B57329">
        <w:lastRenderedPageBreak/>
        <w:t>Contents</w:t>
      </w:r>
    </w:p>
    <w:p w14:paraId="75E95F87" w14:textId="23CC0C86" w:rsidR="000552F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p>
    <w:p w14:paraId="1502BB7A" w14:textId="6084C83B" w:rsidR="000552F7" w:rsidRDefault="000552F7">
      <w:pPr>
        <w:pStyle w:val="TOC1"/>
        <w:rPr>
          <w:rFonts w:asciiTheme="minorHAnsi" w:eastAsiaTheme="minorEastAsia" w:hAnsiTheme="minorHAnsi" w:cstheme="minorBidi"/>
          <w:b w:val="0"/>
          <w:sz w:val="22"/>
          <w:szCs w:val="22"/>
          <w:lang w:eastAsia="en-AU"/>
        </w:rPr>
      </w:pPr>
      <w:hyperlink w:anchor="_Toc147761571" w:history="1">
        <w:r w:rsidRPr="007B1871">
          <w:rPr>
            <w:rStyle w:val="Hyperlink"/>
          </w:rPr>
          <w:t>Summary of reporting process</w:t>
        </w:r>
        <w:r>
          <w:rPr>
            <w:webHidden/>
          </w:rPr>
          <w:tab/>
        </w:r>
        <w:r>
          <w:rPr>
            <w:webHidden/>
          </w:rPr>
          <w:fldChar w:fldCharType="begin"/>
        </w:r>
        <w:r>
          <w:rPr>
            <w:webHidden/>
          </w:rPr>
          <w:instrText xml:space="preserve"> PAGEREF _Toc147761571 \h </w:instrText>
        </w:r>
        <w:r>
          <w:rPr>
            <w:webHidden/>
          </w:rPr>
        </w:r>
        <w:r>
          <w:rPr>
            <w:webHidden/>
          </w:rPr>
          <w:fldChar w:fldCharType="separate"/>
        </w:r>
        <w:r w:rsidR="004B67DE">
          <w:rPr>
            <w:webHidden/>
          </w:rPr>
          <w:t>6</w:t>
        </w:r>
        <w:r>
          <w:rPr>
            <w:webHidden/>
          </w:rPr>
          <w:fldChar w:fldCharType="end"/>
        </w:r>
      </w:hyperlink>
    </w:p>
    <w:p w14:paraId="24DEED7F" w14:textId="5DCC50DC" w:rsidR="000552F7" w:rsidRDefault="000552F7">
      <w:pPr>
        <w:pStyle w:val="TOC1"/>
        <w:rPr>
          <w:rFonts w:asciiTheme="minorHAnsi" w:eastAsiaTheme="minorEastAsia" w:hAnsiTheme="minorHAnsi" w:cstheme="minorBidi"/>
          <w:b w:val="0"/>
          <w:sz w:val="22"/>
          <w:szCs w:val="22"/>
          <w:lang w:eastAsia="en-AU"/>
        </w:rPr>
      </w:pPr>
      <w:hyperlink w:anchor="_Toc147761572" w:history="1">
        <w:r w:rsidRPr="007B1871">
          <w:rPr>
            <w:rStyle w:val="Hyperlink"/>
          </w:rPr>
          <w:t>Purpose</w:t>
        </w:r>
        <w:r>
          <w:rPr>
            <w:webHidden/>
          </w:rPr>
          <w:tab/>
        </w:r>
        <w:r>
          <w:rPr>
            <w:webHidden/>
          </w:rPr>
          <w:fldChar w:fldCharType="begin"/>
        </w:r>
        <w:r>
          <w:rPr>
            <w:webHidden/>
          </w:rPr>
          <w:instrText xml:space="preserve"> PAGEREF _Toc147761572 \h </w:instrText>
        </w:r>
        <w:r>
          <w:rPr>
            <w:webHidden/>
          </w:rPr>
        </w:r>
        <w:r>
          <w:rPr>
            <w:webHidden/>
          </w:rPr>
          <w:fldChar w:fldCharType="separate"/>
        </w:r>
        <w:r w:rsidR="004B67DE">
          <w:rPr>
            <w:webHidden/>
          </w:rPr>
          <w:t>7</w:t>
        </w:r>
        <w:r>
          <w:rPr>
            <w:webHidden/>
          </w:rPr>
          <w:fldChar w:fldCharType="end"/>
        </w:r>
      </w:hyperlink>
    </w:p>
    <w:p w14:paraId="1749E121" w14:textId="59C32889" w:rsidR="000552F7" w:rsidRDefault="000552F7">
      <w:pPr>
        <w:pStyle w:val="TOC1"/>
        <w:rPr>
          <w:rFonts w:asciiTheme="minorHAnsi" w:eastAsiaTheme="minorEastAsia" w:hAnsiTheme="minorHAnsi" w:cstheme="minorBidi"/>
          <w:b w:val="0"/>
          <w:sz w:val="22"/>
          <w:szCs w:val="22"/>
          <w:lang w:eastAsia="en-AU"/>
        </w:rPr>
      </w:pPr>
      <w:hyperlink w:anchor="_Toc147761573" w:history="1">
        <w:r w:rsidRPr="007B1871">
          <w:rPr>
            <w:rStyle w:val="Hyperlink"/>
          </w:rPr>
          <w:t>Chief Psychiatrist reporting process</w:t>
        </w:r>
        <w:r>
          <w:rPr>
            <w:webHidden/>
          </w:rPr>
          <w:tab/>
        </w:r>
        <w:r>
          <w:rPr>
            <w:webHidden/>
          </w:rPr>
          <w:fldChar w:fldCharType="begin"/>
        </w:r>
        <w:r>
          <w:rPr>
            <w:webHidden/>
          </w:rPr>
          <w:instrText xml:space="preserve"> PAGEREF _Toc147761573 \h </w:instrText>
        </w:r>
        <w:r>
          <w:rPr>
            <w:webHidden/>
          </w:rPr>
        </w:r>
        <w:r>
          <w:rPr>
            <w:webHidden/>
          </w:rPr>
          <w:fldChar w:fldCharType="separate"/>
        </w:r>
        <w:r w:rsidR="004B67DE">
          <w:rPr>
            <w:webHidden/>
          </w:rPr>
          <w:t>7</w:t>
        </w:r>
        <w:r>
          <w:rPr>
            <w:webHidden/>
          </w:rPr>
          <w:fldChar w:fldCharType="end"/>
        </w:r>
      </w:hyperlink>
    </w:p>
    <w:p w14:paraId="084E671D" w14:textId="4AD91F89" w:rsidR="000552F7" w:rsidRDefault="000552F7">
      <w:pPr>
        <w:pStyle w:val="TOC2"/>
        <w:rPr>
          <w:rFonts w:asciiTheme="minorHAnsi" w:eastAsiaTheme="minorEastAsia" w:hAnsiTheme="minorHAnsi" w:cstheme="minorBidi"/>
          <w:sz w:val="22"/>
          <w:szCs w:val="22"/>
          <w:lang w:eastAsia="en-AU"/>
        </w:rPr>
      </w:pPr>
      <w:hyperlink w:anchor="_Toc147761574" w:history="1">
        <w:r w:rsidRPr="007B1871">
          <w:rPr>
            <w:rStyle w:val="Hyperlink"/>
          </w:rPr>
          <w:t>Overview</w:t>
        </w:r>
        <w:r>
          <w:rPr>
            <w:webHidden/>
          </w:rPr>
          <w:tab/>
        </w:r>
        <w:r>
          <w:rPr>
            <w:webHidden/>
          </w:rPr>
          <w:fldChar w:fldCharType="begin"/>
        </w:r>
        <w:r>
          <w:rPr>
            <w:webHidden/>
          </w:rPr>
          <w:instrText xml:space="preserve"> PAGEREF _Toc147761574 \h </w:instrText>
        </w:r>
        <w:r>
          <w:rPr>
            <w:webHidden/>
          </w:rPr>
        </w:r>
        <w:r>
          <w:rPr>
            <w:webHidden/>
          </w:rPr>
          <w:fldChar w:fldCharType="separate"/>
        </w:r>
        <w:r w:rsidR="004B67DE">
          <w:rPr>
            <w:webHidden/>
          </w:rPr>
          <w:t>7</w:t>
        </w:r>
        <w:r>
          <w:rPr>
            <w:webHidden/>
          </w:rPr>
          <w:fldChar w:fldCharType="end"/>
        </w:r>
      </w:hyperlink>
    </w:p>
    <w:p w14:paraId="42D678E2" w14:textId="161F0A98" w:rsidR="000552F7" w:rsidRDefault="000552F7">
      <w:pPr>
        <w:pStyle w:val="TOC2"/>
        <w:rPr>
          <w:rFonts w:asciiTheme="minorHAnsi" w:eastAsiaTheme="minorEastAsia" w:hAnsiTheme="minorHAnsi" w:cstheme="minorBidi"/>
          <w:sz w:val="22"/>
          <w:szCs w:val="22"/>
          <w:lang w:eastAsia="en-AU"/>
        </w:rPr>
      </w:pPr>
      <w:hyperlink w:anchor="_Toc147761575" w:history="1">
        <w:r w:rsidRPr="007B1871">
          <w:rPr>
            <w:rStyle w:val="Hyperlink"/>
          </w:rPr>
          <w:t>Step 1: Report all sexual safety incidents on VHIMS</w:t>
        </w:r>
        <w:r>
          <w:rPr>
            <w:webHidden/>
          </w:rPr>
          <w:tab/>
        </w:r>
        <w:r>
          <w:rPr>
            <w:webHidden/>
          </w:rPr>
          <w:fldChar w:fldCharType="begin"/>
        </w:r>
        <w:r>
          <w:rPr>
            <w:webHidden/>
          </w:rPr>
          <w:instrText xml:space="preserve"> PAGEREF _Toc147761575 \h </w:instrText>
        </w:r>
        <w:r>
          <w:rPr>
            <w:webHidden/>
          </w:rPr>
        </w:r>
        <w:r>
          <w:rPr>
            <w:webHidden/>
          </w:rPr>
          <w:fldChar w:fldCharType="separate"/>
        </w:r>
        <w:r w:rsidR="004B67DE">
          <w:rPr>
            <w:webHidden/>
          </w:rPr>
          <w:t>8</w:t>
        </w:r>
        <w:r>
          <w:rPr>
            <w:webHidden/>
          </w:rPr>
          <w:fldChar w:fldCharType="end"/>
        </w:r>
      </w:hyperlink>
    </w:p>
    <w:p w14:paraId="38E85C87" w14:textId="7990E433" w:rsidR="000552F7" w:rsidRDefault="000552F7">
      <w:pPr>
        <w:pStyle w:val="TOC2"/>
        <w:rPr>
          <w:rFonts w:asciiTheme="minorHAnsi" w:eastAsiaTheme="minorEastAsia" w:hAnsiTheme="minorHAnsi" w:cstheme="minorBidi"/>
          <w:sz w:val="22"/>
          <w:szCs w:val="22"/>
          <w:lang w:eastAsia="en-AU"/>
        </w:rPr>
      </w:pPr>
      <w:hyperlink w:anchor="_Toc147761576" w:history="1">
        <w:r w:rsidRPr="007B1871">
          <w:rPr>
            <w:rStyle w:val="Hyperlink"/>
          </w:rPr>
          <w:t>Step 2: Escalating serious incidents to the OCP</w:t>
        </w:r>
        <w:r>
          <w:rPr>
            <w:webHidden/>
          </w:rPr>
          <w:tab/>
        </w:r>
        <w:r>
          <w:rPr>
            <w:webHidden/>
          </w:rPr>
          <w:fldChar w:fldCharType="begin"/>
        </w:r>
        <w:r>
          <w:rPr>
            <w:webHidden/>
          </w:rPr>
          <w:instrText xml:space="preserve"> PAGEREF _Toc147761576 \h </w:instrText>
        </w:r>
        <w:r>
          <w:rPr>
            <w:webHidden/>
          </w:rPr>
        </w:r>
        <w:r>
          <w:rPr>
            <w:webHidden/>
          </w:rPr>
          <w:fldChar w:fldCharType="separate"/>
        </w:r>
        <w:r w:rsidR="004B67DE">
          <w:rPr>
            <w:webHidden/>
          </w:rPr>
          <w:t>9</w:t>
        </w:r>
        <w:r>
          <w:rPr>
            <w:webHidden/>
          </w:rPr>
          <w:fldChar w:fldCharType="end"/>
        </w:r>
      </w:hyperlink>
    </w:p>
    <w:p w14:paraId="45328C7F" w14:textId="43AEC7EB" w:rsidR="000552F7" w:rsidRDefault="000552F7">
      <w:pPr>
        <w:pStyle w:val="TOC2"/>
        <w:rPr>
          <w:rFonts w:asciiTheme="minorHAnsi" w:eastAsiaTheme="minorEastAsia" w:hAnsiTheme="minorHAnsi" w:cstheme="minorBidi"/>
          <w:sz w:val="22"/>
          <w:szCs w:val="22"/>
          <w:lang w:eastAsia="en-AU"/>
        </w:rPr>
      </w:pPr>
      <w:hyperlink w:anchor="_Toc147761577" w:history="1">
        <w:r w:rsidRPr="007B1871">
          <w:rPr>
            <w:rStyle w:val="Hyperlink"/>
          </w:rPr>
          <w:t>Step 3: Send a monthly VHIMS extract to the OCP</w:t>
        </w:r>
        <w:r>
          <w:rPr>
            <w:webHidden/>
          </w:rPr>
          <w:tab/>
        </w:r>
        <w:r>
          <w:rPr>
            <w:webHidden/>
          </w:rPr>
          <w:fldChar w:fldCharType="begin"/>
        </w:r>
        <w:r>
          <w:rPr>
            <w:webHidden/>
          </w:rPr>
          <w:instrText xml:space="preserve"> PAGEREF _Toc147761577 \h </w:instrText>
        </w:r>
        <w:r>
          <w:rPr>
            <w:webHidden/>
          </w:rPr>
        </w:r>
        <w:r>
          <w:rPr>
            <w:webHidden/>
          </w:rPr>
          <w:fldChar w:fldCharType="separate"/>
        </w:r>
        <w:r w:rsidR="004B67DE">
          <w:rPr>
            <w:webHidden/>
          </w:rPr>
          <w:t>9</w:t>
        </w:r>
        <w:r>
          <w:rPr>
            <w:webHidden/>
          </w:rPr>
          <w:fldChar w:fldCharType="end"/>
        </w:r>
      </w:hyperlink>
    </w:p>
    <w:p w14:paraId="3F44BBBA" w14:textId="63EEDD22" w:rsidR="000552F7" w:rsidRDefault="000552F7">
      <w:pPr>
        <w:pStyle w:val="TOC1"/>
        <w:rPr>
          <w:rFonts w:asciiTheme="minorHAnsi" w:eastAsiaTheme="minorEastAsia" w:hAnsiTheme="minorHAnsi" w:cstheme="minorBidi"/>
          <w:b w:val="0"/>
          <w:sz w:val="22"/>
          <w:szCs w:val="22"/>
          <w:lang w:eastAsia="en-AU"/>
        </w:rPr>
      </w:pPr>
      <w:hyperlink w:anchor="_Toc147761578" w:history="1">
        <w:r w:rsidRPr="007B1871">
          <w:rPr>
            <w:rStyle w:val="Hyperlink"/>
          </w:rPr>
          <w:t>Supporting information</w:t>
        </w:r>
        <w:r>
          <w:rPr>
            <w:webHidden/>
          </w:rPr>
          <w:tab/>
        </w:r>
        <w:r>
          <w:rPr>
            <w:webHidden/>
          </w:rPr>
          <w:fldChar w:fldCharType="begin"/>
        </w:r>
        <w:r>
          <w:rPr>
            <w:webHidden/>
          </w:rPr>
          <w:instrText xml:space="preserve"> PAGEREF _Toc147761578 \h </w:instrText>
        </w:r>
        <w:r>
          <w:rPr>
            <w:webHidden/>
          </w:rPr>
        </w:r>
        <w:r>
          <w:rPr>
            <w:webHidden/>
          </w:rPr>
          <w:fldChar w:fldCharType="separate"/>
        </w:r>
        <w:r w:rsidR="004B67DE">
          <w:rPr>
            <w:webHidden/>
          </w:rPr>
          <w:t>10</w:t>
        </w:r>
        <w:r>
          <w:rPr>
            <w:webHidden/>
          </w:rPr>
          <w:fldChar w:fldCharType="end"/>
        </w:r>
      </w:hyperlink>
    </w:p>
    <w:p w14:paraId="4AE2B55F" w14:textId="037FF147" w:rsidR="000552F7" w:rsidRDefault="000552F7">
      <w:pPr>
        <w:pStyle w:val="TOC2"/>
        <w:rPr>
          <w:rFonts w:asciiTheme="minorHAnsi" w:eastAsiaTheme="minorEastAsia" w:hAnsiTheme="minorHAnsi" w:cstheme="minorBidi"/>
          <w:sz w:val="22"/>
          <w:szCs w:val="22"/>
          <w:lang w:eastAsia="en-AU"/>
        </w:rPr>
      </w:pPr>
      <w:hyperlink w:anchor="_Toc147761579" w:history="1">
        <w:r w:rsidRPr="007B1871">
          <w:rPr>
            <w:rStyle w:val="Hyperlink"/>
          </w:rPr>
          <w:t>Definitions – sexual safety incident categories</w:t>
        </w:r>
        <w:r>
          <w:rPr>
            <w:webHidden/>
          </w:rPr>
          <w:tab/>
        </w:r>
        <w:r>
          <w:rPr>
            <w:webHidden/>
          </w:rPr>
          <w:fldChar w:fldCharType="begin"/>
        </w:r>
        <w:r>
          <w:rPr>
            <w:webHidden/>
          </w:rPr>
          <w:instrText xml:space="preserve"> PAGEREF _Toc147761579 \h </w:instrText>
        </w:r>
        <w:r>
          <w:rPr>
            <w:webHidden/>
          </w:rPr>
        </w:r>
        <w:r>
          <w:rPr>
            <w:webHidden/>
          </w:rPr>
          <w:fldChar w:fldCharType="separate"/>
        </w:r>
        <w:r w:rsidR="004B67DE">
          <w:rPr>
            <w:webHidden/>
          </w:rPr>
          <w:t>10</w:t>
        </w:r>
        <w:r>
          <w:rPr>
            <w:webHidden/>
          </w:rPr>
          <w:fldChar w:fldCharType="end"/>
        </w:r>
      </w:hyperlink>
    </w:p>
    <w:p w14:paraId="7654DF71" w14:textId="4FBACB1F" w:rsidR="000552F7" w:rsidRDefault="000552F7">
      <w:pPr>
        <w:pStyle w:val="TOC2"/>
        <w:rPr>
          <w:rFonts w:asciiTheme="minorHAnsi" w:eastAsiaTheme="minorEastAsia" w:hAnsiTheme="minorHAnsi" w:cstheme="minorBidi"/>
          <w:sz w:val="22"/>
          <w:szCs w:val="22"/>
          <w:lang w:eastAsia="en-AU"/>
        </w:rPr>
      </w:pPr>
      <w:hyperlink w:anchor="_Toc147761580" w:history="1">
        <w:r w:rsidRPr="007B1871">
          <w:rPr>
            <w:rStyle w:val="Hyperlink"/>
          </w:rPr>
          <w:t>Tips for using VHIMS/RiskMan</w:t>
        </w:r>
        <w:r>
          <w:rPr>
            <w:webHidden/>
          </w:rPr>
          <w:tab/>
        </w:r>
        <w:r>
          <w:rPr>
            <w:webHidden/>
          </w:rPr>
          <w:fldChar w:fldCharType="begin"/>
        </w:r>
        <w:r>
          <w:rPr>
            <w:webHidden/>
          </w:rPr>
          <w:instrText xml:space="preserve"> PAGEREF _Toc147761580 \h </w:instrText>
        </w:r>
        <w:r>
          <w:rPr>
            <w:webHidden/>
          </w:rPr>
        </w:r>
        <w:r>
          <w:rPr>
            <w:webHidden/>
          </w:rPr>
          <w:fldChar w:fldCharType="separate"/>
        </w:r>
        <w:r w:rsidR="004B67DE">
          <w:rPr>
            <w:webHidden/>
          </w:rPr>
          <w:t>11</w:t>
        </w:r>
        <w:r>
          <w:rPr>
            <w:webHidden/>
          </w:rPr>
          <w:fldChar w:fldCharType="end"/>
        </w:r>
      </w:hyperlink>
    </w:p>
    <w:p w14:paraId="310CDB67" w14:textId="22408973" w:rsidR="000552F7" w:rsidRDefault="0000483E">
      <w:pPr>
        <w:pStyle w:val="TOC2"/>
        <w:rPr>
          <w:rFonts w:asciiTheme="minorHAnsi" w:eastAsiaTheme="minorEastAsia" w:hAnsiTheme="minorHAnsi" w:cstheme="minorBidi"/>
          <w:sz w:val="22"/>
          <w:szCs w:val="22"/>
          <w:lang w:eastAsia="en-AU"/>
        </w:rPr>
      </w:pPr>
      <w:hyperlink w:anchor="_Toc147761581" w:history="1">
        <w:r w:rsidRPr="007B1871">
          <w:rPr>
            <w:rStyle w:val="Hyperlink"/>
          </w:rPr>
          <w:t>Assigning Incident Severity Ratings</w:t>
        </w:r>
        <w:r>
          <w:rPr>
            <w:webHidden/>
          </w:rPr>
          <w:tab/>
        </w:r>
        <w:r w:rsidRPr="0000483E">
          <w:rPr>
            <w:webHidden/>
          </w:rPr>
          <w:fldChar w:fldCharType="begin"/>
        </w:r>
        <w:r w:rsidRPr="0000483E">
          <w:rPr>
            <w:webHidden/>
          </w:rPr>
          <w:instrText xml:space="preserve"> PAGEREF _Toc147761581 \h </w:instrText>
        </w:r>
        <w:r w:rsidRPr="0000483E">
          <w:rPr>
            <w:webHidden/>
          </w:rPr>
        </w:r>
        <w:r w:rsidRPr="0000483E">
          <w:rPr>
            <w:webHidden/>
          </w:rPr>
          <w:fldChar w:fldCharType="separate"/>
        </w:r>
        <w:r w:rsidR="004B67DE">
          <w:rPr>
            <w:webHidden/>
          </w:rPr>
          <w:t>12</w:t>
        </w:r>
        <w:r w:rsidRPr="0000483E">
          <w:rPr>
            <w:webHidden/>
          </w:rPr>
          <w:fldChar w:fldCharType="end"/>
        </w:r>
      </w:hyperlink>
    </w:p>
    <w:p w14:paraId="5549C0E1" w14:textId="58BF84DE" w:rsidR="000552F7" w:rsidRDefault="000552F7">
      <w:pPr>
        <w:pStyle w:val="TOC2"/>
        <w:rPr>
          <w:rFonts w:asciiTheme="minorHAnsi" w:eastAsiaTheme="minorEastAsia" w:hAnsiTheme="minorHAnsi" w:cstheme="minorBidi"/>
          <w:sz w:val="22"/>
          <w:szCs w:val="22"/>
          <w:lang w:eastAsia="en-AU"/>
        </w:rPr>
      </w:pPr>
      <w:hyperlink w:anchor="_Toc147761582" w:history="1">
        <w:r w:rsidRPr="007B1871">
          <w:rPr>
            <w:rStyle w:val="Hyperlink"/>
          </w:rPr>
          <w:t>Frequently asked questions</w:t>
        </w:r>
        <w:r>
          <w:rPr>
            <w:webHidden/>
          </w:rPr>
          <w:tab/>
        </w:r>
        <w:r>
          <w:rPr>
            <w:webHidden/>
          </w:rPr>
          <w:fldChar w:fldCharType="begin"/>
        </w:r>
        <w:r>
          <w:rPr>
            <w:webHidden/>
          </w:rPr>
          <w:instrText xml:space="preserve"> PAGEREF _Toc147761582 \h </w:instrText>
        </w:r>
        <w:r>
          <w:rPr>
            <w:webHidden/>
          </w:rPr>
        </w:r>
        <w:r>
          <w:rPr>
            <w:webHidden/>
          </w:rPr>
          <w:fldChar w:fldCharType="separate"/>
        </w:r>
        <w:r w:rsidR="004B67DE">
          <w:rPr>
            <w:webHidden/>
          </w:rPr>
          <w:t>15</w:t>
        </w:r>
        <w:r>
          <w:rPr>
            <w:webHidden/>
          </w:rPr>
          <w:fldChar w:fldCharType="end"/>
        </w:r>
      </w:hyperlink>
    </w:p>
    <w:p w14:paraId="4E99E90B" w14:textId="09795600" w:rsidR="00FB1F6E" w:rsidRDefault="00AD784C" w:rsidP="00D079AA">
      <w:pPr>
        <w:pStyle w:val="Body"/>
      </w:pPr>
      <w:r>
        <w:fldChar w:fldCharType="end"/>
      </w:r>
    </w:p>
    <w:p w14:paraId="018E370C" w14:textId="77777777" w:rsidR="00FB1F6E" w:rsidRDefault="00FB1F6E">
      <w:pPr>
        <w:spacing w:after="0" w:line="240" w:lineRule="auto"/>
        <w:rPr>
          <w:rFonts w:eastAsia="Times"/>
        </w:rPr>
      </w:pPr>
      <w:r>
        <w:br w:type="page"/>
      </w:r>
    </w:p>
    <w:p w14:paraId="423637A5" w14:textId="6BBFCF00" w:rsidR="00670FDB" w:rsidRPr="00C86C60" w:rsidRDefault="00670FDB" w:rsidP="00670FDB">
      <w:pPr>
        <w:pStyle w:val="Heading1"/>
      </w:pPr>
      <w:bookmarkStart w:id="3" w:name="_Toc135312662"/>
      <w:bookmarkStart w:id="4" w:name="_Toc139183497"/>
      <w:bookmarkStart w:id="5" w:name="_Toc147761571"/>
      <w:r w:rsidRPr="00C86C60">
        <w:lastRenderedPageBreak/>
        <w:t>Summary of reporting process</w:t>
      </w:r>
      <w:bookmarkEnd w:id="3"/>
      <w:bookmarkEnd w:id="4"/>
      <w:bookmarkEnd w:id="5"/>
    </w:p>
    <w:p w14:paraId="35018AF6" w14:textId="2A4374EA" w:rsidR="00670FDB" w:rsidRPr="00722B36" w:rsidRDefault="00670FDB" w:rsidP="00670FDB">
      <w:pPr>
        <w:pStyle w:val="Numberdigit"/>
      </w:pPr>
      <w:r w:rsidRPr="00722B36">
        <w:t xml:space="preserve">All bed-based </w:t>
      </w:r>
      <w:r w:rsidR="00A3702B">
        <w:t xml:space="preserve">clinical </w:t>
      </w:r>
      <w:r w:rsidRPr="00722B36">
        <w:t>mental health service</w:t>
      </w:r>
      <w:r w:rsidR="00A3702B">
        <w:t xml:space="preserve"> providers</w:t>
      </w:r>
      <w:r w:rsidRPr="00722B36">
        <w:t xml:space="preserve"> (including those in both hospital</w:t>
      </w:r>
      <w:r>
        <w:t>, custodial</w:t>
      </w:r>
      <w:r w:rsidRPr="00722B36">
        <w:t xml:space="preserve"> and community settings) must report sexual safety incidents via the Victorian Health Incident Management System (VHIMS). </w:t>
      </w:r>
    </w:p>
    <w:p w14:paraId="173CC6ED" w14:textId="77777777" w:rsidR="00670FDB" w:rsidRPr="00722B36" w:rsidRDefault="00670FDB" w:rsidP="00670FDB">
      <w:pPr>
        <w:pStyle w:val="Numberdigit"/>
      </w:pPr>
      <w:r w:rsidRPr="00722B36">
        <w:t xml:space="preserve">Services are required to extract information from VHIMS into the </w:t>
      </w:r>
      <w:r>
        <w:t>E</w:t>
      </w:r>
      <w:r w:rsidRPr="00722B36">
        <w:t xml:space="preserve">xcel template provided by the </w:t>
      </w:r>
      <w:r w:rsidRPr="00A76D68">
        <w:t>Office of the Chief Psychiatrist</w:t>
      </w:r>
      <w:r>
        <w:t xml:space="preserve"> (</w:t>
      </w:r>
      <w:r w:rsidRPr="00722B36">
        <w:t>OCP</w:t>
      </w:r>
      <w:r>
        <w:t>)</w:t>
      </w:r>
      <w:r w:rsidRPr="00722B36">
        <w:t xml:space="preserve"> and submit it to the OCP via SharePoint monthly for the previous month. </w:t>
      </w:r>
    </w:p>
    <w:p w14:paraId="11A8377C" w14:textId="77777777" w:rsidR="00670FDB" w:rsidRPr="00722B36" w:rsidRDefault="00670FDB" w:rsidP="00670FDB">
      <w:pPr>
        <w:pStyle w:val="Numberdigit"/>
      </w:pPr>
      <w:r w:rsidRPr="00722B36">
        <w:t xml:space="preserve">Incidents with an </w:t>
      </w:r>
      <w:r>
        <w:t>Incident Severity Rating (</w:t>
      </w:r>
      <w:r w:rsidRPr="00722B36">
        <w:t>ISR</w:t>
      </w:r>
      <w:r>
        <w:t>)</w:t>
      </w:r>
      <w:r w:rsidRPr="00722B36">
        <w:t xml:space="preserve"> of 1 </w:t>
      </w:r>
      <w:r>
        <w:t>or</w:t>
      </w:r>
      <w:r w:rsidRPr="00722B36">
        <w:t xml:space="preserve"> 2:</w:t>
      </w:r>
    </w:p>
    <w:p w14:paraId="7D654B29" w14:textId="0FAB851E" w:rsidR="00670FDB" w:rsidRPr="00722B36" w:rsidRDefault="00670FDB" w:rsidP="00670FDB">
      <w:pPr>
        <w:pStyle w:val="Numberloweralphaindent"/>
      </w:pPr>
      <w:r>
        <w:t>All ISR 1 incidents must be reported to the OCP within 24 hours</w:t>
      </w:r>
      <w:r w:rsidR="0049284F">
        <w:t xml:space="preserve"> or the next business day</w:t>
      </w:r>
      <w:r w:rsidR="00897651">
        <w:t xml:space="preserve">, </w:t>
      </w:r>
      <w:r w:rsidR="00E90448">
        <w:t>via</w:t>
      </w:r>
      <w:r w:rsidR="00E8145E">
        <w:t xml:space="preserve"> </w:t>
      </w:r>
      <w:r w:rsidR="00E90448">
        <w:t>ocp@health.vic.gov.au</w:t>
      </w:r>
      <w:r>
        <w:t xml:space="preserve">. </w:t>
      </w:r>
      <w:r w:rsidR="68906383">
        <w:t>This is i</w:t>
      </w:r>
      <w:r w:rsidR="00B45187">
        <w:t xml:space="preserve">n addition </w:t>
      </w:r>
      <w:r w:rsidR="2BB2C57F">
        <w:t xml:space="preserve">to </w:t>
      </w:r>
      <w:r w:rsidR="00492EE3">
        <w:t>reporting to the OCP via SharePoint within 72 hours.</w:t>
      </w:r>
    </w:p>
    <w:p w14:paraId="32017029" w14:textId="5C294F83" w:rsidR="00670FDB" w:rsidRPr="00722B36" w:rsidRDefault="00670FDB" w:rsidP="00670FDB">
      <w:pPr>
        <w:pStyle w:val="Numberloweralphaindent"/>
      </w:pPr>
      <w:r w:rsidRPr="00722B36">
        <w:t xml:space="preserve">All ISR 2 incidents must be reported to </w:t>
      </w:r>
      <w:r>
        <w:t xml:space="preserve">the </w:t>
      </w:r>
      <w:r w:rsidRPr="00722B36">
        <w:t xml:space="preserve">OCP </w:t>
      </w:r>
      <w:r w:rsidR="00D84EF6">
        <w:t>via SharePoint</w:t>
      </w:r>
      <w:r w:rsidR="00712FCB">
        <w:t xml:space="preserve"> within</w:t>
      </w:r>
      <w:r w:rsidRPr="00722B36">
        <w:t xml:space="preserve"> 72 hours.</w:t>
      </w:r>
    </w:p>
    <w:p w14:paraId="7C38AFEE" w14:textId="77777777" w:rsidR="00670FDB" w:rsidRPr="001504D7" w:rsidRDefault="00670FDB" w:rsidP="00670FDB">
      <w:pPr>
        <w:pStyle w:val="Numberdigit"/>
        <w:rPr>
          <w:rFonts w:eastAsiaTheme="minorHAnsi"/>
          <w:sz w:val="22"/>
          <w:szCs w:val="22"/>
        </w:rPr>
      </w:pPr>
      <w:r w:rsidRPr="00722B36">
        <w:t xml:space="preserve">Health </w:t>
      </w:r>
      <w:r>
        <w:t>s</w:t>
      </w:r>
      <w:r w:rsidRPr="00722B36">
        <w:t>ervices are responsible for ensuring local clinical governance structures</w:t>
      </w:r>
      <w:r>
        <w:t xml:space="preserve"> that</w:t>
      </w:r>
      <w:r w:rsidRPr="00722B36" w:rsidDel="004D3553">
        <w:t xml:space="preserve"> </w:t>
      </w:r>
      <w:r w:rsidRPr="00722B36">
        <w:t>support reporting and incident management are in place and robust.</w:t>
      </w:r>
    </w:p>
    <w:p w14:paraId="0562F880" w14:textId="77777777" w:rsidR="000552F7" w:rsidRPr="000552F7" w:rsidRDefault="000552F7" w:rsidP="000552F7">
      <w:pPr>
        <w:pStyle w:val="Body"/>
      </w:pPr>
      <w:bookmarkStart w:id="6" w:name="_Toc135312663"/>
      <w:bookmarkStart w:id="7" w:name="_Toc139183498"/>
      <w:r w:rsidRPr="000552F7">
        <w:br w:type="page"/>
      </w:r>
    </w:p>
    <w:p w14:paraId="25C231E7" w14:textId="4F7CE4D1" w:rsidR="00670FDB" w:rsidRPr="00C86C60" w:rsidRDefault="00670FDB" w:rsidP="00670FDB">
      <w:pPr>
        <w:pStyle w:val="Heading1"/>
      </w:pPr>
      <w:bookmarkStart w:id="8" w:name="_Toc147761572"/>
      <w:r w:rsidRPr="00C86C60">
        <w:lastRenderedPageBreak/>
        <w:t>Purpose</w:t>
      </w:r>
      <w:bookmarkEnd w:id="6"/>
      <w:bookmarkEnd w:id="7"/>
      <w:bookmarkEnd w:id="8"/>
    </w:p>
    <w:p w14:paraId="260128E3" w14:textId="31BBE692" w:rsidR="00670FDB" w:rsidRPr="00722B36" w:rsidRDefault="00670FDB" w:rsidP="00670FDB">
      <w:pPr>
        <w:pStyle w:val="Body"/>
      </w:pPr>
      <w:r>
        <w:t xml:space="preserve">This directive informs services of how and when to report sexual safety incidents to the Chief Psychiatrist. This </w:t>
      </w:r>
      <w:r w:rsidR="00916CD3">
        <w:t xml:space="preserve">document </w:t>
      </w:r>
      <w:r w:rsidR="00D84EF6">
        <w:t xml:space="preserve">was updated in </w:t>
      </w:r>
      <w:r w:rsidR="27FEA8B2" w:rsidRPr="0062548B">
        <w:t>November</w:t>
      </w:r>
      <w:r w:rsidR="00D84EF6" w:rsidRPr="0062548B">
        <w:t xml:space="preserve"> </w:t>
      </w:r>
      <w:r w:rsidR="00982193" w:rsidRPr="0062548B">
        <w:t>202</w:t>
      </w:r>
      <w:r w:rsidR="00982193">
        <w:t xml:space="preserve">5 </w:t>
      </w:r>
      <w:r w:rsidR="00D84EF6">
        <w:t xml:space="preserve">to reflect the </w:t>
      </w:r>
      <w:r w:rsidR="00D84EF6" w:rsidRPr="008C0001">
        <w:rPr>
          <w:i/>
          <w:iCs/>
        </w:rPr>
        <w:t>Mental Health and Wellbeing Act 2022</w:t>
      </w:r>
      <w:r w:rsidR="00D84EF6">
        <w:t>.</w:t>
      </w:r>
      <w:r>
        <w:t xml:space="preserve"> </w:t>
      </w:r>
    </w:p>
    <w:p w14:paraId="158A4843" w14:textId="34CA10F8" w:rsidR="00670FDB" w:rsidRPr="00722B36" w:rsidRDefault="00670FDB" w:rsidP="00670FDB">
      <w:pPr>
        <w:pStyle w:val="Body"/>
      </w:pPr>
      <w:r>
        <w:t xml:space="preserve">This document does not provide information about how to respond to or prevent sexual safety incidents and must be used alongside the </w:t>
      </w:r>
      <w:r w:rsidR="00982193">
        <w:t>2025</w:t>
      </w:r>
      <w:r w:rsidR="00982193" w:rsidRPr="008C0001">
        <w:rPr>
          <w:i/>
          <w:iCs/>
        </w:rPr>
        <w:t xml:space="preserve"> </w:t>
      </w:r>
      <w:hyperlink r:id="rId18">
        <w:r w:rsidRPr="0062548B">
          <w:rPr>
            <w:rStyle w:val="Hyperlink"/>
          </w:rPr>
          <w:t>Chief Psychiatrist’s guideline – Improving sexual safety in mental health services</w:t>
        </w:r>
      </w:hyperlink>
      <w:r w:rsidRPr="003D2883">
        <w:t xml:space="preserve"> </w:t>
      </w:r>
      <w:r>
        <w:t>&lt;</w:t>
      </w:r>
      <w:r w:rsidR="007C5874">
        <w:t>https://www.health.vic.gov.au/chief-psychiatrist/improving-sexual-safety</w:t>
      </w:r>
      <w:r>
        <w:t>&gt;. Services must use the guideline to develop local practice and governance processes for comprehensively addressing sexual safety.</w:t>
      </w:r>
    </w:p>
    <w:p w14:paraId="0AEC97F7" w14:textId="77777777" w:rsidR="00670FDB" w:rsidRPr="00C86C60" w:rsidRDefault="00670FDB" w:rsidP="00670FDB">
      <w:pPr>
        <w:pStyle w:val="Heading1"/>
      </w:pPr>
      <w:bookmarkStart w:id="9" w:name="_Toc139183499"/>
      <w:bookmarkStart w:id="10" w:name="_Toc147761573"/>
      <w:r w:rsidRPr="00C86C60">
        <w:t>Chief Psychiatrist reporting process</w:t>
      </w:r>
      <w:bookmarkEnd w:id="9"/>
      <w:bookmarkEnd w:id="10"/>
    </w:p>
    <w:p w14:paraId="318E89D1" w14:textId="77777777" w:rsidR="00670FDB" w:rsidRPr="00C86C60" w:rsidRDefault="00670FDB" w:rsidP="00670FDB">
      <w:pPr>
        <w:pStyle w:val="Heading2"/>
      </w:pPr>
      <w:bookmarkStart w:id="11" w:name="_Toc135312665"/>
      <w:bookmarkStart w:id="12" w:name="_Toc139183500"/>
      <w:bookmarkStart w:id="13" w:name="_Toc147761574"/>
      <w:r w:rsidRPr="00C86C60">
        <w:t>Overview</w:t>
      </w:r>
      <w:bookmarkEnd w:id="11"/>
      <w:bookmarkEnd w:id="12"/>
      <w:bookmarkEnd w:id="13"/>
    </w:p>
    <w:p w14:paraId="11BA3FE7" w14:textId="77777777" w:rsidR="001B5D99" w:rsidRDefault="00670FDB" w:rsidP="00670FDB">
      <w:pPr>
        <w:pStyle w:val="Body"/>
      </w:pPr>
      <w:r>
        <w:t xml:space="preserve">All bed-based </w:t>
      </w:r>
      <w:r w:rsidR="00A515CD">
        <w:t xml:space="preserve">clinical </w:t>
      </w:r>
      <w:r>
        <w:t>mental health service</w:t>
      </w:r>
      <w:r w:rsidR="00A515CD">
        <w:t xml:space="preserve"> providers</w:t>
      </w:r>
      <w:r>
        <w:t xml:space="preserve"> (including those in hospital, custodial and community settings) must report sexual safety incidents via the Victorian Health Incident Management System (VHIMS). Services are then required to extract this information from VHIMS and provide it to the Office of the Chief Psychiatrist (OCP) monthly. </w:t>
      </w:r>
    </w:p>
    <w:p w14:paraId="4449DB69" w14:textId="5805F79B" w:rsidR="00670FDB" w:rsidRPr="00722B36" w:rsidRDefault="00670FDB" w:rsidP="00670FDB">
      <w:pPr>
        <w:pStyle w:val="Body"/>
      </w:pPr>
      <w:r>
        <w:t xml:space="preserve">In addition, sexual safety incidents with a VHIMS Incident Severity Rating (ISR) of 1 must be reported to the OCP within 24 hours </w:t>
      </w:r>
      <w:r w:rsidR="3E0199F7">
        <w:t>and those with an</w:t>
      </w:r>
      <w:r>
        <w:t xml:space="preserve"> ISR </w:t>
      </w:r>
      <w:r w:rsidR="2E709E09">
        <w:t>of 2</w:t>
      </w:r>
      <w:r>
        <w:t xml:space="preserve"> </w:t>
      </w:r>
      <w:r w:rsidR="5894040D">
        <w:t>must be reported within</w:t>
      </w:r>
      <w:r>
        <w:t xml:space="preserve"> 72 hours. Attending to the safety and immediate needs of those involved is the priority, and reporting must be completed within the mandatory timeframes. </w:t>
      </w:r>
    </w:p>
    <w:p w14:paraId="3079E423" w14:textId="77777777" w:rsidR="00967347" w:rsidRDefault="00967347">
      <w:pPr>
        <w:spacing w:after="0" w:line="240" w:lineRule="auto"/>
        <w:rPr>
          <w:b/>
          <w:color w:val="53565A"/>
          <w:sz w:val="32"/>
          <w:szCs w:val="28"/>
        </w:rPr>
      </w:pPr>
      <w:bookmarkStart w:id="14" w:name="_Toc135312666"/>
      <w:bookmarkStart w:id="15" w:name="_Toc139183501"/>
      <w:bookmarkStart w:id="16" w:name="_Toc147761575"/>
      <w:r>
        <w:br w:type="page"/>
      </w:r>
    </w:p>
    <w:p w14:paraId="607325BB" w14:textId="4BD11E08" w:rsidR="00670FDB" w:rsidRPr="00C86C60" w:rsidRDefault="00670FDB" w:rsidP="00670FDB">
      <w:pPr>
        <w:pStyle w:val="Heading2"/>
      </w:pPr>
      <w:r w:rsidRPr="00C86C60">
        <w:lastRenderedPageBreak/>
        <w:t xml:space="preserve">Step </w:t>
      </w:r>
      <w:r>
        <w:t>1</w:t>
      </w:r>
      <w:r w:rsidRPr="00C86C60">
        <w:t>: Report all sexual safety incidents on VHIMS</w:t>
      </w:r>
      <w:bookmarkEnd w:id="14"/>
      <w:bookmarkEnd w:id="15"/>
      <w:bookmarkEnd w:id="16"/>
    </w:p>
    <w:p w14:paraId="3C7B67ED" w14:textId="726E1B9A" w:rsidR="00670FDB" w:rsidRPr="00722B36" w:rsidRDefault="00670FDB" w:rsidP="00670FDB">
      <w:pPr>
        <w:pStyle w:val="Body"/>
      </w:pPr>
      <w:r w:rsidRPr="00722B36">
        <w:t xml:space="preserve">All sexual safety incidents </w:t>
      </w:r>
      <w:r>
        <w:t>must</w:t>
      </w:r>
      <w:r w:rsidRPr="00722B36">
        <w:t xml:space="preserve"> be reported on VHIMS. Frontline staff should enter incidents in line with local processes and protocols.</w:t>
      </w:r>
      <w:r>
        <w:t xml:space="preserve"> If not sure whether something meets the threshold for a sexual safety incident</w:t>
      </w:r>
      <w:r w:rsidR="00FB7BAD">
        <w:t>,</w:t>
      </w:r>
      <w:r>
        <w:t xml:space="preserve"> enter it and it can be adjusted when reviewed if required.</w:t>
      </w:r>
    </w:p>
    <w:p w14:paraId="654EC5A3" w14:textId="65BBE4C8" w:rsidR="00670FDB" w:rsidRPr="00722B36" w:rsidRDefault="00670FDB" w:rsidP="00670FDB">
      <w:pPr>
        <w:pStyle w:val="Body"/>
      </w:pPr>
      <w:r w:rsidRPr="00722B36">
        <w:t xml:space="preserve">A separate incident must be entered for each involved </w:t>
      </w:r>
      <w:r w:rsidR="00A515CD">
        <w:t>person</w:t>
      </w:r>
      <w:r>
        <w:t>.</w:t>
      </w:r>
      <w:r w:rsidRPr="00722B36">
        <w:t xml:space="preserve"> </w:t>
      </w:r>
      <w:r>
        <w:t>T</w:t>
      </w:r>
      <w:r w:rsidRPr="00722B36">
        <w:t xml:space="preserve">hese incidents can be linked to reduce data entry. </w:t>
      </w:r>
    </w:p>
    <w:p w14:paraId="1A00F68D" w14:textId="163B1FDE" w:rsidR="00670FDB" w:rsidRPr="00722B36" w:rsidRDefault="00670FDB" w:rsidP="00670FDB">
      <w:pPr>
        <w:pStyle w:val="Body"/>
      </w:pPr>
      <w:r w:rsidRPr="00D04B08">
        <w:t>Incidents must be identified in VHIMS as sexual safety incidents</w:t>
      </w:r>
      <w:r>
        <w:t>.</w:t>
      </w:r>
      <w:r w:rsidRPr="00D04B08">
        <w:t xml:space="preserve"> </w:t>
      </w:r>
      <w:r>
        <w:t>T</w:t>
      </w:r>
      <w:r w:rsidRPr="00D04B08">
        <w:t xml:space="preserve">his will usually be through the </w:t>
      </w:r>
      <w:r>
        <w:t>‘</w:t>
      </w:r>
      <w:r>
        <w:rPr>
          <w:b/>
          <w:bCs/>
        </w:rPr>
        <w:t>E</w:t>
      </w:r>
      <w:r w:rsidRPr="00D04B08">
        <w:rPr>
          <w:b/>
          <w:bCs/>
        </w:rPr>
        <w:t>vent type</w:t>
      </w:r>
      <w:r>
        <w:t>’</w:t>
      </w:r>
      <w:r w:rsidRPr="00D04B08">
        <w:t xml:space="preserve"> field, although fields may be titled differently at different services</w:t>
      </w:r>
      <w:r>
        <w:t xml:space="preserve"> (refer to ‘</w:t>
      </w:r>
      <w:r>
        <w:fldChar w:fldCharType="begin"/>
      </w:r>
      <w:r>
        <w:instrText xml:space="preserve"> REF _Ref139180993 \h </w:instrText>
      </w:r>
      <w:r>
        <w:fldChar w:fldCharType="separate"/>
      </w:r>
      <w:r w:rsidR="00D61DF2" w:rsidRPr="00C86C60">
        <w:t>Tips for using VHIMS/</w:t>
      </w:r>
      <w:r>
        <w:fldChar w:fldCharType="end"/>
      </w:r>
      <w:r>
        <w:t>’</w:t>
      </w:r>
      <w:r w:rsidR="00A515CD">
        <w:t xml:space="preserve"> on page 10</w:t>
      </w:r>
      <w:r>
        <w:t xml:space="preserve">). </w:t>
      </w:r>
    </w:p>
    <w:p w14:paraId="31FF4E20" w14:textId="2E868059" w:rsidR="00670FDB" w:rsidRDefault="00670FDB" w:rsidP="00670FDB">
      <w:pPr>
        <w:pStyle w:val="Body"/>
      </w:pPr>
      <w:r w:rsidRPr="00722B36">
        <w:t>To ensure</w:t>
      </w:r>
      <w:r w:rsidRPr="00722B36" w:rsidDel="006D7E88">
        <w:t xml:space="preserve"> </w:t>
      </w:r>
      <w:r w:rsidRPr="00722B36">
        <w:t>the OCP can extract relevant data from the VHIMS reports</w:t>
      </w:r>
      <w:r w:rsidR="003C4DBE">
        <w:t>,</w:t>
      </w:r>
      <w:r w:rsidRPr="00722B36">
        <w:t xml:space="preserve"> the following naming convention must be followed exactly when completing the ‘</w:t>
      </w:r>
      <w:r>
        <w:t>S</w:t>
      </w:r>
      <w:r w:rsidRPr="00722B36">
        <w:t>ummary’ field.</w:t>
      </w:r>
    </w:p>
    <w:p w14:paraId="40A0CAA3" w14:textId="77777777" w:rsidR="004B40C9" w:rsidRDefault="004B40C9" w:rsidP="00670FDB">
      <w:pPr>
        <w:pStyle w:val="Body"/>
      </w:pPr>
    </w:p>
    <w:p w14:paraId="27E66262" w14:textId="33BC5FFE" w:rsidR="004B40C9" w:rsidRPr="004B40C9" w:rsidRDefault="004B40C9" w:rsidP="004B40C9">
      <w:pPr>
        <w:pStyle w:val="Heading3"/>
      </w:pPr>
      <w:r w:rsidRPr="004B40C9">
        <w:t>Naming conventions for incident summary</w:t>
      </w:r>
    </w:p>
    <w:tbl>
      <w:tblPr>
        <w:tblStyle w:val="PlainTable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26"/>
      </w:tblGrid>
      <w:tr w:rsidR="00670FDB" w:rsidRPr="00722B36" w14:paraId="16E6F939" w14:textId="77777777" w:rsidTr="004B4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1468BB50" w14:textId="77777777" w:rsidR="00670FDB" w:rsidRPr="00722B36" w:rsidRDefault="00670FDB" w:rsidP="00740E70">
            <w:pPr>
              <w:pStyle w:val="Body"/>
            </w:pPr>
            <w:r w:rsidRPr="00722B36">
              <w:t>Provide the following information in this format</w:t>
            </w:r>
            <w:r>
              <w:t>.</w:t>
            </w:r>
          </w:p>
          <w:p w14:paraId="10E6A10A" w14:textId="77777777" w:rsidR="00670FDB" w:rsidRPr="00722B36" w:rsidRDefault="00670FDB" w:rsidP="00740E70">
            <w:pPr>
              <w:pStyle w:val="Body"/>
            </w:pPr>
            <w:r w:rsidRPr="00722B36">
              <w:t>Category of incident – Voluntary or Compulsory or Staff</w:t>
            </w:r>
          </w:p>
          <w:p w14:paraId="7ABCC037" w14:textId="77777777" w:rsidR="00670FDB" w:rsidRPr="00722B36" w:rsidRDefault="00670FDB" w:rsidP="00740E70">
            <w:pPr>
              <w:pStyle w:val="Body"/>
            </w:pPr>
            <w:r w:rsidRPr="00722B36">
              <w:t xml:space="preserve">Category of </w:t>
            </w:r>
            <w:r>
              <w:t>i</w:t>
            </w:r>
            <w:r w:rsidRPr="00722B36">
              <w:t xml:space="preserve">ncident has the following options </w:t>
            </w:r>
            <w:r w:rsidRPr="00722B36">
              <w:rPr>
                <w:b w:val="0"/>
                <w:bCs w:val="0"/>
              </w:rPr>
              <w:t>(please do not use other categories)</w:t>
            </w:r>
            <w:r>
              <w:rPr>
                <w:b w:val="0"/>
                <w:bCs w:val="0"/>
              </w:rPr>
              <w:t>:</w:t>
            </w:r>
          </w:p>
          <w:p w14:paraId="3626F80A" w14:textId="77777777" w:rsidR="00670FDB" w:rsidRPr="00133D9B" w:rsidRDefault="00670FDB" w:rsidP="00740E70">
            <w:pPr>
              <w:pStyle w:val="Bullet1"/>
              <w:rPr>
                <w:b w:val="0"/>
                <w:bCs w:val="0"/>
              </w:rPr>
            </w:pPr>
            <w:r w:rsidRPr="00133D9B">
              <w:rPr>
                <w:b w:val="0"/>
                <w:bCs w:val="0"/>
              </w:rPr>
              <w:t>Sexual Activity</w:t>
            </w:r>
          </w:p>
          <w:p w14:paraId="10066D6E" w14:textId="77777777" w:rsidR="00670FDB" w:rsidRPr="00133D9B" w:rsidRDefault="00670FDB" w:rsidP="00740E70">
            <w:pPr>
              <w:pStyle w:val="Bullet1"/>
              <w:rPr>
                <w:b w:val="0"/>
                <w:bCs w:val="0"/>
              </w:rPr>
            </w:pPr>
            <w:r w:rsidRPr="00133D9B">
              <w:rPr>
                <w:b w:val="0"/>
                <w:bCs w:val="0"/>
              </w:rPr>
              <w:t>Sexual Harassment</w:t>
            </w:r>
          </w:p>
          <w:p w14:paraId="61A0C79C" w14:textId="77777777" w:rsidR="00670FDB" w:rsidRPr="00133D9B" w:rsidRDefault="00670FDB" w:rsidP="00740E70">
            <w:pPr>
              <w:pStyle w:val="Bullet1"/>
              <w:rPr>
                <w:b w:val="0"/>
                <w:bCs w:val="0"/>
              </w:rPr>
            </w:pPr>
            <w:r w:rsidRPr="00133D9B">
              <w:rPr>
                <w:b w:val="0"/>
                <w:bCs w:val="0"/>
              </w:rPr>
              <w:t>Sexual Assault</w:t>
            </w:r>
          </w:p>
          <w:p w14:paraId="7016A3C8" w14:textId="0445AE29" w:rsidR="00670FDB" w:rsidRPr="00133D9B" w:rsidRDefault="00670FDB" w:rsidP="00740E70">
            <w:pPr>
              <w:pStyle w:val="Bullet1"/>
              <w:rPr>
                <w:b w:val="0"/>
                <w:bCs w:val="0"/>
              </w:rPr>
            </w:pPr>
            <w:r w:rsidRPr="00133D9B">
              <w:rPr>
                <w:b w:val="0"/>
                <w:bCs w:val="0"/>
              </w:rPr>
              <w:t>Sexual Other</w:t>
            </w:r>
            <w:r w:rsidR="004B40C9">
              <w:rPr>
                <w:b w:val="0"/>
                <w:bCs w:val="0"/>
              </w:rPr>
              <w:br/>
            </w:r>
          </w:p>
          <w:p w14:paraId="2F961004" w14:textId="4ED90781" w:rsidR="00670FDB" w:rsidRPr="00722B36" w:rsidRDefault="00670FDB" w:rsidP="00740E70">
            <w:pPr>
              <w:pStyle w:val="Bodyafterbullets"/>
            </w:pPr>
            <w:r w:rsidRPr="00722B36">
              <w:t xml:space="preserve">Indicate if the person was a Voluntary or Compulsory consumer (this refers to the consumer’s </w:t>
            </w:r>
            <w:r w:rsidR="00A515CD" w:rsidRPr="00722B36">
              <w:t xml:space="preserve">status </w:t>
            </w:r>
            <w:r w:rsidR="00A515CD">
              <w:t xml:space="preserve">under </w:t>
            </w:r>
            <w:r w:rsidRPr="00CE35ED">
              <w:rPr>
                <w:i/>
                <w:iCs/>
              </w:rPr>
              <w:t>Mental Health</w:t>
            </w:r>
            <w:r w:rsidR="00A515CD" w:rsidRPr="00CE35ED">
              <w:rPr>
                <w:i/>
                <w:iCs/>
              </w:rPr>
              <w:t xml:space="preserve"> and Wellbeing</w:t>
            </w:r>
            <w:r w:rsidRPr="00CE35ED">
              <w:rPr>
                <w:i/>
                <w:iCs/>
              </w:rPr>
              <w:t xml:space="preserve"> Act</w:t>
            </w:r>
            <w:r w:rsidR="00A515CD" w:rsidRPr="00CE35ED">
              <w:rPr>
                <w:i/>
                <w:iCs/>
              </w:rPr>
              <w:t xml:space="preserve"> 2022</w:t>
            </w:r>
            <w:r w:rsidRPr="00722B36">
              <w:t>) or a staff member with:</w:t>
            </w:r>
          </w:p>
          <w:p w14:paraId="2AF133B5" w14:textId="77777777" w:rsidR="00670FDB" w:rsidRPr="00133D9B" w:rsidRDefault="00670FDB" w:rsidP="00740E70">
            <w:pPr>
              <w:pStyle w:val="Bullet1"/>
              <w:rPr>
                <w:b w:val="0"/>
                <w:bCs w:val="0"/>
              </w:rPr>
            </w:pPr>
            <w:r w:rsidRPr="00133D9B">
              <w:rPr>
                <w:b w:val="0"/>
                <w:bCs w:val="0"/>
              </w:rPr>
              <w:t>V [representing voluntary]</w:t>
            </w:r>
          </w:p>
          <w:p w14:paraId="025980D2" w14:textId="77777777" w:rsidR="00670FDB" w:rsidRPr="00133D9B" w:rsidRDefault="00670FDB" w:rsidP="00740E70">
            <w:pPr>
              <w:pStyle w:val="Bullet1"/>
              <w:rPr>
                <w:b w:val="0"/>
                <w:bCs w:val="0"/>
              </w:rPr>
            </w:pPr>
            <w:r w:rsidRPr="00133D9B">
              <w:rPr>
                <w:b w:val="0"/>
                <w:bCs w:val="0"/>
              </w:rPr>
              <w:t>C [representing compulsory]</w:t>
            </w:r>
          </w:p>
          <w:p w14:paraId="3EAFB881" w14:textId="00370BE7" w:rsidR="00670FDB" w:rsidRPr="00133D9B" w:rsidRDefault="00670FDB" w:rsidP="00740E70">
            <w:pPr>
              <w:pStyle w:val="Bullet1"/>
              <w:rPr>
                <w:b w:val="0"/>
                <w:bCs w:val="0"/>
              </w:rPr>
            </w:pPr>
            <w:r w:rsidRPr="00133D9B">
              <w:rPr>
                <w:b w:val="0"/>
                <w:bCs w:val="0"/>
              </w:rPr>
              <w:t>S [representing staff/OHS incident]</w:t>
            </w:r>
            <w:r w:rsidR="004B40C9">
              <w:rPr>
                <w:b w:val="0"/>
                <w:bCs w:val="0"/>
              </w:rPr>
              <w:br/>
            </w:r>
          </w:p>
          <w:p w14:paraId="7645F9E4" w14:textId="77777777" w:rsidR="00670FDB" w:rsidRPr="00722B36" w:rsidRDefault="00670FDB" w:rsidP="00740E70">
            <w:pPr>
              <w:pStyle w:val="Bodyafterbullets"/>
              <w:rPr>
                <w:b w:val="0"/>
                <w:bCs w:val="0"/>
              </w:rPr>
            </w:pPr>
            <w:r w:rsidRPr="00C64957">
              <w:rPr>
                <w:i/>
              </w:rPr>
              <w:t>Example</w:t>
            </w:r>
          </w:p>
          <w:p w14:paraId="7590862D" w14:textId="77777777" w:rsidR="00670FDB" w:rsidRPr="00722B36" w:rsidRDefault="00670FDB" w:rsidP="00740E70">
            <w:pPr>
              <w:pStyle w:val="Body"/>
            </w:pPr>
            <w:r w:rsidRPr="00722B36">
              <w:t>The summary section should appear in this format:</w:t>
            </w:r>
          </w:p>
          <w:p w14:paraId="44787158" w14:textId="77777777" w:rsidR="00670FDB" w:rsidRPr="00133D9B" w:rsidRDefault="00670FDB" w:rsidP="00740E70">
            <w:pPr>
              <w:pStyle w:val="Bullet1"/>
              <w:rPr>
                <w:b w:val="0"/>
                <w:bCs w:val="0"/>
              </w:rPr>
            </w:pPr>
            <w:r w:rsidRPr="00133D9B">
              <w:rPr>
                <w:b w:val="0"/>
                <w:bCs w:val="0"/>
              </w:rPr>
              <w:t xml:space="preserve">Sexual </w:t>
            </w:r>
            <w:r>
              <w:rPr>
                <w:b w:val="0"/>
                <w:bCs w:val="0"/>
              </w:rPr>
              <w:t>A</w:t>
            </w:r>
            <w:r w:rsidRPr="00133D9B">
              <w:rPr>
                <w:b w:val="0"/>
                <w:bCs w:val="0"/>
              </w:rPr>
              <w:t>ctivity – C</w:t>
            </w:r>
          </w:p>
          <w:p w14:paraId="5BA126B1" w14:textId="77777777" w:rsidR="00670FDB" w:rsidRPr="00133D9B" w:rsidRDefault="00670FDB" w:rsidP="00740E70">
            <w:pPr>
              <w:pStyle w:val="Bullet1"/>
              <w:rPr>
                <w:b w:val="0"/>
                <w:bCs w:val="0"/>
              </w:rPr>
            </w:pPr>
            <w:r w:rsidRPr="00133D9B">
              <w:rPr>
                <w:b w:val="0"/>
                <w:bCs w:val="0"/>
              </w:rPr>
              <w:t>Sexual Harassment – V</w:t>
            </w:r>
          </w:p>
          <w:p w14:paraId="50563974" w14:textId="5AD04873" w:rsidR="00670FDB" w:rsidRPr="00722B36" w:rsidRDefault="00670FDB" w:rsidP="00740E70">
            <w:pPr>
              <w:pStyle w:val="Bullet1"/>
            </w:pPr>
            <w:r w:rsidRPr="00133D9B">
              <w:rPr>
                <w:b w:val="0"/>
                <w:bCs w:val="0"/>
              </w:rPr>
              <w:t xml:space="preserve">Sexual </w:t>
            </w:r>
            <w:r>
              <w:rPr>
                <w:b w:val="0"/>
                <w:bCs w:val="0"/>
              </w:rPr>
              <w:t>O</w:t>
            </w:r>
            <w:r w:rsidRPr="00133D9B">
              <w:rPr>
                <w:b w:val="0"/>
                <w:bCs w:val="0"/>
              </w:rPr>
              <w:t>ther – S</w:t>
            </w:r>
            <w:r w:rsidR="004B40C9">
              <w:rPr>
                <w:b w:val="0"/>
                <w:bCs w:val="0"/>
              </w:rPr>
              <w:br/>
            </w:r>
          </w:p>
        </w:tc>
      </w:tr>
    </w:tbl>
    <w:p w14:paraId="263F6CF1" w14:textId="77777777" w:rsidR="004B40C9" w:rsidRDefault="004B40C9" w:rsidP="00670FDB">
      <w:pPr>
        <w:pStyle w:val="Heading2"/>
      </w:pPr>
      <w:bookmarkStart w:id="17" w:name="_Toc135312667"/>
      <w:bookmarkStart w:id="18" w:name="_Toc139183502"/>
      <w:bookmarkStart w:id="19" w:name="_Toc147761576"/>
    </w:p>
    <w:p w14:paraId="2A8E0940" w14:textId="77777777" w:rsidR="004B40C9" w:rsidRDefault="004B40C9">
      <w:pPr>
        <w:spacing w:after="0" w:line="240" w:lineRule="auto"/>
        <w:rPr>
          <w:b/>
          <w:color w:val="53565A"/>
          <w:sz w:val="32"/>
          <w:szCs w:val="28"/>
        </w:rPr>
      </w:pPr>
      <w:r>
        <w:br w:type="page"/>
      </w:r>
    </w:p>
    <w:p w14:paraId="35F3D0A1" w14:textId="6A43151E" w:rsidR="00670FDB" w:rsidRPr="00C86C60" w:rsidRDefault="00670FDB" w:rsidP="00670FDB">
      <w:pPr>
        <w:pStyle w:val="Heading2"/>
      </w:pPr>
      <w:r w:rsidRPr="00C86C60">
        <w:lastRenderedPageBreak/>
        <w:t xml:space="preserve">Step </w:t>
      </w:r>
      <w:r>
        <w:t>2</w:t>
      </w:r>
      <w:r w:rsidRPr="00C86C60">
        <w:t>: Escalating serious incidents to the OCP</w:t>
      </w:r>
      <w:bookmarkEnd w:id="17"/>
      <w:bookmarkEnd w:id="18"/>
      <w:bookmarkEnd w:id="19"/>
    </w:p>
    <w:p w14:paraId="659790EB" w14:textId="77777777" w:rsidR="00670FDB" w:rsidRPr="00762EB3" w:rsidRDefault="00670FDB" w:rsidP="00670FDB">
      <w:pPr>
        <w:pStyle w:val="Heading3"/>
      </w:pPr>
      <w:r w:rsidRPr="00762EB3">
        <w:t xml:space="preserve">ISR 1 </w:t>
      </w:r>
      <w:r>
        <w:t>and</w:t>
      </w:r>
      <w:r w:rsidRPr="00762EB3">
        <w:t xml:space="preserve"> ISR 2</w:t>
      </w:r>
    </w:p>
    <w:p w14:paraId="062B4768" w14:textId="1107AF63" w:rsidR="00E77957" w:rsidRDefault="00670FDB" w:rsidP="00670FDB">
      <w:pPr>
        <w:pStyle w:val="Body"/>
      </w:pPr>
      <w:r w:rsidRPr="00722B36">
        <w:t xml:space="preserve">Report ISR 1 and ISR 2 rated incidents directly to the OCP for clinical review. Nurse </w:t>
      </w:r>
      <w:r>
        <w:t>u</w:t>
      </w:r>
      <w:r w:rsidRPr="00722B36">
        <w:t xml:space="preserve">nit </w:t>
      </w:r>
      <w:r>
        <w:t>m</w:t>
      </w:r>
      <w:r w:rsidRPr="00722B36">
        <w:t xml:space="preserve">anagers, </w:t>
      </w:r>
      <w:r>
        <w:t>q</w:t>
      </w:r>
      <w:r w:rsidRPr="00722B36">
        <w:t xml:space="preserve">uality and </w:t>
      </w:r>
      <w:r>
        <w:t>s</w:t>
      </w:r>
      <w:r w:rsidRPr="00722B36">
        <w:t xml:space="preserve">afety </w:t>
      </w:r>
      <w:r>
        <w:t>m</w:t>
      </w:r>
      <w:r w:rsidRPr="00722B36">
        <w:t xml:space="preserve">anagers, </w:t>
      </w:r>
      <w:r>
        <w:t>s</w:t>
      </w:r>
      <w:r w:rsidRPr="00722B36">
        <w:t xml:space="preserve">exual </w:t>
      </w:r>
      <w:r>
        <w:t>s</w:t>
      </w:r>
      <w:r w:rsidRPr="00722B36">
        <w:t xml:space="preserve">afety </w:t>
      </w:r>
      <w:r>
        <w:t>c</w:t>
      </w:r>
      <w:r w:rsidRPr="00722B36">
        <w:t xml:space="preserve">oordinators or similar should manage this step. Services can contact the OCP by </w:t>
      </w:r>
      <w:r w:rsidR="00FF0E3B">
        <w:t xml:space="preserve">email or </w:t>
      </w:r>
      <w:r w:rsidRPr="00722B36">
        <w:t xml:space="preserve">phone at any time to clarify this process. </w:t>
      </w:r>
    </w:p>
    <w:p w14:paraId="029F7ED0" w14:textId="14B6F261" w:rsidR="00670FDB" w:rsidRPr="00722B36" w:rsidRDefault="00670FDB" w:rsidP="00670FDB">
      <w:pPr>
        <w:pStyle w:val="Body"/>
      </w:pPr>
      <w:r w:rsidRPr="00722B36">
        <w:t>The OCP may contact services directly to discuss ISR 1 and ISR 2 rated incidents</w:t>
      </w:r>
      <w:r>
        <w:t>. (For more information about how to apply ISRs to sexual safety incidents, refer to ‘</w:t>
      </w:r>
      <w:hyperlink w:anchor="_Assigning_Incident_Severity" w:history="1">
        <w:r>
          <w:rPr>
            <w:rStyle w:val="Hyperlink"/>
            <w:rFonts w:cs="Arial"/>
          </w:rPr>
          <w:fldChar w:fldCharType="begin"/>
        </w:r>
        <w:r>
          <w:instrText xml:space="preserve"> REF _Ref139181333 \h </w:instrText>
        </w:r>
        <w:r>
          <w:rPr>
            <w:rStyle w:val="Hyperlink"/>
            <w:rFonts w:cs="Arial"/>
          </w:rPr>
        </w:r>
        <w:r>
          <w:rPr>
            <w:rStyle w:val="Hyperlink"/>
            <w:rFonts w:cs="Arial"/>
          </w:rPr>
          <w:fldChar w:fldCharType="separate"/>
        </w:r>
        <w:r w:rsidR="00D61DF2" w:rsidRPr="00C86C60">
          <w:t>Assigning Incident Severity Ratings</w:t>
        </w:r>
        <w:r>
          <w:rPr>
            <w:rStyle w:val="Hyperlink"/>
            <w:rFonts w:cs="Arial"/>
          </w:rPr>
          <w:fldChar w:fldCharType="end"/>
        </w:r>
      </w:hyperlink>
      <w:r w:rsidRPr="00C64957">
        <w:t>’</w:t>
      </w:r>
      <w:r>
        <w:t xml:space="preserve"> on page 11).</w:t>
      </w:r>
    </w:p>
    <w:p w14:paraId="3BD09335" w14:textId="77777777" w:rsidR="00670FDB" w:rsidRPr="00762EB3" w:rsidRDefault="00670FDB" w:rsidP="00670FDB">
      <w:pPr>
        <w:pStyle w:val="Heading4"/>
        <w:rPr>
          <w:rFonts w:cs="Arial"/>
        </w:rPr>
      </w:pPr>
      <w:r w:rsidRPr="00762EB3">
        <w:t>ISR 1</w:t>
      </w:r>
      <w:r>
        <w:t xml:space="preserve"> – </w:t>
      </w:r>
      <w:r w:rsidRPr="00762EB3">
        <w:t>A serious sexual safety incident that has caused substantial harm</w:t>
      </w:r>
      <w:r>
        <w:t xml:space="preserve"> </w:t>
      </w:r>
    </w:p>
    <w:p w14:paraId="4BAC2116" w14:textId="5C8808BE" w:rsidR="00670FDB" w:rsidRPr="00722B36" w:rsidRDefault="00670FDB" w:rsidP="00670FDB">
      <w:pPr>
        <w:pStyle w:val="Body"/>
      </w:pPr>
      <w:r>
        <w:t>For incidents classified as ISR 1 (including incidents that have been upgraded to ISR 1 following further investigation), staff must escalate internally via local protocols and escalate via</w:t>
      </w:r>
      <w:r w:rsidR="00E16EA5">
        <w:t xml:space="preserve"> </w:t>
      </w:r>
      <w:r w:rsidR="00380D6A">
        <w:t xml:space="preserve">email </w:t>
      </w:r>
      <w:r w:rsidR="00446069">
        <w:t>ocp</w:t>
      </w:r>
      <w:r w:rsidR="00380D6A">
        <w:t>@health.vic.gov.au</w:t>
      </w:r>
      <w:r>
        <w:t xml:space="preserve"> to the OCP</w:t>
      </w:r>
      <w:r w:rsidRPr="180CE743">
        <w:rPr>
          <w:b/>
          <w:bCs/>
        </w:rPr>
        <w:t xml:space="preserve"> </w:t>
      </w:r>
      <w:r>
        <w:t>within 24 hours</w:t>
      </w:r>
      <w:r w:rsidR="00A515CD">
        <w:t xml:space="preserve"> or the next business day</w:t>
      </w:r>
      <w:r>
        <w:t>. A data extract from VHIMS of this single event must also be uploaded onto the OCP SharePoint site within 72 hours.</w:t>
      </w:r>
    </w:p>
    <w:p w14:paraId="257E28C1" w14:textId="353B5B25" w:rsidR="00670FDB" w:rsidRPr="00762EB3" w:rsidRDefault="00670FDB" w:rsidP="00670FDB">
      <w:pPr>
        <w:pStyle w:val="Heading4"/>
        <w:rPr>
          <w:rFonts w:cs="Arial"/>
        </w:rPr>
      </w:pPr>
      <w:r w:rsidRPr="00762EB3">
        <w:t>ISR 2</w:t>
      </w:r>
      <w:r>
        <w:t xml:space="preserve"> – </w:t>
      </w:r>
      <w:r w:rsidRPr="00762EB3">
        <w:t>A sexual safety incident resulting in moderate harm and</w:t>
      </w:r>
      <w:r w:rsidR="0048613B">
        <w:t>/or</w:t>
      </w:r>
      <w:r w:rsidRPr="00762EB3">
        <w:t xml:space="preserve"> requiring increased levels of care</w:t>
      </w:r>
    </w:p>
    <w:p w14:paraId="73EE2CD5" w14:textId="77777777" w:rsidR="00670FDB" w:rsidRPr="00722B36" w:rsidRDefault="00670FDB" w:rsidP="00670FDB">
      <w:pPr>
        <w:pStyle w:val="Body"/>
      </w:pPr>
      <w:r w:rsidRPr="00722B36">
        <w:t>For all incidents classified as ISR 2, staff must escalate internally via local protocols and alert the OCP within 72 hours by uploading a VH</w:t>
      </w:r>
      <w:r>
        <w:t>IMS</w:t>
      </w:r>
      <w:r w:rsidRPr="00722B36">
        <w:t xml:space="preserve"> extract to the OCP SharePoint site. </w:t>
      </w:r>
    </w:p>
    <w:p w14:paraId="133AD47A" w14:textId="77777777" w:rsidR="00670FDB" w:rsidRPr="00762EB3" w:rsidRDefault="00670FDB" w:rsidP="00670FDB">
      <w:pPr>
        <w:pStyle w:val="Heading3"/>
      </w:pPr>
      <w:r w:rsidRPr="00762EB3">
        <w:t>ISR 3 and 4</w:t>
      </w:r>
    </w:p>
    <w:p w14:paraId="52F611C7" w14:textId="1A9A2493" w:rsidR="00670FDB" w:rsidRPr="00762EB3" w:rsidRDefault="00670FDB" w:rsidP="00670FDB">
      <w:pPr>
        <w:pStyle w:val="Heading4"/>
      </w:pPr>
      <w:r w:rsidRPr="00762EB3">
        <w:t>ISR 3</w:t>
      </w:r>
      <w:r>
        <w:t xml:space="preserve"> – </w:t>
      </w:r>
      <w:r w:rsidRPr="00762EB3">
        <w:t xml:space="preserve">A sexual safety incident that results in minimal harm with </w:t>
      </w:r>
      <w:r w:rsidR="00C71373">
        <w:t>min</w:t>
      </w:r>
      <w:r w:rsidR="007F6BDE">
        <w:t xml:space="preserve">or or no </w:t>
      </w:r>
      <w:r w:rsidRPr="00762EB3">
        <w:t xml:space="preserve">additional care required </w:t>
      </w:r>
    </w:p>
    <w:p w14:paraId="4514E7BE" w14:textId="77777777" w:rsidR="00670FDB" w:rsidRPr="00762EB3" w:rsidRDefault="00670FDB" w:rsidP="00670FDB">
      <w:pPr>
        <w:pStyle w:val="Heading4"/>
      </w:pPr>
      <w:r w:rsidRPr="00762EB3">
        <w:t>ISR 4</w:t>
      </w:r>
      <w:r>
        <w:t xml:space="preserve"> – </w:t>
      </w:r>
      <w:r w:rsidRPr="00762EB3">
        <w:t>A sexual safety incident was avoided, or no harm was caused</w:t>
      </w:r>
    </w:p>
    <w:p w14:paraId="4E0B45CE" w14:textId="77777777" w:rsidR="00670FDB" w:rsidRPr="00722B36" w:rsidRDefault="00670FDB" w:rsidP="00670FDB">
      <w:pPr>
        <w:pStyle w:val="Body"/>
      </w:pPr>
      <w:r w:rsidRPr="00722B36">
        <w:t xml:space="preserve">ISR 3 and ISR 4 rated incidents must be reported via VHIMS (Step 1) and included in the VHIMS extract sent monthly to the OCP (Step 3). </w:t>
      </w:r>
    </w:p>
    <w:p w14:paraId="2181CB40" w14:textId="4F31D447" w:rsidR="00670FDB" w:rsidRPr="00C86C60" w:rsidRDefault="00670FDB" w:rsidP="00670FDB">
      <w:pPr>
        <w:pStyle w:val="Heading2"/>
      </w:pPr>
      <w:bookmarkStart w:id="20" w:name="_Toc135312668"/>
      <w:bookmarkStart w:id="21" w:name="_Toc139183503"/>
      <w:bookmarkStart w:id="22" w:name="_Toc147761577"/>
      <w:r w:rsidRPr="00C86C60">
        <w:t>Step 3: Send a monthly VHIMS extract to the OCP</w:t>
      </w:r>
      <w:bookmarkEnd w:id="20"/>
      <w:bookmarkEnd w:id="21"/>
      <w:bookmarkEnd w:id="22"/>
    </w:p>
    <w:p w14:paraId="0B5F20CF" w14:textId="77777777" w:rsidR="00670FDB" w:rsidRPr="00722B36" w:rsidRDefault="00670FDB" w:rsidP="00670FDB">
      <w:pPr>
        <w:pStyle w:val="Body"/>
      </w:pPr>
      <w:r w:rsidRPr="00722B36">
        <w:t xml:space="preserve">Frontline staff must complete a VHIMS report and submit to </w:t>
      </w:r>
      <w:r>
        <w:t>their</w:t>
      </w:r>
      <w:r w:rsidRPr="00722B36">
        <w:t xml:space="preserve"> local </w:t>
      </w:r>
      <w:r>
        <w:t>s</w:t>
      </w:r>
      <w:r w:rsidRPr="00722B36">
        <w:t xml:space="preserve">exual </w:t>
      </w:r>
      <w:r>
        <w:t>s</w:t>
      </w:r>
      <w:r w:rsidRPr="00722B36">
        <w:t xml:space="preserve">afety </w:t>
      </w:r>
      <w:r>
        <w:t>c</w:t>
      </w:r>
      <w:r w:rsidRPr="00722B36">
        <w:t xml:space="preserve">oordinator or </w:t>
      </w:r>
      <w:r>
        <w:t>q</w:t>
      </w:r>
      <w:r w:rsidRPr="00722B36">
        <w:t xml:space="preserve">uality and </w:t>
      </w:r>
      <w:r>
        <w:t>s</w:t>
      </w:r>
      <w:r w:rsidRPr="00722B36">
        <w:t xml:space="preserve">afety </w:t>
      </w:r>
      <w:r>
        <w:t>c</w:t>
      </w:r>
      <w:r w:rsidRPr="00722B36">
        <w:t>oordinator or manager with responsibility for reporting. Do not submit directly to the OCP.</w:t>
      </w:r>
    </w:p>
    <w:p w14:paraId="5B7A4E69" w14:textId="77777777" w:rsidR="00670FDB" w:rsidRPr="00722B36" w:rsidRDefault="00670FDB" w:rsidP="00670FDB">
      <w:pPr>
        <w:pStyle w:val="Body"/>
      </w:pPr>
      <w:r w:rsidRPr="00722B36">
        <w:t>Managers must export data from all sexual safety incidents reported in VHIMS into the OCP Sexual Safety Data Template (Excel) at the end of each month. This monthly data must be provided to the OCP via SharePoint by the 23</w:t>
      </w:r>
      <w:r w:rsidRPr="008362AA">
        <w:t>rd</w:t>
      </w:r>
      <w:r w:rsidRPr="00C1269F">
        <w:t xml:space="preserve"> </w:t>
      </w:r>
      <w:r w:rsidRPr="00722B36">
        <w:t>day of the following month. This data will include incidents with ISR ratings of 1</w:t>
      </w:r>
      <w:r>
        <w:t>–</w:t>
      </w:r>
      <w:r w:rsidRPr="00722B36">
        <w:t>4 including ISR 1 and ISR 2 rated incidents that may have been previously escalated to the OCP.</w:t>
      </w:r>
    </w:p>
    <w:p w14:paraId="4656EFCF" w14:textId="77777777" w:rsidR="00747FC4" w:rsidRDefault="00670FDB" w:rsidP="00670FDB">
      <w:pPr>
        <w:pStyle w:val="Body"/>
      </w:pPr>
      <w:r w:rsidRPr="00722B36">
        <w:t xml:space="preserve">The monthly report to the OCP is used for data monitoring purposes only. </w:t>
      </w:r>
    </w:p>
    <w:p w14:paraId="7E1EE83C" w14:textId="591CF103" w:rsidR="00670FDB" w:rsidRPr="00722B36" w:rsidRDefault="00670FDB" w:rsidP="00670FDB">
      <w:pPr>
        <w:pStyle w:val="Body"/>
      </w:pPr>
      <w:r w:rsidRPr="00722B36">
        <w:t>This information is not clinically reviewed unless there is an apparent risk or discrepancy.</w:t>
      </w:r>
    </w:p>
    <w:p w14:paraId="581C7604" w14:textId="77777777" w:rsidR="00703DBC" w:rsidRPr="00703DBC" w:rsidRDefault="00703DBC" w:rsidP="00703DBC">
      <w:pPr>
        <w:pStyle w:val="Body"/>
      </w:pPr>
      <w:bookmarkStart w:id="23" w:name="_Toc147761578"/>
      <w:bookmarkStart w:id="24" w:name="_Toc135312669"/>
      <w:bookmarkStart w:id="25" w:name="_Toc139183504"/>
      <w:r w:rsidRPr="00703DBC">
        <w:br w:type="page"/>
      </w:r>
    </w:p>
    <w:p w14:paraId="23983334" w14:textId="15AAE4E9" w:rsidR="00670FDB" w:rsidRDefault="00670FDB" w:rsidP="00670FDB">
      <w:pPr>
        <w:pStyle w:val="Heading1"/>
      </w:pPr>
      <w:r>
        <w:lastRenderedPageBreak/>
        <w:t>Supporting information</w:t>
      </w:r>
      <w:bookmarkEnd w:id="23"/>
    </w:p>
    <w:p w14:paraId="20F10D63" w14:textId="77777777" w:rsidR="00670FDB" w:rsidRPr="00C86C60" w:rsidRDefault="00670FDB" w:rsidP="00670FDB">
      <w:pPr>
        <w:pStyle w:val="Heading2"/>
      </w:pPr>
      <w:bookmarkStart w:id="26" w:name="_Toc147761579"/>
      <w:r w:rsidRPr="00C86C60">
        <w:t>Definitions</w:t>
      </w:r>
      <w:r w:rsidRPr="00C86C60" w:rsidDel="00C1269F">
        <w:t xml:space="preserve"> </w:t>
      </w:r>
      <w:r>
        <w:t xml:space="preserve">– </w:t>
      </w:r>
      <w:r w:rsidRPr="00C86C60">
        <w:t>sexual safety incident categories</w:t>
      </w:r>
      <w:bookmarkEnd w:id="24"/>
      <w:bookmarkEnd w:id="25"/>
      <w:bookmarkEnd w:id="26"/>
      <w:r w:rsidRPr="00C86C60">
        <w:t xml:space="preserve"> </w:t>
      </w:r>
    </w:p>
    <w:p w14:paraId="5A9B61FC" w14:textId="77777777" w:rsidR="00670FDB" w:rsidRPr="00722B36" w:rsidRDefault="00670FDB" w:rsidP="00670FDB">
      <w:pPr>
        <w:pStyle w:val="Body"/>
      </w:pPr>
      <w:r w:rsidRPr="00722B36">
        <w:t>Every sexual safety incident must be recorded as one of the following categories. Reports that list other categories will be returned to services for correction.</w:t>
      </w:r>
    </w:p>
    <w:p w14:paraId="160AE448" w14:textId="328F9D87" w:rsidR="00670FDB" w:rsidRDefault="00670FDB" w:rsidP="00670FDB">
      <w:pPr>
        <w:pStyle w:val="Body"/>
      </w:pPr>
      <w:r w:rsidRPr="00722B36">
        <w:t xml:space="preserve">For </w:t>
      </w:r>
      <w:r>
        <w:t>more</w:t>
      </w:r>
      <w:r w:rsidRPr="00722B36">
        <w:t xml:space="preserve"> information about what constitutes a sexual safety incident in different settings</w:t>
      </w:r>
      <w:r w:rsidR="003A0D0F">
        <w:t>,</w:t>
      </w:r>
      <w:r w:rsidRPr="00722B36">
        <w:t xml:space="preserve"> please refer to</w:t>
      </w:r>
      <w:r w:rsidR="00FD0D95">
        <w:t xml:space="preserve"> the</w:t>
      </w:r>
      <w:r w:rsidRPr="00722B36">
        <w:t xml:space="preserve"> </w:t>
      </w:r>
      <w:hyperlink r:id="rId19" w:history="1">
        <w:r w:rsidR="007B2984">
          <w:rPr>
            <w:rStyle w:val="Hyperlink"/>
          </w:rPr>
          <w:t>Chief Psychiatrist's guideline on improving sexual safety</w:t>
        </w:r>
      </w:hyperlink>
      <w:r w:rsidR="007B2984">
        <w:rPr>
          <w:rStyle w:val="Hyperlink"/>
        </w:rPr>
        <w:t xml:space="preserve"> </w:t>
      </w:r>
      <w:r w:rsidR="009E25B0">
        <w:t>&lt;</w:t>
      </w:r>
      <w:r w:rsidR="009E25B0" w:rsidRPr="009E25B0">
        <w:t>https://www.health.vic.gov.au/chief-psychiatrist/improving-sexual-safety</w:t>
      </w:r>
      <w:r w:rsidR="009E25B0">
        <w:t>&gt;</w:t>
      </w:r>
    </w:p>
    <w:tbl>
      <w:tblPr>
        <w:tblStyle w:val="TableGrid"/>
        <w:tblW w:w="0" w:type="auto"/>
        <w:tblLook w:val="0620" w:firstRow="1" w:lastRow="0" w:firstColumn="0" w:lastColumn="0" w:noHBand="1" w:noVBand="1"/>
      </w:tblPr>
      <w:tblGrid>
        <w:gridCol w:w="1975"/>
        <w:gridCol w:w="7313"/>
      </w:tblGrid>
      <w:tr w:rsidR="00670FDB" w14:paraId="15F3324D" w14:textId="77777777" w:rsidTr="36F869AE">
        <w:trPr>
          <w:tblHeader/>
        </w:trPr>
        <w:tc>
          <w:tcPr>
            <w:tcW w:w="1975" w:type="dxa"/>
            <w:shd w:val="clear" w:color="auto" w:fill="FAE0E6"/>
          </w:tcPr>
          <w:p w14:paraId="3AE44891" w14:textId="77777777" w:rsidR="00670FDB" w:rsidRDefault="00670FDB" w:rsidP="00740E70">
            <w:pPr>
              <w:pStyle w:val="Tablecolhead"/>
            </w:pPr>
            <w:r>
              <w:t>Term</w:t>
            </w:r>
          </w:p>
        </w:tc>
        <w:tc>
          <w:tcPr>
            <w:tcW w:w="7313" w:type="dxa"/>
            <w:shd w:val="clear" w:color="auto" w:fill="FAE0E6"/>
          </w:tcPr>
          <w:p w14:paraId="62C0B52C" w14:textId="77777777" w:rsidR="00670FDB" w:rsidRDefault="00670FDB" w:rsidP="00740E70">
            <w:pPr>
              <w:pStyle w:val="Tablecolhead"/>
            </w:pPr>
            <w:r>
              <w:t>Definition</w:t>
            </w:r>
          </w:p>
        </w:tc>
      </w:tr>
      <w:tr w:rsidR="00670FDB" w14:paraId="42CDCE60" w14:textId="77777777" w:rsidTr="36F869AE">
        <w:tc>
          <w:tcPr>
            <w:tcW w:w="1975" w:type="dxa"/>
          </w:tcPr>
          <w:p w14:paraId="2DDD7B3B" w14:textId="77777777" w:rsidR="00670FDB" w:rsidRPr="00C1269F" w:rsidRDefault="00670FDB" w:rsidP="00740E70">
            <w:pPr>
              <w:pStyle w:val="Tabletext"/>
              <w:rPr>
                <w:b/>
                <w:bCs/>
              </w:rPr>
            </w:pPr>
            <w:bookmarkStart w:id="27" w:name="_Toc135312670"/>
            <w:r w:rsidRPr="00C1269F">
              <w:rPr>
                <w:b/>
                <w:bCs/>
              </w:rPr>
              <w:t>Sexual Assault</w:t>
            </w:r>
            <w:bookmarkEnd w:id="27"/>
          </w:p>
          <w:p w14:paraId="24CD564F" w14:textId="77777777" w:rsidR="00670FDB" w:rsidRDefault="00670FDB" w:rsidP="00740E70">
            <w:pPr>
              <w:pStyle w:val="Tabletext"/>
            </w:pPr>
          </w:p>
        </w:tc>
        <w:tc>
          <w:tcPr>
            <w:tcW w:w="7313" w:type="dxa"/>
          </w:tcPr>
          <w:p w14:paraId="7474E04D" w14:textId="77777777" w:rsidR="00670FDB" w:rsidRPr="00C1269F" w:rsidRDefault="00670FDB" w:rsidP="00740E70">
            <w:pPr>
              <w:pStyle w:val="Tabletext"/>
              <w:rPr>
                <w:rFonts w:eastAsia="Calibri" w:cs="Calibri"/>
              </w:rPr>
            </w:pPr>
            <w:r w:rsidRPr="00496BC2">
              <w:rPr>
                <w:rFonts w:eastAsia="Calibri" w:cs="Calibri"/>
              </w:rPr>
              <w:t xml:space="preserve">According to the </w:t>
            </w:r>
            <w:r w:rsidRPr="00496BC2">
              <w:rPr>
                <w:rFonts w:eastAsia="Calibri" w:cs="Calibri"/>
                <w:i/>
              </w:rPr>
              <w:t>Crimes Act 1958</w:t>
            </w:r>
            <w:r w:rsidRPr="00496BC2">
              <w:rPr>
                <w:rFonts w:eastAsia="Calibri" w:cs="Calibri"/>
              </w:rPr>
              <w:t xml:space="preserve"> definition of sexual assault, a person (A) commits an offence if: </w:t>
            </w:r>
            <w:r w:rsidRPr="00496BC2">
              <w:t xml:space="preserve">A intentionally touches another person (B); and the touching is sexual; and B does not consent to the touching; and A does not reasonably believe that B consents to the touching. Sexual assault may also include behaviour that does not include actual touching such as </w:t>
            </w:r>
            <w:r w:rsidRPr="00496BC2">
              <w:rPr>
                <w:rFonts w:eastAsia="Calibri" w:cs="Calibri"/>
              </w:rPr>
              <w:t>forcing somebody to watch pornography or masturbation. For more information, refer to s 40 of the Crimes Act.</w:t>
            </w:r>
          </w:p>
        </w:tc>
      </w:tr>
      <w:tr w:rsidR="00670FDB" w14:paraId="7CB63A47" w14:textId="77777777" w:rsidTr="36F869AE">
        <w:tc>
          <w:tcPr>
            <w:tcW w:w="1975" w:type="dxa"/>
          </w:tcPr>
          <w:p w14:paraId="6C7321FF" w14:textId="77777777" w:rsidR="00670FDB" w:rsidRPr="00C1269F" w:rsidRDefault="00670FDB" w:rsidP="00740E70">
            <w:pPr>
              <w:pStyle w:val="Tabletext"/>
              <w:rPr>
                <w:b/>
                <w:bCs/>
              </w:rPr>
            </w:pPr>
            <w:bookmarkStart w:id="28" w:name="_Toc135312671"/>
            <w:r w:rsidRPr="00C1269F">
              <w:rPr>
                <w:b/>
                <w:bCs/>
              </w:rPr>
              <w:t>Sexual Harassment</w:t>
            </w:r>
            <w:bookmarkEnd w:id="28"/>
          </w:p>
          <w:p w14:paraId="17EC2DC6" w14:textId="77777777" w:rsidR="00670FDB" w:rsidRDefault="00670FDB" w:rsidP="00740E70">
            <w:pPr>
              <w:pStyle w:val="Tabletext"/>
            </w:pPr>
          </w:p>
        </w:tc>
        <w:tc>
          <w:tcPr>
            <w:tcW w:w="7313" w:type="dxa"/>
          </w:tcPr>
          <w:p w14:paraId="5AA4BB67" w14:textId="20F408B7" w:rsidR="00670FDB" w:rsidRPr="00C1269F" w:rsidRDefault="00670FDB" w:rsidP="008C0001">
            <w:pPr>
              <w:autoSpaceDE w:val="0"/>
              <w:autoSpaceDN w:val="0"/>
              <w:adjustRightInd w:val="0"/>
              <w:spacing w:after="0" w:line="240" w:lineRule="auto"/>
              <w:rPr>
                <w:rFonts w:ascii="CIDFont+F6" w:eastAsia="Calibri" w:hAnsi="CIDFont+F6" w:cs="CIDFont+F6"/>
                <w:sz w:val="22"/>
                <w:szCs w:val="22"/>
                <w:lang w:eastAsia="en-AU"/>
              </w:rPr>
            </w:pPr>
            <w:r>
              <w:t>Unwelcome sexual behaviour that causes a person to feel offended, humiliated or intimidated, where a reasonable person could have anticipated that reaction in the circumstances. It includes an unwelcome sexual advance; an unwelcome request for sexual favours; any other unwelcome conduct of a sexual nature. It can be physical, verbal or written (</w:t>
            </w:r>
            <w:r w:rsidRPr="008C0001">
              <w:rPr>
                <w:i/>
                <w:iCs/>
              </w:rPr>
              <w:t>Equal Opportunity Act 2010 (Vic)</w:t>
            </w:r>
            <w:r w:rsidRPr="008C0001">
              <w:rPr>
                <w:rFonts w:eastAsia="Calibri" w:cs="Calibri"/>
              </w:rPr>
              <w:t>).</w:t>
            </w:r>
            <w:r w:rsidR="6574D751" w:rsidRPr="008C0001">
              <w:rPr>
                <w:rFonts w:eastAsia="Calibri" w:cs="Arial"/>
              </w:rPr>
              <w:t xml:space="preserve"> The EO Act</w:t>
            </w:r>
            <w:r w:rsidR="6574D751" w:rsidRPr="006C03C7">
              <w:rPr>
                <w:rFonts w:eastAsia="Calibri" w:cs="Arial"/>
                <w:szCs w:val="21"/>
              </w:rPr>
              <w:t>,</w:t>
            </w:r>
            <w:r w:rsidR="6574D751" w:rsidRPr="0062548B">
              <w:rPr>
                <w:rFonts w:cs="Arial"/>
                <w:szCs w:val="21"/>
                <w:lang w:eastAsia="en-AU"/>
              </w:rPr>
              <w:t xml:space="preserve"> the </w:t>
            </w:r>
            <w:r w:rsidR="6574D751" w:rsidRPr="0062548B">
              <w:rPr>
                <w:rFonts w:cs="Arial"/>
                <w:i/>
                <w:iCs/>
                <w:szCs w:val="21"/>
                <w:lang w:eastAsia="en-AU"/>
              </w:rPr>
              <w:t>Sex Discrimination Act</w:t>
            </w:r>
            <w:r w:rsidR="2F12386E" w:rsidRPr="0062548B">
              <w:rPr>
                <w:rFonts w:cs="Arial"/>
                <w:i/>
                <w:iCs/>
                <w:szCs w:val="21"/>
                <w:lang w:eastAsia="en-AU"/>
              </w:rPr>
              <w:t xml:space="preserve"> 1984</w:t>
            </w:r>
            <w:r w:rsidR="523491C5" w:rsidRPr="0062548B">
              <w:rPr>
                <w:rFonts w:cs="Arial"/>
                <w:szCs w:val="21"/>
                <w:lang w:eastAsia="en-AU"/>
              </w:rPr>
              <w:t xml:space="preserve"> (Cth) and the </w:t>
            </w:r>
            <w:r w:rsidR="523491C5" w:rsidRPr="0062548B">
              <w:rPr>
                <w:rFonts w:cs="Arial"/>
                <w:i/>
                <w:iCs/>
                <w:szCs w:val="21"/>
                <w:lang w:eastAsia="en-AU"/>
              </w:rPr>
              <w:t>Fair Work Act 2009</w:t>
            </w:r>
            <w:r w:rsidR="523491C5" w:rsidRPr="0062548B">
              <w:rPr>
                <w:rFonts w:cs="Arial"/>
                <w:szCs w:val="21"/>
                <w:lang w:eastAsia="en-AU"/>
              </w:rPr>
              <w:t xml:space="preserve"> (Cth) establish that sexual harassment is unlawful in all circumstances.</w:t>
            </w:r>
          </w:p>
        </w:tc>
      </w:tr>
      <w:tr w:rsidR="00670FDB" w14:paraId="3C3ACB4E" w14:textId="77777777" w:rsidTr="36F869AE">
        <w:tc>
          <w:tcPr>
            <w:tcW w:w="1975" w:type="dxa"/>
          </w:tcPr>
          <w:p w14:paraId="75E6AA27" w14:textId="77777777" w:rsidR="00670FDB" w:rsidRPr="00C1269F" w:rsidRDefault="00670FDB" w:rsidP="00740E70">
            <w:pPr>
              <w:pStyle w:val="Tabletext"/>
              <w:rPr>
                <w:b/>
                <w:bCs/>
              </w:rPr>
            </w:pPr>
            <w:bookmarkStart w:id="29" w:name="_Toc135312672"/>
            <w:r w:rsidRPr="00C1269F">
              <w:rPr>
                <w:b/>
                <w:bCs/>
              </w:rPr>
              <w:t>Sexual Activity</w:t>
            </w:r>
            <w:bookmarkEnd w:id="29"/>
          </w:p>
          <w:p w14:paraId="2D1A9DD2" w14:textId="77777777" w:rsidR="00670FDB" w:rsidRDefault="00670FDB" w:rsidP="00740E70">
            <w:pPr>
              <w:pStyle w:val="Tabletext"/>
            </w:pPr>
          </w:p>
        </w:tc>
        <w:tc>
          <w:tcPr>
            <w:tcW w:w="7313" w:type="dxa"/>
          </w:tcPr>
          <w:p w14:paraId="71253A4F" w14:textId="77777777" w:rsidR="00670FDB" w:rsidRDefault="00670FDB" w:rsidP="00740E70">
            <w:pPr>
              <w:pStyle w:val="Tabletext"/>
            </w:pPr>
            <w:r>
              <w:t>A</w:t>
            </w:r>
            <w:r w:rsidRPr="36F869AE">
              <w:rPr>
                <w:rStyle w:val="normaltextrun"/>
              </w:rPr>
              <w:t xml:space="preserve">n activity may be sexual due to (a) the area of the body that is involved in the activity, including (but not limited to) the genital or anal region, the buttocks or, the breasts; or (b) the fact that the person engaging in the activity seeks or gets sexual arousal or sexual gratification from the activity; or (c) any other aspect of the activity, including the circumstances in which it is engaged in (Crimes Act, s 35D). Sexual activity may be consensual or non-consensual (refer to Crimes Act). Consensual sexual activity is not a crime. </w:t>
            </w:r>
            <w:r>
              <w:t xml:space="preserve">All sexual activity in mental health units is reportable. </w:t>
            </w:r>
          </w:p>
        </w:tc>
      </w:tr>
      <w:tr w:rsidR="00670FDB" w14:paraId="7E551588" w14:textId="77777777" w:rsidTr="36F869AE">
        <w:tc>
          <w:tcPr>
            <w:tcW w:w="1975" w:type="dxa"/>
          </w:tcPr>
          <w:p w14:paraId="36964AAD" w14:textId="77777777" w:rsidR="00670FDB" w:rsidRPr="00C1269F" w:rsidRDefault="00670FDB" w:rsidP="00740E70">
            <w:pPr>
              <w:pStyle w:val="Tabletext"/>
              <w:rPr>
                <w:b/>
                <w:bCs/>
              </w:rPr>
            </w:pPr>
            <w:bookmarkStart w:id="30" w:name="_Toc135312673"/>
            <w:r w:rsidRPr="00C1269F">
              <w:rPr>
                <w:b/>
                <w:bCs/>
              </w:rPr>
              <w:t xml:space="preserve">Sexual </w:t>
            </w:r>
            <w:r>
              <w:rPr>
                <w:b/>
                <w:bCs/>
              </w:rPr>
              <w:t>–</w:t>
            </w:r>
            <w:r w:rsidRPr="00C1269F">
              <w:rPr>
                <w:b/>
                <w:bCs/>
              </w:rPr>
              <w:t xml:space="preserve"> Other</w:t>
            </w:r>
            <w:bookmarkEnd w:id="30"/>
          </w:p>
          <w:p w14:paraId="3EBB926F" w14:textId="77777777" w:rsidR="00670FDB" w:rsidRDefault="00670FDB" w:rsidP="00740E70">
            <w:pPr>
              <w:pStyle w:val="Tabletext"/>
            </w:pPr>
          </w:p>
        </w:tc>
        <w:tc>
          <w:tcPr>
            <w:tcW w:w="7313" w:type="dxa"/>
          </w:tcPr>
          <w:p w14:paraId="3CED8005" w14:textId="77777777" w:rsidR="00670FDB" w:rsidRDefault="00670FDB" w:rsidP="00740E70">
            <w:pPr>
              <w:pStyle w:val="Tabletext"/>
            </w:pPr>
            <w:r>
              <w:t>A sexualised incident that does not fit any of the categories outlined above – for example, undressing in front of another person or sexually disinhibited behaviour that is not targeted.</w:t>
            </w:r>
          </w:p>
        </w:tc>
      </w:tr>
    </w:tbl>
    <w:p w14:paraId="44926902" w14:textId="2E042C73" w:rsidR="004B40C9" w:rsidRDefault="004B40C9" w:rsidP="00670FDB">
      <w:pPr>
        <w:pStyle w:val="Heading2"/>
      </w:pPr>
      <w:bookmarkStart w:id="31" w:name="_Toc135312674"/>
      <w:bookmarkStart w:id="32" w:name="_Ref139180993"/>
      <w:bookmarkStart w:id="33" w:name="_Toc139183505"/>
      <w:bookmarkStart w:id="34" w:name="_Toc147761580"/>
    </w:p>
    <w:p w14:paraId="712A016E" w14:textId="77777777" w:rsidR="004B40C9" w:rsidRDefault="004B40C9">
      <w:pPr>
        <w:spacing w:after="0" w:line="240" w:lineRule="auto"/>
        <w:rPr>
          <w:b/>
          <w:color w:val="53565A"/>
          <w:sz w:val="32"/>
          <w:szCs w:val="28"/>
        </w:rPr>
      </w:pPr>
      <w:r>
        <w:br w:type="page"/>
      </w:r>
    </w:p>
    <w:p w14:paraId="19F7A09A" w14:textId="67EE85DD" w:rsidR="00670FDB" w:rsidRPr="00C86C60" w:rsidRDefault="00670FDB" w:rsidP="004B40C9">
      <w:pPr>
        <w:pStyle w:val="Heading2"/>
      </w:pPr>
      <w:r w:rsidRPr="00C86C60">
        <w:lastRenderedPageBreak/>
        <w:t>Tips for using VHIMS/</w:t>
      </w:r>
      <w:bookmarkEnd w:id="31"/>
      <w:bookmarkEnd w:id="32"/>
      <w:bookmarkEnd w:id="33"/>
      <w:proofErr w:type="spellStart"/>
      <w:r w:rsidRPr="00C86C60">
        <w:t>Risk</w:t>
      </w:r>
      <w:r>
        <w:t>M</w:t>
      </w:r>
      <w:r w:rsidRPr="00C86C60">
        <w:t>an</w:t>
      </w:r>
      <w:bookmarkEnd w:id="34"/>
      <w:proofErr w:type="spellEnd"/>
    </w:p>
    <w:p w14:paraId="4BD8FD73" w14:textId="77777777" w:rsidR="00670FDB" w:rsidRPr="00722B36" w:rsidRDefault="00670FDB" w:rsidP="00670FDB">
      <w:pPr>
        <w:pStyle w:val="Body"/>
      </w:pPr>
      <w:r w:rsidRPr="00722B36">
        <w:t>Health services use Risk</w:t>
      </w:r>
      <w:r>
        <w:t>M</w:t>
      </w:r>
      <w:r w:rsidRPr="00722B36">
        <w:t>an or VHIMS CS to report incidents to VHIMS. There is variation in how these interfaces have been set up</w:t>
      </w:r>
      <w:r>
        <w:t>,</w:t>
      </w:r>
      <w:r w:rsidRPr="00722B36">
        <w:t xml:space="preserve"> and the field names are not uniform across health services. </w:t>
      </w:r>
    </w:p>
    <w:p w14:paraId="5E8005E2" w14:textId="25BAE4AE" w:rsidR="00670FDB" w:rsidRPr="00722B36" w:rsidRDefault="00670FDB" w:rsidP="00670FDB">
      <w:pPr>
        <w:pStyle w:val="Body"/>
      </w:pPr>
      <w:r w:rsidRPr="00722B36">
        <w:t>To report sexual safety data accurately</w:t>
      </w:r>
      <w:r w:rsidR="00125FA2">
        <w:t>,</w:t>
      </w:r>
      <w:r w:rsidRPr="00722B36">
        <w:t xml:space="preserve"> certain fields </w:t>
      </w:r>
      <w:r>
        <w:t>must</w:t>
      </w:r>
      <w:r w:rsidRPr="00722B36">
        <w:t xml:space="preserve"> be completed.</w:t>
      </w:r>
    </w:p>
    <w:p w14:paraId="706E9886" w14:textId="77777777" w:rsidR="00670FDB" w:rsidRPr="00722B36" w:rsidRDefault="00670FDB" w:rsidP="00670FDB">
      <w:pPr>
        <w:pStyle w:val="Heading3"/>
      </w:pPr>
      <w:bookmarkStart w:id="35" w:name="_Toc139183506"/>
      <w:r w:rsidRPr="00722B36">
        <w:t xml:space="preserve">Event </w:t>
      </w:r>
      <w:bookmarkEnd w:id="35"/>
      <w:r>
        <w:t>t</w:t>
      </w:r>
      <w:r w:rsidRPr="00722B36">
        <w:t>ype</w:t>
      </w:r>
    </w:p>
    <w:p w14:paraId="5DDE3C52" w14:textId="1C1AED56" w:rsidR="00670FDB" w:rsidRPr="00722B36" w:rsidRDefault="00670FDB" w:rsidP="00670FDB">
      <w:pPr>
        <w:pStyle w:val="Body"/>
      </w:pPr>
      <w:r w:rsidRPr="00722B36">
        <w:t>This field identifies sexual safety incidents and should be used to extract data to send to the OCP. This field may have a different name at some services</w:t>
      </w:r>
      <w:r>
        <w:t xml:space="preserve"> –</w:t>
      </w:r>
      <w:r w:rsidRPr="00722B36">
        <w:t xml:space="preserve"> for example</w:t>
      </w:r>
      <w:r>
        <w:t>,</w:t>
      </w:r>
      <w:r w:rsidRPr="00722B36">
        <w:t xml:space="preserve"> ‘</w:t>
      </w:r>
      <w:r>
        <w:t>I</w:t>
      </w:r>
      <w:r w:rsidRPr="00722B36">
        <w:t>ncident type’. To identify sexual safety incidents</w:t>
      </w:r>
      <w:r w:rsidR="00C80439">
        <w:t>,</w:t>
      </w:r>
      <w:r w:rsidRPr="00722B36">
        <w:t xml:space="preserve"> the following pathway should be followed:</w:t>
      </w:r>
    </w:p>
    <w:tbl>
      <w:tblPr>
        <w:tblStyle w:val="TableGrid"/>
        <w:tblW w:w="0" w:type="auto"/>
        <w:tblLook w:val="0620" w:firstRow="1" w:lastRow="0" w:firstColumn="0" w:lastColumn="0" w:noHBand="1" w:noVBand="1"/>
      </w:tblPr>
      <w:tblGrid>
        <w:gridCol w:w="2689"/>
        <w:gridCol w:w="6599"/>
      </w:tblGrid>
      <w:tr w:rsidR="00670FDB" w:rsidRPr="00722B36" w14:paraId="5186E2FC" w14:textId="77777777" w:rsidTr="7D313712">
        <w:trPr>
          <w:tblHeader/>
        </w:trPr>
        <w:tc>
          <w:tcPr>
            <w:tcW w:w="2689" w:type="dxa"/>
            <w:shd w:val="clear" w:color="auto" w:fill="FAE0E6"/>
          </w:tcPr>
          <w:p w14:paraId="31BD0881" w14:textId="77777777" w:rsidR="00670FDB" w:rsidRPr="004B40C9" w:rsidRDefault="00670FDB" w:rsidP="004B40C9">
            <w:pPr>
              <w:pStyle w:val="Tablecolhead"/>
              <w:rPr>
                <w:color w:val="000000" w:themeColor="text1"/>
              </w:rPr>
            </w:pPr>
            <w:r w:rsidRPr="004B40C9">
              <w:rPr>
                <w:color w:val="000000" w:themeColor="text1"/>
              </w:rPr>
              <w:t>VHIMS field</w:t>
            </w:r>
          </w:p>
        </w:tc>
        <w:tc>
          <w:tcPr>
            <w:tcW w:w="6599" w:type="dxa"/>
            <w:shd w:val="clear" w:color="auto" w:fill="FAE0E6"/>
          </w:tcPr>
          <w:p w14:paraId="3BFC1A39" w14:textId="77777777" w:rsidR="00670FDB" w:rsidRPr="004B40C9" w:rsidRDefault="00670FDB" w:rsidP="004B40C9">
            <w:pPr>
              <w:pStyle w:val="Tablecolhead"/>
              <w:rPr>
                <w:color w:val="000000" w:themeColor="text1"/>
              </w:rPr>
            </w:pPr>
            <w:r w:rsidRPr="004B40C9">
              <w:rPr>
                <w:color w:val="000000" w:themeColor="text1"/>
              </w:rPr>
              <w:t>Response</w:t>
            </w:r>
          </w:p>
        </w:tc>
      </w:tr>
      <w:tr w:rsidR="00670FDB" w:rsidRPr="00722B36" w14:paraId="2E36C716" w14:textId="77777777" w:rsidTr="7D313712">
        <w:tc>
          <w:tcPr>
            <w:tcW w:w="2689" w:type="dxa"/>
          </w:tcPr>
          <w:p w14:paraId="3EBEB510" w14:textId="77777777" w:rsidR="00670FDB" w:rsidRPr="003A3558" w:rsidRDefault="00670FDB" w:rsidP="00740E70">
            <w:pPr>
              <w:pStyle w:val="Tabletext"/>
              <w:rPr>
                <w:b/>
                <w:bCs/>
              </w:rPr>
            </w:pPr>
            <w:r w:rsidRPr="003A3558">
              <w:rPr>
                <w:b/>
                <w:bCs/>
              </w:rPr>
              <w:t>Event type</w:t>
            </w:r>
          </w:p>
        </w:tc>
        <w:tc>
          <w:tcPr>
            <w:tcW w:w="6599" w:type="dxa"/>
          </w:tcPr>
          <w:p w14:paraId="353506A6" w14:textId="77777777" w:rsidR="00670FDB" w:rsidRPr="00722B36" w:rsidRDefault="00670FDB" w:rsidP="00740E70">
            <w:pPr>
              <w:pStyle w:val="Tabletext"/>
            </w:pPr>
            <w:r w:rsidRPr="00722B36">
              <w:t xml:space="preserve">Behaviour (for clinical incidents) </w:t>
            </w:r>
          </w:p>
          <w:p w14:paraId="4E4CCDFE" w14:textId="77777777" w:rsidR="00670FDB" w:rsidRPr="00722B36" w:rsidRDefault="00670FDB" w:rsidP="00740E70">
            <w:pPr>
              <w:pStyle w:val="Tabletext"/>
            </w:pPr>
            <w:r w:rsidRPr="00580978">
              <w:rPr>
                <w:i/>
              </w:rPr>
              <w:t>or</w:t>
            </w:r>
            <w:r w:rsidRPr="00722B36">
              <w:t xml:space="preserve"> </w:t>
            </w:r>
            <w:r>
              <w:t>‘</w:t>
            </w:r>
            <w:r w:rsidRPr="00722B36">
              <w:t>Aggression/Behaviour</w:t>
            </w:r>
            <w:r>
              <w:t>’</w:t>
            </w:r>
            <w:r w:rsidRPr="00722B36">
              <w:t xml:space="preserve"> for OHS </w:t>
            </w:r>
            <w:r>
              <w:t>s</w:t>
            </w:r>
            <w:r w:rsidRPr="00722B36">
              <w:t xml:space="preserve">taff incidents </w:t>
            </w:r>
          </w:p>
          <w:p w14:paraId="7387723F" w14:textId="77777777" w:rsidR="00670FDB" w:rsidRPr="00722B36" w:rsidRDefault="00670FDB" w:rsidP="00740E70">
            <w:pPr>
              <w:pStyle w:val="Tabletext"/>
            </w:pPr>
            <w:r w:rsidRPr="00580978">
              <w:rPr>
                <w:i/>
                <w:iCs/>
              </w:rPr>
              <w:t>or</w:t>
            </w:r>
            <w:r w:rsidRPr="00722B36">
              <w:t xml:space="preserve"> </w:t>
            </w:r>
            <w:r>
              <w:t>‘</w:t>
            </w:r>
            <w:r w:rsidRPr="00722B36">
              <w:t>Aggression/Behaviour</w:t>
            </w:r>
            <w:r>
              <w:t>’</w:t>
            </w:r>
            <w:r w:rsidRPr="00722B36">
              <w:t xml:space="preserve"> for OHS </w:t>
            </w:r>
            <w:r>
              <w:t>v</w:t>
            </w:r>
            <w:r w:rsidRPr="00722B36">
              <w:t>isitor incidents</w:t>
            </w:r>
          </w:p>
        </w:tc>
      </w:tr>
      <w:tr w:rsidR="00670FDB" w:rsidRPr="00722B36" w14:paraId="19E2CDF5" w14:textId="77777777" w:rsidTr="7D313712">
        <w:tc>
          <w:tcPr>
            <w:tcW w:w="2689" w:type="dxa"/>
          </w:tcPr>
          <w:p w14:paraId="06805590" w14:textId="77777777" w:rsidR="00670FDB" w:rsidRPr="003A3558" w:rsidRDefault="00670FDB" w:rsidP="00740E70">
            <w:pPr>
              <w:pStyle w:val="Tabletext"/>
              <w:rPr>
                <w:b/>
                <w:bCs/>
              </w:rPr>
            </w:pPr>
            <w:r w:rsidRPr="003A3558">
              <w:rPr>
                <w:b/>
                <w:bCs/>
              </w:rPr>
              <w:t>Behaviour problem</w:t>
            </w:r>
          </w:p>
        </w:tc>
        <w:tc>
          <w:tcPr>
            <w:tcW w:w="6599" w:type="dxa"/>
          </w:tcPr>
          <w:p w14:paraId="2CFF879D" w14:textId="4F9DB259" w:rsidR="00670FDB" w:rsidRPr="00722B36" w:rsidRDefault="00670FDB" w:rsidP="00740E70">
            <w:pPr>
              <w:pStyle w:val="Tabletext"/>
            </w:pPr>
            <w:r>
              <w:t>Sexual</w:t>
            </w:r>
            <w:r w:rsidR="07EF3D79">
              <w:t xml:space="preserve"> Assault</w:t>
            </w:r>
          </w:p>
          <w:p w14:paraId="5E299898" w14:textId="6A381346" w:rsidR="00670FDB" w:rsidRPr="00722B36" w:rsidRDefault="07EF3D79" w:rsidP="00740E70">
            <w:pPr>
              <w:pStyle w:val="Tabletext"/>
            </w:pPr>
            <w:r>
              <w:t xml:space="preserve">Sexual </w:t>
            </w:r>
            <w:r w:rsidR="2C8A7ACF">
              <w:t>Harassment</w:t>
            </w:r>
          </w:p>
          <w:p w14:paraId="60B417FA" w14:textId="66567804" w:rsidR="00670FDB" w:rsidRPr="00722B36" w:rsidRDefault="07EF3D79" w:rsidP="00740E70">
            <w:pPr>
              <w:pStyle w:val="Tabletext"/>
            </w:pPr>
            <w:r>
              <w:t xml:space="preserve">Sexual Activity </w:t>
            </w:r>
          </w:p>
          <w:p w14:paraId="4FC6D4E9" w14:textId="3C8C83B4" w:rsidR="00670FDB" w:rsidRPr="00722B36" w:rsidRDefault="07EF3D79" w:rsidP="00740E70">
            <w:pPr>
              <w:pStyle w:val="Tabletext"/>
            </w:pPr>
            <w:r>
              <w:t>Sexual Other</w:t>
            </w:r>
          </w:p>
        </w:tc>
      </w:tr>
    </w:tbl>
    <w:p w14:paraId="4B6F70EC" w14:textId="6935EB49" w:rsidR="00670FDB" w:rsidRDefault="00670FDB" w:rsidP="008C0001">
      <w:pPr>
        <w:pStyle w:val="Heading3"/>
      </w:pPr>
      <w:bookmarkStart w:id="36" w:name="_Toc139183507"/>
      <w:r>
        <w:t>Identifying the a</w:t>
      </w:r>
      <w:r w:rsidR="5502323B">
        <w:t>ffected person</w:t>
      </w:r>
      <w:r w:rsidR="4BA378C0">
        <w:t xml:space="preserve"> in a sexual safety incident and the a</w:t>
      </w:r>
      <w:r>
        <w:t xml:space="preserve">lleged instigator (when relevant) </w:t>
      </w:r>
      <w:bookmarkEnd w:id="36"/>
    </w:p>
    <w:p w14:paraId="0332E4D4" w14:textId="272ACC95" w:rsidR="00670FDB" w:rsidRPr="00722B36" w:rsidRDefault="00670FDB" w:rsidP="00670FDB">
      <w:pPr>
        <w:pStyle w:val="Body"/>
      </w:pPr>
      <w:r>
        <w:t xml:space="preserve">In sexual safety incidents there </w:t>
      </w:r>
      <w:r w:rsidR="001A23C9">
        <w:t xml:space="preserve">will be </w:t>
      </w:r>
      <w:r w:rsidR="3C630C39">
        <w:t xml:space="preserve">the </w:t>
      </w:r>
      <w:r>
        <w:t xml:space="preserve">affected person (victim), </w:t>
      </w:r>
      <w:r w:rsidR="009803C6">
        <w:t xml:space="preserve">and there may be an alleged instigator (perpetrator) </w:t>
      </w:r>
      <w:r>
        <w:t xml:space="preserve">or there may be only affected persons and no instigator. It is important that each VHIMS entry identifies who the </w:t>
      </w:r>
      <w:r w:rsidR="342AE02E">
        <w:t>affected</w:t>
      </w:r>
      <w:r>
        <w:t xml:space="preserve"> part</w:t>
      </w:r>
      <w:r w:rsidR="745B4C0E">
        <w:t>y is</w:t>
      </w:r>
      <w:r>
        <w:t xml:space="preserve"> </w:t>
      </w:r>
      <w:r w:rsidR="5C35EA64">
        <w:t xml:space="preserve">and the instigator </w:t>
      </w:r>
      <w:r>
        <w:t>when applicable.</w:t>
      </w:r>
    </w:p>
    <w:tbl>
      <w:tblPr>
        <w:tblStyle w:val="TableGridLight"/>
        <w:tblW w:w="0" w:type="auto"/>
        <w:tblLook w:val="0620" w:firstRow="1" w:lastRow="0" w:firstColumn="0" w:lastColumn="0" w:noHBand="1" w:noVBand="1"/>
      </w:tblPr>
      <w:tblGrid>
        <w:gridCol w:w="2689"/>
        <w:gridCol w:w="6599"/>
      </w:tblGrid>
      <w:tr w:rsidR="630A6DA8" w14:paraId="2A88D096" w14:textId="77777777" w:rsidTr="008C0001">
        <w:trPr>
          <w:trHeight w:val="300"/>
          <w:tblHeader/>
        </w:trPr>
        <w:tc>
          <w:tcPr>
            <w:tcW w:w="2689" w:type="dxa"/>
            <w:shd w:val="clear" w:color="auto" w:fill="F2DBDB" w:themeFill="accent2" w:themeFillTint="33"/>
          </w:tcPr>
          <w:p w14:paraId="2A64915D" w14:textId="106AA8B3" w:rsidR="31E31AF8" w:rsidRPr="004B40C9" w:rsidRDefault="31E31AF8" w:rsidP="630A6DA8">
            <w:pPr>
              <w:pStyle w:val="Tablecolhead"/>
              <w:rPr>
                <w:color w:val="000000" w:themeColor="text1"/>
              </w:rPr>
            </w:pPr>
            <w:r w:rsidRPr="004B40C9">
              <w:rPr>
                <w:color w:val="000000" w:themeColor="text1"/>
              </w:rPr>
              <w:t>VHIMS field</w:t>
            </w:r>
          </w:p>
        </w:tc>
        <w:tc>
          <w:tcPr>
            <w:tcW w:w="6599" w:type="dxa"/>
            <w:shd w:val="clear" w:color="auto" w:fill="F2DBDB" w:themeFill="accent2" w:themeFillTint="33"/>
          </w:tcPr>
          <w:p w14:paraId="55FB85F5" w14:textId="4FD02BBC" w:rsidR="31E31AF8" w:rsidRPr="004B40C9" w:rsidRDefault="401F634B" w:rsidP="0062548B">
            <w:pPr>
              <w:pStyle w:val="Tablecolhead"/>
              <w:rPr>
                <w:color w:val="000000" w:themeColor="text1"/>
              </w:rPr>
            </w:pPr>
            <w:r w:rsidRPr="004B40C9">
              <w:rPr>
                <w:color w:val="000000" w:themeColor="text1"/>
              </w:rPr>
              <w:t>Identifying affected person</w:t>
            </w:r>
          </w:p>
        </w:tc>
      </w:tr>
      <w:tr w:rsidR="630A6DA8" w14:paraId="6C70FB58" w14:textId="77777777" w:rsidTr="008C0001">
        <w:trPr>
          <w:trHeight w:val="300"/>
          <w:tblHeader/>
        </w:trPr>
        <w:tc>
          <w:tcPr>
            <w:tcW w:w="2689" w:type="dxa"/>
          </w:tcPr>
          <w:p w14:paraId="534C2DF2" w14:textId="022E1608" w:rsidR="437B3164" w:rsidRPr="004B40C9" w:rsidRDefault="4F3DA54F" w:rsidP="008C0001">
            <w:pPr>
              <w:pStyle w:val="Tabletext"/>
              <w:spacing w:line="259" w:lineRule="auto"/>
              <w:rPr>
                <w:b/>
                <w:bCs/>
                <w:color w:val="000000" w:themeColor="text1"/>
              </w:rPr>
            </w:pPr>
            <w:r w:rsidRPr="004B40C9">
              <w:rPr>
                <w:b/>
                <w:bCs/>
                <w:color w:val="000000" w:themeColor="text1"/>
              </w:rPr>
              <w:t xml:space="preserve">Event type / </w:t>
            </w:r>
            <w:r w:rsidR="4E0438C8" w:rsidRPr="004B40C9">
              <w:rPr>
                <w:b/>
                <w:bCs/>
                <w:color w:val="000000" w:themeColor="text1"/>
              </w:rPr>
              <w:t>A</w:t>
            </w:r>
            <w:r w:rsidR="24CA6255" w:rsidRPr="004B40C9">
              <w:rPr>
                <w:b/>
                <w:bCs/>
                <w:color w:val="000000" w:themeColor="text1"/>
              </w:rPr>
              <w:t>ffected</w:t>
            </w:r>
            <w:r w:rsidRPr="004B40C9">
              <w:rPr>
                <w:b/>
                <w:bCs/>
                <w:color w:val="000000" w:themeColor="text1"/>
              </w:rPr>
              <w:t xml:space="preserve"> person (victim) </w:t>
            </w:r>
          </w:p>
        </w:tc>
        <w:tc>
          <w:tcPr>
            <w:tcW w:w="6599" w:type="dxa"/>
          </w:tcPr>
          <w:p w14:paraId="024DB96F" w14:textId="72C9754F" w:rsidR="66B86C02" w:rsidRPr="004B40C9" w:rsidRDefault="33C85989" w:rsidP="008C0001">
            <w:pPr>
              <w:pStyle w:val="Tabletext"/>
              <w:rPr>
                <w:color w:val="000000" w:themeColor="text1"/>
              </w:rPr>
            </w:pPr>
            <w:r w:rsidRPr="004B40C9">
              <w:rPr>
                <w:color w:val="000000" w:themeColor="text1"/>
              </w:rPr>
              <w:t xml:space="preserve">When you respond to </w:t>
            </w:r>
            <w:r w:rsidR="00B26D4A" w:rsidRPr="004B40C9">
              <w:rPr>
                <w:color w:val="000000" w:themeColor="text1"/>
              </w:rPr>
              <w:t>‘</w:t>
            </w:r>
            <w:r w:rsidRPr="004B40C9">
              <w:rPr>
                <w:color w:val="000000" w:themeColor="text1"/>
              </w:rPr>
              <w:t>Event type</w:t>
            </w:r>
            <w:r w:rsidR="00B26D4A" w:rsidRPr="004B40C9">
              <w:rPr>
                <w:color w:val="000000" w:themeColor="text1"/>
              </w:rPr>
              <w:t>’</w:t>
            </w:r>
            <w:r w:rsidRPr="004B40C9">
              <w:rPr>
                <w:color w:val="000000" w:themeColor="text1"/>
              </w:rPr>
              <w:t xml:space="preserve"> as behaviour</w:t>
            </w:r>
            <w:r w:rsidR="00967890" w:rsidRPr="004B40C9">
              <w:rPr>
                <w:color w:val="000000" w:themeColor="text1"/>
              </w:rPr>
              <w:t>,</w:t>
            </w:r>
            <w:r w:rsidRPr="004B40C9">
              <w:rPr>
                <w:color w:val="000000" w:themeColor="text1"/>
              </w:rPr>
              <w:t xml:space="preserve"> you will be prompted to select Mental Health and then select the relevant sexu</w:t>
            </w:r>
            <w:r w:rsidR="689A1EDC" w:rsidRPr="004B40C9">
              <w:rPr>
                <w:color w:val="000000" w:themeColor="text1"/>
              </w:rPr>
              <w:t>al safety incident category.</w:t>
            </w:r>
            <w:r w:rsidR="00156480" w:rsidRPr="004B40C9">
              <w:rPr>
                <w:color w:val="000000" w:themeColor="text1"/>
              </w:rPr>
              <w:t xml:space="preserve"> </w:t>
            </w:r>
            <w:r w:rsidR="689A1EDC" w:rsidRPr="004B40C9">
              <w:rPr>
                <w:color w:val="000000" w:themeColor="text1"/>
              </w:rPr>
              <w:t>In the</w:t>
            </w:r>
            <w:r w:rsidR="1CB1609E" w:rsidRPr="004B40C9">
              <w:rPr>
                <w:color w:val="000000" w:themeColor="text1"/>
              </w:rPr>
              <w:t xml:space="preserve"> report you will provide information regarding the person affected by the incident. </w:t>
            </w:r>
          </w:p>
        </w:tc>
      </w:tr>
      <w:tr w:rsidR="630A6DA8" w14:paraId="462E195C" w14:textId="77777777" w:rsidTr="008C0001">
        <w:trPr>
          <w:trHeight w:val="300"/>
          <w:tblHeader/>
        </w:trPr>
        <w:tc>
          <w:tcPr>
            <w:tcW w:w="2689" w:type="dxa"/>
            <w:shd w:val="clear" w:color="auto" w:fill="F2DBDB" w:themeFill="accent2" w:themeFillTint="33"/>
          </w:tcPr>
          <w:p w14:paraId="670921EE" w14:textId="72057D1B" w:rsidR="79A7AB58" w:rsidRPr="004B40C9" w:rsidRDefault="79A7AB58" w:rsidP="630A6DA8">
            <w:pPr>
              <w:pStyle w:val="Tablecolhead"/>
              <w:rPr>
                <w:color w:val="000000" w:themeColor="text1"/>
              </w:rPr>
            </w:pPr>
            <w:r w:rsidRPr="004B40C9">
              <w:rPr>
                <w:color w:val="000000" w:themeColor="text1"/>
              </w:rPr>
              <w:t>VHIMS field</w:t>
            </w:r>
          </w:p>
        </w:tc>
        <w:tc>
          <w:tcPr>
            <w:tcW w:w="6599" w:type="dxa"/>
            <w:shd w:val="clear" w:color="auto" w:fill="F2DBDB" w:themeFill="accent2" w:themeFillTint="33"/>
          </w:tcPr>
          <w:p w14:paraId="4B3CBD53" w14:textId="30A81126" w:rsidR="79A7AB58" w:rsidRPr="004B40C9" w:rsidRDefault="79A7AB58" w:rsidP="630A6DA8">
            <w:pPr>
              <w:pStyle w:val="Tablecolhead"/>
              <w:rPr>
                <w:color w:val="000000" w:themeColor="text1"/>
              </w:rPr>
            </w:pPr>
            <w:r w:rsidRPr="004B40C9">
              <w:rPr>
                <w:color w:val="000000" w:themeColor="text1"/>
              </w:rPr>
              <w:t xml:space="preserve">Identifying alleged instigator </w:t>
            </w:r>
            <w:r w:rsidR="1760B3D2" w:rsidRPr="004B40C9">
              <w:rPr>
                <w:color w:val="000000" w:themeColor="text1"/>
              </w:rPr>
              <w:t>of the event*</w:t>
            </w:r>
          </w:p>
        </w:tc>
      </w:tr>
      <w:tr w:rsidR="7D313712" w14:paraId="13CE755A" w14:textId="77777777" w:rsidTr="008C0001">
        <w:trPr>
          <w:trHeight w:val="300"/>
        </w:trPr>
        <w:tc>
          <w:tcPr>
            <w:tcW w:w="2689" w:type="dxa"/>
          </w:tcPr>
          <w:p w14:paraId="3B12DD4C" w14:textId="0FBA86F3" w:rsidR="6CFE1EC2" w:rsidRDefault="6CFE1EC2" w:rsidP="7D313712">
            <w:pPr>
              <w:pStyle w:val="Tabletext"/>
              <w:rPr>
                <w:b/>
                <w:bCs/>
              </w:rPr>
            </w:pPr>
            <w:r w:rsidRPr="7D313712">
              <w:rPr>
                <w:b/>
                <w:bCs/>
              </w:rPr>
              <w:t xml:space="preserve">Event type / </w:t>
            </w:r>
            <w:r w:rsidR="00F31EE0">
              <w:rPr>
                <w:b/>
                <w:bCs/>
              </w:rPr>
              <w:t>Instigator</w:t>
            </w:r>
            <w:r w:rsidR="00C83CB7">
              <w:rPr>
                <w:b/>
                <w:bCs/>
              </w:rPr>
              <w:t xml:space="preserve"> / patient admitted </w:t>
            </w:r>
          </w:p>
        </w:tc>
        <w:tc>
          <w:tcPr>
            <w:tcW w:w="6599" w:type="dxa"/>
          </w:tcPr>
          <w:p w14:paraId="6918C596" w14:textId="4358AD06" w:rsidR="38776C5C" w:rsidRDefault="29E736D4" w:rsidP="7D313712">
            <w:pPr>
              <w:pStyle w:val="Tabletext"/>
            </w:pPr>
            <w:r>
              <w:t>In the</w:t>
            </w:r>
            <w:r w:rsidR="2445E1AE">
              <w:t xml:space="preserve"> report of a sexual safety incident for an affected person, in the </w:t>
            </w:r>
            <w:r>
              <w:t xml:space="preserve">column </w:t>
            </w:r>
            <w:r w:rsidR="2F6AB1CD">
              <w:t>labelled</w:t>
            </w:r>
            <w:r>
              <w:t xml:space="preserve"> </w:t>
            </w:r>
            <w:r w:rsidR="00B26D4A">
              <w:t>‘</w:t>
            </w:r>
            <w:r>
              <w:t>Instigator</w:t>
            </w:r>
            <w:r w:rsidR="00B26D4A">
              <w:t>’</w:t>
            </w:r>
            <w:r>
              <w:t xml:space="preserve">, select from the drop-down option </w:t>
            </w:r>
            <w:r w:rsidR="00794CE3">
              <w:t>‘</w:t>
            </w:r>
            <w:r w:rsidR="4F6946EF">
              <w:t>P</w:t>
            </w:r>
            <w:r w:rsidR="2F6AB1CD">
              <w:t xml:space="preserve">atient </w:t>
            </w:r>
            <w:r w:rsidR="4B80CD51">
              <w:t>a</w:t>
            </w:r>
            <w:r w:rsidR="2F6AB1CD">
              <w:t>dmitted</w:t>
            </w:r>
            <w:r w:rsidR="000E2A3E">
              <w:t>’</w:t>
            </w:r>
            <w:r w:rsidR="039C6EE5">
              <w:t xml:space="preserve"> if the alleged instigator was an admitted consumer</w:t>
            </w:r>
            <w:r w:rsidR="7E60269F">
              <w:t>.</w:t>
            </w:r>
            <w:r w:rsidR="51CBF8F8">
              <w:t xml:space="preserve"> </w:t>
            </w:r>
            <w:r w:rsidR="32632786">
              <w:t>This will trigger the need to enter more information.</w:t>
            </w:r>
            <w:r w:rsidR="32632786" w:rsidRPr="630A6DA8">
              <w:rPr>
                <w:rStyle w:val="CommentReference"/>
              </w:rPr>
              <w:t xml:space="preserve"> </w:t>
            </w:r>
          </w:p>
        </w:tc>
      </w:tr>
      <w:tr w:rsidR="00670FDB" w:rsidRPr="00722B36" w14:paraId="3D695641" w14:textId="77777777" w:rsidTr="008C0001">
        <w:trPr>
          <w:trHeight w:val="300"/>
        </w:trPr>
        <w:tc>
          <w:tcPr>
            <w:tcW w:w="2689" w:type="dxa"/>
          </w:tcPr>
          <w:p w14:paraId="7A53AB42" w14:textId="3BFC3DE9" w:rsidR="00670FDB" w:rsidRPr="003A3558" w:rsidRDefault="00670FDB" w:rsidP="00740E70">
            <w:pPr>
              <w:pStyle w:val="Tabletext"/>
              <w:rPr>
                <w:b/>
                <w:bCs/>
              </w:rPr>
            </w:pPr>
            <w:r w:rsidRPr="008C0001">
              <w:rPr>
                <w:b/>
                <w:bCs/>
              </w:rPr>
              <w:t xml:space="preserve">Event type / </w:t>
            </w:r>
            <w:r w:rsidR="443C235C" w:rsidRPr="5E80D43D">
              <w:rPr>
                <w:b/>
                <w:bCs/>
              </w:rPr>
              <w:t>I</w:t>
            </w:r>
            <w:r w:rsidR="0DB4D76C" w:rsidRPr="5E80D43D">
              <w:rPr>
                <w:b/>
                <w:bCs/>
              </w:rPr>
              <w:t>nstigator</w:t>
            </w:r>
            <w:r w:rsidR="741E3BCD" w:rsidRPr="008C0001">
              <w:rPr>
                <w:b/>
                <w:bCs/>
              </w:rPr>
              <w:t xml:space="preserve"> /</w:t>
            </w:r>
            <w:r w:rsidR="0A86BFA8" w:rsidRPr="008C0001">
              <w:rPr>
                <w:b/>
                <w:bCs/>
              </w:rPr>
              <w:t xml:space="preserve"> staff</w:t>
            </w:r>
            <w:r w:rsidR="6BBA482A" w:rsidRPr="008C0001">
              <w:rPr>
                <w:b/>
                <w:bCs/>
              </w:rPr>
              <w:t xml:space="preserve"> discipline</w:t>
            </w:r>
          </w:p>
        </w:tc>
        <w:tc>
          <w:tcPr>
            <w:tcW w:w="6599" w:type="dxa"/>
          </w:tcPr>
          <w:p w14:paraId="76DDFE15" w14:textId="3EEE7C47" w:rsidR="00670FDB" w:rsidRPr="00722B36" w:rsidRDefault="77E805D5" w:rsidP="630A6DA8">
            <w:pPr>
              <w:pStyle w:val="Tabletext"/>
              <w:rPr>
                <w:rStyle w:val="CommentReference"/>
              </w:rPr>
            </w:pPr>
            <w:r>
              <w:t xml:space="preserve">In the report of a sexual safety incident for an affected person, in the column labelled </w:t>
            </w:r>
            <w:r w:rsidR="00B26D4A">
              <w:t>‘</w:t>
            </w:r>
            <w:r>
              <w:t>Instigator</w:t>
            </w:r>
            <w:r w:rsidR="00B26D4A">
              <w:t>’</w:t>
            </w:r>
            <w:r w:rsidR="6405D2FC">
              <w:t>, select</w:t>
            </w:r>
            <w:r>
              <w:t xml:space="preserve"> from the drop-down option</w:t>
            </w:r>
            <w:r w:rsidR="7130032C">
              <w:t>,</w:t>
            </w:r>
            <w:r w:rsidR="129F4DC7">
              <w:t xml:space="preserve"> the </w:t>
            </w:r>
            <w:r w:rsidR="4DCD0D6D">
              <w:t>staff discipline</w:t>
            </w:r>
            <w:r w:rsidR="297E24C3">
              <w:t>,</w:t>
            </w:r>
            <w:r w:rsidR="37E0CCC6">
              <w:t xml:space="preserve"> if the alleged instigator was a staff member</w:t>
            </w:r>
            <w:r w:rsidR="4DCD0D6D">
              <w:t xml:space="preserve">. </w:t>
            </w:r>
            <w:r w:rsidR="129F4DC7">
              <w:t>This will trigger the need to enter more information.</w:t>
            </w:r>
          </w:p>
        </w:tc>
      </w:tr>
      <w:tr w:rsidR="630A6DA8" w14:paraId="070EB992" w14:textId="77777777" w:rsidTr="008C0001">
        <w:trPr>
          <w:trHeight w:val="300"/>
        </w:trPr>
        <w:tc>
          <w:tcPr>
            <w:tcW w:w="2689" w:type="dxa"/>
          </w:tcPr>
          <w:p w14:paraId="5BE77507" w14:textId="7E5F07F8" w:rsidR="630A6DA8" w:rsidRDefault="630A6DA8" w:rsidP="0062548B">
            <w:pPr>
              <w:rPr>
                <w:b/>
                <w:bCs/>
                <w:szCs w:val="21"/>
              </w:rPr>
            </w:pPr>
            <w:r w:rsidRPr="630A6DA8">
              <w:rPr>
                <w:b/>
                <w:bCs/>
                <w:szCs w:val="21"/>
              </w:rPr>
              <w:t xml:space="preserve">Event type / Instigator / affected person </w:t>
            </w:r>
          </w:p>
        </w:tc>
        <w:tc>
          <w:tcPr>
            <w:tcW w:w="6599" w:type="dxa"/>
          </w:tcPr>
          <w:p w14:paraId="1F685BAF" w14:textId="6716FD86" w:rsidR="56855E46" w:rsidRPr="00156480" w:rsidRDefault="318EB97D" w:rsidP="004E4482">
            <w:pPr>
              <w:pStyle w:val="Tabletext"/>
            </w:pPr>
            <w:r>
              <w:t xml:space="preserve">In the report of a sexual safety incident for an affected person, in the column labelled </w:t>
            </w:r>
            <w:r w:rsidR="00B26D4A">
              <w:t>‘</w:t>
            </w:r>
            <w:r w:rsidR="56BAFA7E">
              <w:t>Instigator</w:t>
            </w:r>
            <w:r w:rsidR="00B26D4A">
              <w:t>’</w:t>
            </w:r>
            <w:r w:rsidR="56BAFA7E">
              <w:t>, select</w:t>
            </w:r>
            <w:r w:rsidR="657239F3">
              <w:t xml:space="preserve"> from the drop-down option </w:t>
            </w:r>
            <w:r w:rsidR="00B766E5">
              <w:t>‘</w:t>
            </w:r>
            <w:r w:rsidR="657239F3">
              <w:t>Affected person</w:t>
            </w:r>
            <w:r w:rsidR="00B766E5">
              <w:t>’</w:t>
            </w:r>
            <w:r w:rsidR="55EEABE4">
              <w:t xml:space="preserve"> if </w:t>
            </w:r>
            <w:r w:rsidR="56855E46" w:rsidDel="55EEABE4">
              <w:t xml:space="preserve">the </w:t>
            </w:r>
            <w:r w:rsidR="55EEABE4">
              <w:t>behav</w:t>
            </w:r>
            <w:r w:rsidR="505693C8">
              <w:t>iour</w:t>
            </w:r>
            <w:r w:rsidR="371372D8">
              <w:t xml:space="preserve"> was self-initiated</w:t>
            </w:r>
            <w:r w:rsidR="505693C8">
              <w:t>.</w:t>
            </w:r>
          </w:p>
        </w:tc>
      </w:tr>
    </w:tbl>
    <w:p w14:paraId="21F5375B" w14:textId="111CBEEB" w:rsidR="004B40C9" w:rsidRPr="004B40C9" w:rsidRDefault="18F61E32" w:rsidP="004B40C9">
      <w:pPr>
        <w:pStyle w:val="Body"/>
        <w:spacing w:line="240" w:lineRule="auto"/>
        <w:rPr>
          <w:sz w:val="18"/>
          <w:szCs w:val="18"/>
        </w:rPr>
      </w:pPr>
      <w:r w:rsidRPr="004E4482">
        <w:t>*</w:t>
      </w:r>
      <w:r w:rsidR="444D42EA" w:rsidRPr="0062548B">
        <w:rPr>
          <w:sz w:val="18"/>
          <w:szCs w:val="18"/>
        </w:rPr>
        <w:t>Please note that</w:t>
      </w:r>
      <w:r w:rsidRPr="0062548B">
        <w:rPr>
          <w:sz w:val="18"/>
          <w:szCs w:val="18"/>
        </w:rPr>
        <w:t xml:space="preserve"> </w:t>
      </w:r>
      <w:r w:rsidR="00B766E5" w:rsidRPr="004E4482">
        <w:rPr>
          <w:sz w:val="18"/>
          <w:szCs w:val="18"/>
        </w:rPr>
        <w:t>‘</w:t>
      </w:r>
      <w:r w:rsidRPr="0062548B">
        <w:rPr>
          <w:sz w:val="18"/>
          <w:szCs w:val="18"/>
        </w:rPr>
        <w:t>instigator</w:t>
      </w:r>
      <w:r w:rsidR="00B766E5" w:rsidRPr="004E4482">
        <w:rPr>
          <w:sz w:val="18"/>
          <w:szCs w:val="18"/>
        </w:rPr>
        <w:t>’</w:t>
      </w:r>
      <w:r w:rsidR="47008820" w:rsidRPr="0062548B">
        <w:rPr>
          <w:sz w:val="18"/>
          <w:szCs w:val="18"/>
        </w:rPr>
        <w:t xml:space="preserve"> refers to the person </w:t>
      </w:r>
      <w:r w:rsidR="3B246A3C" w:rsidRPr="0062548B">
        <w:rPr>
          <w:sz w:val="18"/>
          <w:szCs w:val="18"/>
        </w:rPr>
        <w:t>identified</w:t>
      </w:r>
      <w:r w:rsidR="47008820" w:rsidRPr="0062548B">
        <w:rPr>
          <w:sz w:val="18"/>
          <w:szCs w:val="18"/>
        </w:rPr>
        <w:t xml:space="preserve"> as instigating the behaviour or sexual safety incident</w:t>
      </w:r>
      <w:r w:rsidRPr="0062548B">
        <w:rPr>
          <w:sz w:val="18"/>
          <w:szCs w:val="18"/>
        </w:rPr>
        <w:t xml:space="preserve"> </w:t>
      </w:r>
      <w:r w:rsidR="520AD7E5" w:rsidRPr="0062548B">
        <w:rPr>
          <w:sz w:val="18"/>
          <w:szCs w:val="18"/>
        </w:rPr>
        <w:t>and</w:t>
      </w:r>
      <w:r w:rsidRPr="0062548B">
        <w:rPr>
          <w:sz w:val="18"/>
          <w:szCs w:val="18"/>
        </w:rPr>
        <w:t xml:space="preserve"> NOT th</w:t>
      </w:r>
      <w:r w:rsidR="7A56D78D" w:rsidRPr="0062548B">
        <w:rPr>
          <w:sz w:val="18"/>
          <w:szCs w:val="18"/>
        </w:rPr>
        <w:t xml:space="preserve">e </w:t>
      </w:r>
      <w:r w:rsidR="6A40A832" w:rsidRPr="0062548B">
        <w:rPr>
          <w:sz w:val="18"/>
          <w:szCs w:val="18"/>
        </w:rPr>
        <w:t>staff member</w:t>
      </w:r>
      <w:r w:rsidR="7A56D78D" w:rsidRPr="0062548B">
        <w:rPr>
          <w:sz w:val="18"/>
          <w:szCs w:val="18"/>
        </w:rPr>
        <w:t xml:space="preserve"> entering the report</w:t>
      </w:r>
      <w:r w:rsidR="00B92930" w:rsidRPr="00E5524C">
        <w:rPr>
          <w:sz w:val="18"/>
          <w:szCs w:val="18"/>
        </w:rPr>
        <w:t>.</w:t>
      </w:r>
      <w:r w:rsidR="7A56D78D" w:rsidRPr="0062548B">
        <w:rPr>
          <w:sz w:val="18"/>
          <w:szCs w:val="18"/>
        </w:rPr>
        <w:t xml:space="preserve"> </w:t>
      </w:r>
      <w:bookmarkStart w:id="37" w:name="_Toc139183508"/>
    </w:p>
    <w:p w14:paraId="6FED3778" w14:textId="56BCBEEC" w:rsidR="00670FDB" w:rsidRPr="00722B36" w:rsidRDefault="00670FDB" w:rsidP="00670FDB">
      <w:pPr>
        <w:pStyle w:val="Heading3"/>
      </w:pPr>
      <w:r w:rsidRPr="00722B36">
        <w:lastRenderedPageBreak/>
        <w:t>Linking matters</w:t>
      </w:r>
      <w:bookmarkEnd w:id="37"/>
    </w:p>
    <w:p w14:paraId="6638887F" w14:textId="77777777" w:rsidR="007739B2" w:rsidRDefault="00670FDB" w:rsidP="00670FDB">
      <w:pPr>
        <w:pStyle w:val="Body"/>
      </w:pPr>
      <w:r>
        <w:t xml:space="preserve">A VHIMS report must be made for each person involved in an incident. For example, if there are two affected people, then two VHIMS reports must be made. To reduce the administrative load, and to improve the quality of the data, incidents </w:t>
      </w:r>
      <w:r w:rsidR="4C7ED839">
        <w:t xml:space="preserve">must </w:t>
      </w:r>
      <w:r>
        <w:t>be ‘linked’. This indicates that the two affected people were involved in the same incident. This action will result in many of the details of the second report automatically populating from the first report.</w:t>
      </w:r>
    </w:p>
    <w:p w14:paraId="7A75EE40" w14:textId="1BB768B4" w:rsidR="00670FDB" w:rsidRPr="00722B36" w:rsidRDefault="00670FDB" w:rsidP="00670FDB">
      <w:pPr>
        <w:pStyle w:val="Body"/>
      </w:pPr>
      <w:r>
        <w:t xml:space="preserve"> </w:t>
      </w:r>
    </w:p>
    <w:tbl>
      <w:tblPr>
        <w:tblStyle w:val="TableGrid"/>
        <w:tblW w:w="0" w:type="auto"/>
        <w:tblLook w:val="0620" w:firstRow="1" w:lastRow="0" w:firstColumn="0" w:lastColumn="0" w:noHBand="1" w:noVBand="1"/>
      </w:tblPr>
      <w:tblGrid>
        <w:gridCol w:w="2689"/>
        <w:gridCol w:w="6599"/>
      </w:tblGrid>
      <w:tr w:rsidR="00670FDB" w:rsidRPr="00722B36" w14:paraId="53BC003B" w14:textId="77777777" w:rsidTr="4E610130">
        <w:trPr>
          <w:trHeight w:val="417"/>
          <w:tblHeader/>
        </w:trPr>
        <w:tc>
          <w:tcPr>
            <w:tcW w:w="2689" w:type="dxa"/>
            <w:shd w:val="clear" w:color="auto" w:fill="FAE0E6"/>
          </w:tcPr>
          <w:p w14:paraId="1942109A" w14:textId="77777777" w:rsidR="00670FDB" w:rsidRPr="004B40C9" w:rsidRDefault="00670FDB" w:rsidP="00740E70">
            <w:pPr>
              <w:pStyle w:val="Tablecolhead"/>
              <w:rPr>
                <w:color w:val="000000" w:themeColor="text1"/>
              </w:rPr>
            </w:pPr>
            <w:r w:rsidRPr="004B40C9">
              <w:rPr>
                <w:color w:val="000000" w:themeColor="text1"/>
              </w:rPr>
              <w:t>VHIMS field</w:t>
            </w:r>
          </w:p>
        </w:tc>
        <w:tc>
          <w:tcPr>
            <w:tcW w:w="6599" w:type="dxa"/>
            <w:shd w:val="clear" w:color="auto" w:fill="FAE0E6"/>
          </w:tcPr>
          <w:p w14:paraId="1683A775" w14:textId="77777777" w:rsidR="00670FDB" w:rsidRPr="004B40C9" w:rsidRDefault="00670FDB" w:rsidP="00740E70">
            <w:pPr>
              <w:pStyle w:val="Tablecolhead"/>
              <w:rPr>
                <w:color w:val="000000" w:themeColor="text1"/>
              </w:rPr>
            </w:pPr>
            <w:r w:rsidRPr="004B40C9">
              <w:rPr>
                <w:color w:val="000000" w:themeColor="text1"/>
              </w:rPr>
              <w:t>Response</w:t>
            </w:r>
          </w:p>
        </w:tc>
      </w:tr>
      <w:tr w:rsidR="00670FDB" w:rsidRPr="00722B36" w14:paraId="41A36AFC" w14:textId="77777777" w:rsidTr="4E610130">
        <w:tc>
          <w:tcPr>
            <w:tcW w:w="2689" w:type="dxa"/>
          </w:tcPr>
          <w:p w14:paraId="6E61B145" w14:textId="630CAD43" w:rsidR="00670FDB" w:rsidRPr="003A3558" w:rsidRDefault="00670FDB" w:rsidP="00740E70">
            <w:pPr>
              <w:pStyle w:val="Tabletext"/>
              <w:rPr>
                <w:b/>
                <w:bCs/>
              </w:rPr>
            </w:pPr>
            <w:r w:rsidRPr="003A3558">
              <w:rPr>
                <w:b/>
                <w:bCs/>
              </w:rPr>
              <w:t xml:space="preserve">Create linked </w:t>
            </w:r>
            <w:r w:rsidR="009A7C3E">
              <w:rPr>
                <w:b/>
                <w:bCs/>
              </w:rPr>
              <w:t xml:space="preserve">(or grouped) </w:t>
            </w:r>
            <w:r w:rsidRPr="003A3558">
              <w:rPr>
                <w:b/>
                <w:bCs/>
              </w:rPr>
              <w:t>incident</w:t>
            </w:r>
            <w:r w:rsidR="009A7C3E">
              <w:rPr>
                <w:b/>
                <w:bCs/>
              </w:rPr>
              <w:t>s</w:t>
            </w:r>
          </w:p>
        </w:tc>
        <w:tc>
          <w:tcPr>
            <w:tcW w:w="6599" w:type="dxa"/>
          </w:tcPr>
          <w:p w14:paraId="34DA9C1A" w14:textId="3F851191" w:rsidR="00670FDB" w:rsidRPr="00722B36" w:rsidRDefault="00670FDB" w:rsidP="00740E70">
            <w:pPr>
              <w:pStyle w:val="Tabletext"/>
            </w:pPr>
            <w:r>
              <w:t>Check that you want to create a linked incident and enter incident details as prompted.</w:t>
            </w:r>
            <w:r w:rsidR="00897850">
              <w:t xml:space="preserve"> T</w:t>
            </w:r>
            <w:r w:rsidR="00F00B01">
              <w:t xml:space="preserve">o </w:t>
            </w:r>
            <w:r w:rsidR="00897850">
              <w:t>link a record</w:t>
            </w:r>
            <w:r w:rsidR="00F00B01">
              <w:t xml:space="preserve"> </w:t>
            </w:r>
            <w:r w:rsidR="00897850">
              <w:t xml:space="preserve">the person entering a record can </w:t>
            </w:r>
            <w:r w:rsidR="00073FB6">
              <w:t>‘</w:t>
            </w:r>
            <w:r w:rsidR="00897850">
              <w:t xml:space="preserve">Clone </w:t>
            </w:r>
            <w:r w:rsidR="00C948AF">
              <w:t>and</w:t>
            </w:r>
            <w:r w:rsidR="00897850">
              <w:t xml:space="preserve"> link</w:t>
            </w:r>
            <w:r w:rsidR="00073FB6">
              <w:t>’</w:t>
            </w:r>
            <w:r w:rsidR="00897850">
              <w:t xml:space="preserve"> with another new record at the time. </w:t>
            </w:r>
            <w:r w:rsidR="002E510E">
              <w:t>Alternatively,</w:t>
            </w:r>
            <w:r w:rsidR="004016E2">
              <w:t xml:space="preserve"> </w:t>
            </w:r>
            <w:r w:rsidR="00897850">
              <w:t>after the record is entered</w:t>
            </w:r>
            <w:r w:rsidR="004016E2">
              <w:t>, the manager or quality manager</w:t>
            </w:r>
            <w:r w:rsidR="00897850">
              <w:t xml:space="preserve"> </w:t>
            </w:r>
            <w:r w:rsidR="004016E2">
              <w:t>can</w:t>
            </w:r>
            <w:r w:rsidR="00897850">
              <w:t xml:space="preserve"> link records that have already been entered.</w:t>
            </w:r>
          </w:p>
        </w:tc>
      </w:tr>
    </w:tbl>
    <w:p w14:paraId="16291B38" w14:textId="77777777" w:rsidR="00670FDB" w:rsidRPr="00C86C60" w:rsidRDefault="00670FDB" w:rsidP="00670FDB">
      <w:pPr>
        <w:pStyle w:val="Heading2"/>
      </w:pPr>
      <w:bookmarkStart w:id="38" w:name="_Assigning_Incident_Severity"/>
      <w:bookmarkStart w:id="39" w:name="_Ref139181333"/>
      <w:bookmarkStart w:id="40" w:name="_Toc147761581"/>
      <w:bookmarkStart w:id="41" w:name="_Toc135312675"/>
      <w:bookmarkStart w:id="42" w:name="_Toc139183509"/>
      <w:bookmarkEnd w:id="38"/>
      <w:r w:rsidRPr="00C86C60">
        <w:t>Assigning Incident Severity Ratings</w:t>
      </w:r>
      <w:bookmarkEnd w:id="39"/>
      <w:bookmarkEnd w:id="40"/>
      <w:r w:rsidRPr="00C86C60" w:rsidDel="00A76D68">
        <w:t xml:space="preserve"> </w:t>
      </w:r>
      <w:bookmarkEnd w:id="41"/>
      <w:bookmarkEnd w:id="42"/>
    </w:p>
    <w:p w14:paraId="4205E6D2" w14:textId="77777777" w:rsidR="00670FDB" w:rsidRPr="00722B36" w:rsidRDefault="00670FDB" w:rsidP="00670FDB">
      <w:pPr>
        <w:pStyle w:val="Body"/>
      </w:pPr>
      <w:r w:rsidRPr="00722B36">
        <w:t xml:space="preserve">When sexual safety incidents are entered into VHIMS they are assigned an ISR, </w:t>
      </w:r>
      <w:r>
        <w:t xml:space="preserve">and </w:t>
      </w:r>
      <w:r w:rsidRPr="00722B36">
        <w:t xml:space="preserve">managers </w:t>
      </w:r>
      <w:r>
        <w:t>can</w:t>
      </w:r>
      <w:r w:rsidRPr="00722B36">
        <w:t xml:space="preserve"> review the ISR. The following provides some guidance </w:t>
      </w:r>
      <w:r>
        <w:t>on</w:t>
      </w:r>
      <w:r w:rsidRPr="00722B36">
        <w:t xml:space="preserve"> how ISR</w:t>
      </w:r>
      <w:r>
        <w:t>s</w:t>
      </w:r>
      <w:r w:rsidRPr="00722B36">
        <w:t xml:space="preserve"> should be applied to sexual safety incidents. It is the responsibility of the managers (for example</w:t>
      </w:r>
      <w:r>
        <w:t>,</w:t>
      </w:r>
      <w:r w:rsidRPr="00722B36">
        <w:t xml:space="preserve"> </w:t>
      </w:r>
      <w:r>
        <w:t>n</w:t>
      </w:r>
      <w:r w:rsidRPr="00722B36">
        <w:t xml:space="preserve">urse </w:t>
      </w:r>
      <w:r>
        <w:t>u</w:t>
      </w:r>
      <w:r w:rsidRPr="00722B36">
        <w:t xml:space="preserve">nit </w:t>
      </w:r>
      <w:r>
        <w:t>m</w:t>
      </w:r>
      <w:r w:rsidRPr="00722B36">
        <w:t xml:space="preserve">anagers or </w:t>
      </w:r>
      <w:r>
        <w:t>q</w:t>
      </w:r>
      <w:r w:rsidRPr="00722B36">
        <w:t xml:space="preserve">uality and </w:t>
      </w:r>
      <w:r>
        <w:t>s</w:t>
      </w:r>
      <w:r w:rsidRPr="00722B36">
        <w:t xml:space="preserve">afety </w:t>
      </w:r>
      <w:r>
        <w:t>m</w:t>
      </w:r>
      <w:r w:rsidRPr="00722B36">
        <w:t>anagers) who review reported incidents to ensure the ISR accurate</w:t>
      </w:r>
      <w:r>
        <w:t>ly</w:t>
      </w:r>
      <w:r w:rsidRPr="00722B36">
        <w:t xml:space="preserve"> reflect</w:t>
      </w:r>
      <w:r>
        <w:t>s</w:t>
      </w:r>
      <w:r w:rsidRPr="00722B36" w:rsidDel="001D437B">
        <w:t xml:space="preserve"> </w:t>
      </w:r>
      <w:r w:rsidRPr="00722B36">
        <w:t>the incident</w:t>
      </w:r>
      <w:r>
        <w:t>’s severity</w:t>
      </w:r>
      <w:r w:rsidRPr="00722B36">
        <w:t xml:space="preserve">. </w:t>
      </w:r>
    </w:p>
    <w:p w14:paraId="7774D7F5" w14:textId="391099AA" w:rsidR="00670FDB" w:rsidRPr="00722B36" w:rsidRDefault="00670FDB" w:rsidP="00670FDB">
      <w:pPr>
        <w:pStyle w:val="Heading3"/>
      </w:pPr>
      <w:bookmarkStart w:id="43" w:name="_Toc139183510"/>
      <w:r w:rsidRPr="00722B36">
        <w:t>How ISR</w:t>
      </w:r>
      <w:r>
        <w:t>s</w:t>
      </w:r>
      <w:r w:rsidRPr="00722B36">
        <w:t xml:space="preserve"> are assigned</w:t>
      </w:r>
      <w:bookmarkEnd w:id="43"/>
    </w:p>
    <w:p w14:paraId="588DD1C1" w14:textId="51E9BF92" w:rsidR="00670FDB" w:rsidRPr="00722B36" w:rsidRDefault="00670FDB" w:rsidP="00670FDB">
      <w:pPr>
        <w:pStyle w:val="Body"/>
      </w:pPr>
      <w:r w:rsidRPr="00722B36">
        <w:t>VHIMS has an algorithm based on three questions that trigger the ISR</w:t>
      </w:r>
      <w:r>
        <w:t>s</w:t>
      </w:r>
      <w:r w:rsidRPr="00722B36">
        <w:t xml:space="preserve"> (</w:t>
      </w:r>
      <w:r w:rsidR="00F06487">
        <w:t>t</w:t>
      </w:r>
      <w:r w:rsidRPr="00722B36">
        <w:t>hese questions are slightly different for OHS matters)</w:t>
      </w:r>
      <w:r w:rsidR="00F06487">
        <w:t>.</w:t>
      </w:r>
    </w:p>
    <w:p w14:paraId="53B4CDC7" w14:textId="77777777" w:rsidR="00670FDB" w:rsidRPr="00722B36" w:rsidRDefault="00670FDB" w:rsidP="00670FDB">
      <w:pPr>
        <w:pStyle w:val="Numberdigit"/>
        <w:numPr>
          <w:ilvl w:val="0"/>
          <w:numId w:val="10"/>
        </w:numPr>
      </w:pPr>
      <w:r w:rsidRPr="00722B36">
        <w:t>What was the level of harm sustained?</w:t>
      </w:r>
    </w:p>
    <w:p w14:paraId="5A471E03" w14:textId="3F80FFB2" w:rsidR="00670FDB" w:rsidRPr="00722B36" w:rsidRDefault="00670FDB" w:rsidP="00670FDB">
      <w:pPr>
        <w:pStyle w:val="Numberdigit"/>
      </w:pPr>
      <w:r>
        <w:t xml:space="preserve">What </w:t>
      </w:r>
      <w:r w:rsidR="01342661">
        <w:t>is the duration of harm</w:t>
      </w:r>
      <w:r>
        <w:t>?</w:t>
      </w:r>
    </w:p>
    <w:p w14:paraId="7557474E" w14:textId="64923128" w:rsidR="00670FDB" w:rsidRPr="00722B36" w:rsidRDefault="00670FDB" w:rsidP="00670FDB">
      <w:pPr>
        <w:pStyle w:val="Numberdigit"/>
      </w:pPr>
      <w:r>
        <w:t xml:space="preserve">What </w:t>
      </w:r>
      <w:r w:rsidR="1F11CCDC">
        <w:t>level of care/</w:t>
      </w:r>
      <w:r>
        <w:t>treatment was provided?</w:t>
      </w:r>
    </w:p>
    <w:p w14:paraId="305782F5" w14:textId="07564CA2" w:rsidR="00670FDB" w:rsidRPr="00722B36" w:rsidRDefault="00670FDB" w:rsidP="00670FDB">
      <w:pPr>
        <w:pStyle w:val="Bodyafterbullets"/>
      </w:pPr>
      <w:r w:rsidRPr="00722B36">
        <w:t>When answering these questions</w:t>
      </w:r>
      <w:r w:rsidR="00DB45F1">
        <w:t>,</w:t>
      </w:r>
      <w:r w:rsidRPr="00722B36">
        <w:t xml:space="preserve"> staff should consider the level of psychological </w:t>
      </w:r>
      <w:r>
        <w:t xml:space="preserve">and physical </w:t>
      </w:r>
      <w:r w:rsidRPr="00722B36">
        <w:t xml:space="preserve">harm and the impact that events may have on </w:t>
      </w:r>
      <w:r>
        <w:t>an a</w:t>
      </w:r>
      <w:r w:rsidRPr="00722B36">
        <w:t>ffected person</w:t>
      </w:r>
      <w:r>
        <w:t>’</w:t>
      </w:r>
      <w:r w:rsidRPr="00722B36">
        <w:t xml:space="preserve">s current and future mental </w:t>
      </w:r>
      <w:r>
        <w:t>health and wellbeing</w:t>
      </w:r>
      <w:r w:rsidRPr="00722B36">
        <w:t>. When considering the care and treatment that was required</w:t>
      </w:r>
      <w:r w:rsidR="005C487C">
        <w:t>,</w:t>
      </w:r>
      <w:r w:rsidRPr="00722B36">
        <w:t xml:space="preserve"> it is important to consider all the interventions that were used </w:t>
      </w:r>
      <w:r>
        <w:t xml:space="preserve">to </w:t>
      </w:r>
      <w:r w:rsidRPr="00722B36">
        <w:t>respond to an incident, including psychological and interpersonal responses and any referrals (</w:t>
      </w:r>
      <w:r>
        <w:t>for example, to the Centre Against Sexual Assault</w:t>
      </w:r>
      <w:r w:rsidRPr="00722B36">
        <w:t xml:space="preserve">) that were made. </w:t>
      </w:r>
    </w:p>
    <w:p w14:paraId="0444FC90" w14:textId="77777777" w:rsidR="004B40C9" w:rsidRDefault="004B40C9">
      <w:pPr>
        <w:spacing w:after="0" w:line="240" w:lineRule="auto"/>
        <w:rPr>
          <w:rFonts w:eastAsia="MS Gothic"/>
          <w:bCs/>
          <w:color w:val="53565A"/>
          <w:sz w:val="30"/>
          <w:szCs w:val="26"/>
        </w:rPr>
      </w:pPr>
      <w:bookmarkStart w:id="44" w:name="_Toc139183511"/>
      <w:r>
        <w:br w:type="page"/>
      </w:r>
    </w:p>
    <w:p w14:paraId="2847C227" w14:textId="16D4FEF0" w:rsidR="00670FDB" w:rsidRPr="00722B36" w:rsidRDefault="00670FDB" w:rsidP="00670FDB">
      <w:pPr>
        <w:pStyle w:val="Heading3"/>
      </w:pPr>
      <w:r w:rsidRPr="00722B36">
        <w:lastRenderedPageBreak/>
        <w:t>What ISR</w:t>
      </w:r>
      <w:r>
        <w:t>s</w:t>
      </w:r>
      <w:r w:rsidRPr="00722B36">
        <w:t xml:space="preserve"> should be applied</w:t>
      </w:r>
      <w:bookmarkEnd w:id="44"/>
    </w:p>
    <w:p w14:paraId="63F02124" w14:textId="77777777" w:rsidR="00670FDB" w:rsidRPr="003A3558" w:rsidRDefault="00670FDB" w:rsidP="00670FDB">
      <w:pPr>
        <w:pStyle w:val="Body"/>
      </w:pPr>
      <w:r w:rsidRPr="00722B36">
        <w:t>When assigning the severity of an incident health service staff should take a trauma</w:t>
      </w:r>
      <w:r>
        <w:t>-</w:t>
      </w:r>
      <w:r w:rsidRPr="003A3558">
        <w:t xml:space="preserve">informed approach and consider the level of harm, including psychological harm, to the involved parties informed by an understanding of past trauma. </w:t>
      </w:r>
    </w:p>
    <w:p w14:paraId="0E344D27" w14:textId="77777777" w:rsidR="00670FDB" w:rsidRPr="00722B36" w:rsidRDefault="00670FDB" w:rsidP="00670FDB">
      <w:pPr>
        <w:pStyle w:val="Body"/>
      </w:pPr>
      <w:r w:rsidRPr="003A3558">
        <w:t>Other questions</w:t>
      </w:r>
      <w:r w:rsidRPr="00722B36">
        <w:t xml:space="preserve"> that must be considered</w:t>
      </w:r>
      <w:r>
        <w:t xml:space="preserve"> and may increase the ISR </w:t>
      </w:r>
      <w:r w:rsidRPr="00722B36">
        <w:t>are:</w:t>
      </w:r>
    </w:p>
    <w:p w14:paraId="07809A4D" w14:textId="77777777" w:rsidR="00670FDB" w:rsidRDefault="00670FDB" w:rsidP="00670FDB">
      <w:pPr>
        <w:pStyle w:val="Bullet1"/>
      </w:pPr>
      <w:r w:rsidRPr="00722B36">
        <w:t>Was there a power imbalance between parties (for example</w:t>
      </w:r>
      <w:r>
        <w:t>,</w:t>
      </w:r>
      <w:r w:rsidRPr="00722B36">
        <w:t xml:space="preserve"> due to age, gender, </w:t>
      </w:r>
      <w:r>
        <w:t xml:space="preserve">history of trauma/increased vulnerability, </w:t>
      </w:r>
      <w:r w:rsidRPr="00722B36">
        <w:t xml:space="preserve">social standing)? </w:t>
      </w:r>
    </w:p>
    <w:p w14:paraId="6BAC3A3C" w14:textId="77777777" w:rsidR="00670FDB" w:rsidRPr="00722B36" w:rsidRDefault="00670FDB" w:rsidP="00670FDB">
      <w:pPr>
        <w:pStyle w:val="Bullet1"/>
      </w:pPr>
      <w:r>
        <w:t>Was an involved party’s behaviour affected by a history of trauma (for example, increased vulnerability</w:t>
      </w:r>
      <w:r w:rsidDel="0020046F">
        <w:t xml:space="preserve"> or </w:t>
      </w:r>
      <w:r>
        <w:t>people-pleasing behaviour that could be interpreted as welcoming attention)?</w:t>
      </w:r>
    </w:p>
    <w:p w14:paraId="49430DD3" w14:textId="77777777" w:rsidR="00670FDB" w:rsidRPr="00722B36" w:rsidRDefault="00670FDB" w:rsidP="00670FDB">
      <w:pPr>
        <w:pStyle w:val="Bullet1"/>
      </w:pPr>
      <w:r w:rsidRPr="00722B36">
        <w:t>Was there a likelihood of coercion having occurred (for example, threatening behaviour</w:t>
      </w:r>
      <w:r>
        <w:t xml:space="preserve"> or</w:t>
      </w:r>
      <w:r w:rsidRPr="00722B36">
        <w:t xml:space="preserve"> predatory behaviour)?</w:t>
      </w:r>
    </w:p>
    <w:p w14:paraId="2C764593" w14:textId="77777777" w:rsidR="00670FDB" w:rsidRDefault="00670FDB" w:rsidP="00670FDB">
      <w:pPr>
        <w:pStyle w:val="Bullet1"/>
      </w:pPr>
      <w:r w:rsidRPr="00722B36">
        <w:t>Was the sexual activity transactional (for example, related to swapping of substances or medications)</w:t>
      </w:r>
      <w:r>
        <w:t>?</w:t>
      </w:r>
    </w:p>
    <w:p w14:paraId="5057DDC9" w14:textId="77777777" w:rsidR="00670FDB" w:rsidRPr="00380A77" w:rsidRDefault="00670FDB" w:rsidP="00670FDB">
      <w:pPr>
        <w:pStyle w:val="Bullet1"/>
      </w:pPr>
      <w:r>
        <w:t>Was the person experiencing sedating effects from medication?</w:t>
      </w:r>
    </w:p>
    <w:p w14:paraId="55E44980" w14:textId="2368E48A" w:rsidR="00670FDB" w:rsidRDefault="00670FDB" w:rsidP="00670FDB">
      <w:pPr>
        <w:pStyle w:val="Bodyafterbullets"/>
      </w:pPr>
      <w:r>
        <w:t xml:space="preserve">The advice below is a guide only. Use clinical judgement to determine the most appropriate ISR. In many cases managers will need to discuss how to rate incidents with peers. If there is uncertainty, seek advice from the OCP. </w:t>
      </w:r>
    </w:p>
    <w:p w14:paraId="68F6673D" w14:textId="35DF7438" w:rsidR="4E610130" w:rsidRDefault="4E610130" w:rsidP="4E610130">
      <w:pPr>
        <w:pStyle w:val="Bodyafterbullets"/>
      </w:pPr>
    </w:p>
    <w:p w14:paraId="002022D3" w14:textId="05BBA100" w:rsidR="38D1DBE4" w:rsidRPr="0062548B" w:rsidRDefault="38D1DBE4" w:rsidP="0062548B">
      <w:pPr>
        <w:spacing w:after="40"/>
        <w:rPr>
          <w:rFonts w:eastAsia="Arial" w:cs="Arial"/>
          <w:color w:val="000000" w:themeColor="text1"/>
          <w:szCs w:val="21"/>
          <w:lang w:val="en-GB"/>
        </w:rPr>
      </w:pPr>
      <w:r w:rsidRPr="0062548B">
        <w:rPr>
          <w:rFonts w:eastAsia="Arial" w:cs="Arial"/>
          <w:color w:val="000000" w:themeColor="text1"/>
          <w:sz w:val="28"/>
          <w:szCs w:val="28"/>
        </w:rPr>
        <w:t xml:space="preserve">How </w:t>
      </w:r>
      <w:r w:rsidR="7091910A" w:rsidRPr="0062548B">
        <w:rPr>
          <w:rFonts w:eastAsia="Arial" w:cs="Arial"/>
          <w:color w:val="000000" w:themeColor="text1"/>
          <w:sz w:val="28"/>
          <w:szCs w:val="28"/>
        </w:rPr>
        <w:t>I</w:t>
      </w:r>
      <w:r w:rsidR="08ADF980" w:rsidRPr="0062548B">
        <w:rPr>
          <w:rFonts w:eastAsia="Arial" w:cs="Arial"/>
          <w:color w:val="000000" w:themeColor="text1"/>
          <w:sz w:val="28"/>
          <w:szCs w:val="28"/>
        </w:rPr>
        <w:t>SR</w:t>
      </w:r>
      <w:r w:rsidR="06A0560F" w:rsidRPr="0062548B">
        <w:rPr>
          <w:rFonts w:eastAsia="Arial" w:cs="Arial"/>
          <w:color w:val="000000" w:themeColor="text1"/>
          <w:sz w:val="28"/>
          <w:szCs w:val="28"/>
        </w:rPr>
        <w:t xml:space="preserve">s </w:t>
      </w:r>
      <w:r w:rsidR="087C3874" w:rsidRPr="0062548B">
        <w:rPr>
          <w:rFonts w:eastAsia="Arial" w:cs="Arial"/>
          <w:color w:val="000000" w:themeColor="text1"/>
          <w:sz w:val="28"/>
          <w:szCs w:val="28"/>
        </w:rPr>
        <w:t xml:space="preserve">can </w:t>
      </w:r>
      <w:r w:rsidR="06A0560F" w:rsidRPr="0062548B">
        <w:rPr>
          <w:rFonts w:eastAsia="Arial" w:cs="Arial"/>
          <w:color w:val="000000" w:themeColor="text1"/>
          <w:sz w:val="28"/>
          <w:szCs w:val="28"/>
        </w:rPr>
        <w:t>be changed</w:t>
      </w:r>
      <w:r w:rsidR="085D9AB8" w:rsidRPr="0062548B">
        <w:rPr>
          <w:rFonts w:eastAsia="Arial" w:cs="Arial"/>
          <w:color w:val="000000" w:themeColor="text1"/>
          <w:sz w:val="28"/>
          <w:szCs w:val="28"/>
        </w:rPr>
        <w:t xml:space="preserve"> overtime</w:t>
      </w:r>
    </w:p>
    <w:p w14:paraId="01E32D17" w14:textId="718FD8B3" w:rsidR="1B319422" w:rsidRPr="0062548B" w:rsidRDefault="1B319422" w:rsidP="0062548B">
      <w:pPr>
        <w:spacing w:after="40"/>
        <w:rPr>
          <w:rFonts w:eastAsia="Arial" w:cs="Arial"/>
          <w:color w:val="000000" w:themeColor="text1"/>
          <w:szCs w:val="21"/>
          <w:lang w:val="en-GB"/>
        </w:rPr>
      </w:pPr>
      <w:r w:rsidRPr="0062548B">
        <w:rPr>
          <w:rFonts w:eastAsia="Arial" w:cs="Arial"/>
          <w:color w:val="000000" w:themeColor="text1"/>
          <w:szCs w:val="21"/>
          <w:lang w:val="en-GB"/>
        </w:rPr>
        <w:t xml:space="preserve">It is not uncommon for </w:t>
      </w:r>
      <w:r w:rsidR="5C326D63" w:rsidRPr="0062548B">
        <w:rPr>
          <w:rFonts w:eastAsia="Arial" w:cs="Arial"/>
          <w:color w:val="000000" w:themeColor="text1"/>
          <w:szCs w:val="21"/>
          <w:lang w:val="en-GB"/>
        </w:rPr>
        <w:t>the services and staff’s</w:t>
      </w:r>
      <w:r w:rsidRPr="0062548B">
        <w:rPr>
          <w:rFonts w:eastAsia="Arial" w:cs="Arial"/>
          <w:color w:val="000000" w:themeColor="text1"/>
          <w:szCs w:val="21"/>
          <w:lang w:val="en-GB"/>
        </w:rPr>
        <w:t xml:space="preserve"> understanding of the severity of a sexual safety incident to change over time. Disclosures are often dynamic. </w:t>
      </w:r>
      <w:r w:rsidR="6542C40F" w:rsidRPr="0062548B">
        <w:rPr>
          <w:rFonts w:eastAsia="Arial" w:cs="Arial"/>
          <w:color w:val="000000" w:themeColor="text1"/>
          <w:szCs w:val="21"/>
          <w:lang w:val="en-GB"/>
        </w:rPr>
        <w:t>Any changes need to be escalated and documented.</w:t>
      </w:r>
    </w:p>
    <w:p w14:paraId="7869C44A" w14:textId="395BF29C" w:rsidR="4E610130" w:rsidRDefault="4E610130" w:rsidP="4E610130">
      <w:pPr>
        <w:pStyle w:val="ListParagraph"/>
        <w:spacing w:after="40"/>
        <w:ind w:left="142"/>
        <w:rPr>
          <w:rFonts w:eastAsia="Arial" w:cs="Arial"/>
          <w:color w:val="000000" w:themeColor="text1"/>
          <w:szCs w:val="21"/>
          <w:lang w:val="en-GB"/>
        </w:rPr>
      </w:pPr>
    </w:p>
    <w:p w14:paraId="0AB74437" w14:textId="5E333D08" w:rsidR="1B319422" w:rsidRPr="0062548B" w:rsidRDefault="1B319422" w:rsidP="0062548B">
      <w:pPr>
        <w:spacing w:after="40"/>
        <w:rPr>
          <w:rFonts w:eastAsia="Arial" w:cs="Arial"/>
          <w:color w:val="000000" w:themeColor="text1"/>
          <w:szCs w:val="21"/>
          <w:lang w:val="en-GB"/>
        </w:rPr>
      </w:pPr>
      <w:r w:rsidRPr="0062548B">
        <w:rPr>
          <w:rFonts w:eastAsia="Arial" w:cs="Arial"/>
          <w:color w:val="000000" w:themeColor="text1"/>
          <w:szCs w:val="21"/>
          <w:lang w:val="en-GB"/>
        </w:rPr>
        <w:t>The following needs to be considered when changing sexual safety incident severity ratings:</w:t>
      </w:r>
    </w:p>
    <w:p w14:paraId="0C2E5BB0" w14:textId="728E0A2E" w:rsidR="1B319422" w:rsidRDefault="1B319422" w:rsidP="5E80D43D">
      <w:pPr>
        <w:pStyle w:val="Bullet1"/>
        <w:spacing w:before="120"/>
        <w:rPr>
          <w:rFonts w:eastAsia="Arial" w:cs="Arial"/>
          <w:color w:val="000000" w:themeColor="text1"/>
          <w:lang w:val="en-GB"/>
        </w:rPr>
      </w:pPr>
      <w:r w:rsidRPr="0062548B">
        <w:rPr>
          <w:rFonts w:eastAsia="Arial" w:cs="Arial"/>
          <w:color w:val="000000" w:themeColor="text1"/>
          <w:lang w:val="en-GB"/>
        </w:rPr>
        <w:t xml:space="preserve">For under 18-year-olds all incidents are recorded as ISR2. </w:t>
      </w:r>
    </w:p>
    <w:p w14:paraId="1CB115C2" w14:textId="5734749F" w:rsidR="1B319422" w:rsidRDefault="1B319422" w:rsidP="0062548B">
      <w:pPr>
        <w:pStyle w:val="Bullet1"/>
        <w:rPr>
          <w:rFonts w:eastAsia="Arial" w:cs="Arial"/>
          <w:color w:val="000000" w:themeColor="text1"/>
          <w:lang w:val="en-GB"/>
        </w:rPr>
      </w:pPr>
      <w:r w:rsidRPr="5E80D43D">
        <w:rPr>
          <w:rFonts w:eastAsia="Arial" w:cs="Arial"/>
          <w:color w:val="000000" w:themeColor="text1"/>
          <w:lang w:val="en-GB"/>
        </w:rPr>
        <w:t>Changing an ISR rating in a young person should be done in collaboration with the OCP.</w:t>
      </w:r>
    </w:p>
    <w:p w14:paraId="2B4C8B5B" w14:textId="0D125BC5" w:rsidR="1B319422" w:rsidRDefault="1B319422" w:rsidP="0062548B">
      <w:pPr>
        <w:pStyle w:val="Bullet1"/>
        <w:rPr>
          <w:rFonts w:eastAsia="Arial" w:cs="Arial"/>
          <w:color w:val="000000" w:themeColor="text1"/>
          <w:lang w:val="en-GB"/>
        </w:rPr>
      </w:pPr>
      <w:r w:rsidRPr="5E80D43D">
        <w:rPr>
          <w:rFonts w:eastAsia="Arial" w:cs="Arial"/>
          <w:color w:val="000000" w:themeColor="text1"/>
          <w:lang w:val="en-GB"/>
        </w:rPr>
        <w:t>Changing an ISR rating for an adult may be undertaken at a local level.</w:t>
      </w:r>
    </w:p>
    <w:p w14:paraId="7CBF8FF5" w14:textId="10EF812F" w:rsidR="1B319422" w:rsidRDefault="1B319422" w:rsidP="5E80D43D">
      <w:pPr>
        <w:pStyle w:val="Bullet1"/>
        <w:rPr>
          <w:rFonts w:eastAsia="Arial" w:cs="Arial"/>
          <w:color w:val="000000" w:themeColor="text1"/>
          <w:lang w:val="en-GB"/>
        </w:rPr>
      </w:pPr>
      <w:r w:rsidRPr="5E80D43D">
        <w:rPr>
          <w:rFonts w:eastAsia="Arial" w:cs="Arial"/>
          <w:color w:val="000000" w:themeColor="text1"/>
          <w:lang w:val="en-GB"/>
        </w:rPr>
        <w:t xml:space="preserve">In both cases, documentation of rationale for downgrading should </w:t>
      </w:r>
      <w:r w:rsidR="3808D07C" w:rsidRPr="008C0001">
        <w:rPr>
          <w:rFonts w:eastAsia="Arial" w:cs="Arial"/>
          <w:color w:val="000000" w:themeColor="text1"/>
          <w:lang w:val="en-GB"/>
        </w:rPr>
        <w:t>be made in VIHMS and clinical notes.</w:t>
      </w:r>
    </w:p>
    <w:p w14:paraId="49F46D86" w14:textId="35B759B4" w:rsidR="004B40C9" w:rsidRDefault="004B40C9">
      <w:pPr>
        <w:spacing w:after="0" w:line="240" w:lineRule="auto"/>
        <w:rPr>
          <w:rFonts w:eastAsia="Arial" w:cs="Arial"/>
          <w:color w:val="000000" w:themeColor="text1"/>
          <w:lang w:val="en-GB"/>
        </w:rPr>
      </w:pPr>
      <w:r>
        <w:rPr>
          <w:rFonts w:eastAsia="Arial" w:cs="Arial"/>
          <w:color w:val="000000" w:themeColor="text1"/>
          <w:lang w:val="en-GB"/>
        </w:rPr>
        <w:br w:type="page"/>
      </w:r>
    </w:p>
    <w:p w14:paraId="1630C67D" w14:textId="235B952A" w:rsidR="00670FDB" w:rsidRDefault="00670FDB" w:rsidP="00670FDB">
      <w:pPr>
        <w:pStyle w:val="Heading3"/>
      </w:pPr>
      <w:r>
        <w:lastRenderedPageBreak/>
        <w:t xml:space="preserve">ISRs for sexual safety incidents – bed-based </w:t>
      </w:r>
      <w:r w:rsidR="00A515CD">
        <w:t xml:space="preserve">clinical </w:t>
      </w:r>
      <w:r>
        <w:t>mental health service</w:t>
      </w:r>
      <w:r w:rsidR="00A515CD">
        <w:t xml:space="preserve"> providers</w:t>
      </w:r>
    </w:p>
    <w:p w14:paraId="683B5EAF" w14:textId="77777777" w:rsidR="00670FDB" w:rsidRDefault="00670FDB" w:rsidP="00670FDB">
      <w:pPr>
        <w:pStyle w:val="Body"/>
      </w:pPr>
      <w:r>
        <w:t>Note: This is a guide only. Clinical judgement and a trauma-informed perspective must guide ISR allocation for sexual safety incidents.</w:t>
      </w:r>
    </w:p>
    <w:tbl>
      <w:tblPr>
        <w:tblStyle w:val="TableGrid"/>
        <w:tblW w:w="9493" w:type="dxa"/>
        <w:tblLook w:val="0620" w:firstRow="1" w:lastRow="0" w:firstColumn="0" w:lastColumn="0" w:noHBand="1" w:noVBand="1"/>
      </w:tblPr>
      <w:tblGrid>
        <w:gridCol w:w="1979"/>
        <w:gridCol w:w="7514"/>
      </w:tblGrid>
      <w:tr w:rsidR="00670FDB" w:rsidRPr="00722B36" w14:paraId="4227E8E6" w14:textId="77777777" w:rsidTr="4E610130">
        <w:trPr>
          <w:tblHeader/>
        </w:trPr>
        <w:tc>
          <w:tcPr>
            <w:tcW w:w="1979" w:type="dxa"/>
            <w:shd w:val="clear" w:color="auto" w:fill="FAE0E6"/>
          </w:tcPr>
          <w:p w14:paraId="48AC3F08" w14:textId="77777777" w:rsidR="00670FDB" w:rsidRPr="00722B36" w:rsidRDefault="00670FDB" w:rsidP="00740E70">
            <w:pPr>
              <w:pStyle w:val="Tablecolhead"/>
            </w:pPr>
            <w:r>
              <w:t>ISR</w:t>
            </w:r>
          </w:p>
        </w:tc>
        <w:tc>
          <w:tcPr>
            <w:tcW w:w="7514" w:type="dxa"/>
            <w:shd w:val="clear" w:color="auto" w:fill="FAE0E6"/>
          </w:tcPr>
          <w:p w14:paraId="12FAFF7C" w14:textId="77777777" w:rsidR="00670FDB" w:rsidRPr="00722B36" w:rsidRDefault="00670FDB" w:rsidP="00740E70">
            <w:pPr>
              <w:pStyle w:val="Tablecolhead"/>
            </w:pPr>
            <w:r w:rsidRPr="00722B36">
              <w:t>Type of incident</w:t>
            </w:r>
          </w:p>
        </w:tc>
      </w:tr>
      <w:tr w:rsidR="00670FDB" w:rsidRPr="00722B36" w14:paraId="61DDA2EC" w14:textId="77777777" w:rsidTr="4E610130">
        <w:tc>
          <w:tcPr>
            <w:tcW w:w="1979" w:type="dxa"/>
          </w:tcPr>
          <w:p w14:paraId="101EA9E2" w14:textId="77777777" w:rsidR="00670FDB" w:rsidRPr="003A3558" w:rsidRDefault="00670FDB" w:rsidP="00740E70">
            <w:pPr>
              <w:pStyle w:val="Tabletext"/>
              <w:rPr>
                <w:b/>
                <w:bCs/>
              </w:rPr>
            </w:pPr>
            <w:r w:rsidRPr="003A3558">
              <w:rPr>
                <w:b/>
                <w:bCs/>
              </w:rPr>
              <w:t>ISR 1</w:t>
            </w:r>
            <w:r w:rsidRPr="003A3558" w:rsidDel="00C1269F">
              <w:rPr>
                <w:b/>
                <w:bCs/>
              </w:rPr>
              <w:t xml:space="preserve"> </w:t>
            </w:r>
            <w:r>
              <w:rPr>
                <w:b/>
                <w:bCs/>
              </w:rPr>
              <w:t xml:space="preserve">– </w:t>
            </w:r>
            <w:r w:rsidRPr="003A3558">
              <w:rPr>
                <w:b/>
                <w:bCs/>
              </w:rPr>
              <w:t>Severe</w:t>
            </w:r>
          </w:p>
          <w:p w14:paraId="0367ECEA" w14:textId="3C34AF97" w:rsidR="00670FDB" w:rsidRPr="003A3558" w:rsidRDefault="00670FDB" w:rsidP="4E610130">
            <w:pPr>
              <w:pStyle w:val="Tabletext"/>
              <w:rPr>
                <w:b/>
                <w:bCs/>
                <w:i/>
                <w:iCs/>
              </w:rPr>
            </w:pPr>
            <w:r w:rsidRPr="4E610130">
              <w:rPr>
                <w:b/>
                <w:bCs/>
                <w:i/>
                <w:iCs/>
              </w:rPr>
              <w:t xml:space="preserve">A serious sexual safety incident that has caused substantial harm </w:t>
            </w:r>
            <w:r w:rsidR="3C6A793A" w:rsidRPr="4E610130">
              <w:rPr>
                <w:b/>
                <w:bCs/>
                <w:i/>
                <w:iCs/>
              </w:rPr>
              <w:t xml:space="preserve">or </w:t>
            </w:r>
            <w:r w:rsidR="007F6BDE">
              <w:rPr>
                <w:b/>
                <w:bCs/>
                <w:i/>
                <w:iCs/>
              </w:rPr>
              <w:t xml:space="preserve">requiring </w:t>
            </w:r>
            <w:r w:rsidR="3C6A793A" w:rsidRPr="4E610130">
              <w:rPr>
                <w:b/>
                <w:bCs/>
                <w:i/>
                <w:iCs/>
              </w:rPr>
              <w:t xml:space="preserve">advanced level of care </w:t>
            </w:r>
          </w:p>
        </w:tc>
        <w:tc>
          <w:tcPr>
            <w:tcW w:w="7514" w:type="dxa"/>
          </w:tcPr>
          <w:p w14:paraId="44F88E1F" w14:textId="0F672440" w:rsidR="00670FDB" w:rsidRPr="00722B36" w:rsidRDefault="00670FDB" w:rsidP="00740E70">
            <w:pPr>
              <w:pStyle w:val="Tabletext"/>
            </w:pPr>
            <w:r>
              <w:t>Major harm (psychological and/or physical) has occurred.</w:t>
            </w:r>
            <w:r w:rsidR="4441851B">
              <w:t xml:space="preserve"> </w:t>
            </w:r>
            <w:r w:rsidR="194FDF02">
              <w:t>Fo</w:t>
            </w:r>
            <w:r w:rsidR="4441851B">
              <w:t>r psychological harm a fo</w:t>
            </w:r>
            <w:r w:rsidR="1B793354">
              <w:t>rmal diagnosis may indicate permanent harm.</w:t>
            </w:r>
          </w:p>
          <w:p w14:paraId="48095F5E" w14:textId="2A1C46E6" w:rsidR="49CE383D" w:rsidRDefault="49CE383D" w:rsidP="4E610130">
            <w:pPr>
              <w:pStyle w:val="Tabletext"/>
            </w:pPr>
            <w:r>
              <w:t>May require</w:t>
            </w:r>
            <w:r w:rsidR="06CAE61E">
              <w:t xml:space="preserve"> advanced change in level of care including HSA</w:t>
            </w:r>
            <w:r w:rsidR="138DDF8C">
              <w:t>, change in goals of treatment.</w:t>
            </w:r>
          </w:p>
          <w:p w14:paraId="0E710F2F" w14:textId="77777777" w:rsidR="00670FDB" w:rsidRPr="00722B36" w:rsidRDefault="00670FDB" w:rsidP="00740E70">
            <w:pPr>
              <w:pStyle w:val="Tabletext"/>
            </w:pPr>
            <w:r w:rsidRPr="00722B36">
              <w:t xml:space="preserve">For example, a serious sexual assault such as </w:t>
            </w:r>
            <w:r>
              <w:t xml:space="preserve">suspected or alleged </w:t>
            </w:r>
            <w:r w:rsidRPr="00722B36">
              <w:t>rape (as defined by the Crimes Act)</w:t>
            </w:r>
            <w:r>
              <w:t xml:space="preserve"> or s</w:t>
            </w:r>
            <w:r w:rsidRPr="00722B36">
              <w:t>tatutory rape (illegal sexual activity between an adult and a minor)</w:t>
            </w:r>
            <w:r>
              <w:t>.</w:t>
            </w:r>
          </w:p>
          <w:p w14:paraId="22604256" w14:textId="645E8A09" w:rsidR="00670FDB" w:rsidRPr="00722B36" w:rsidRDefault="00670FDB" w:rsidP="00740E70">
            <w:pPr>
              <w:pStyle w:val="Tabletext"/>
            </w:pPr>
            <w:r>
              <w:t>Sexual safety incidents that result in pregnancy.</w:t>
            </w:r>
          </w:p>
        </w:tc>
      </w:tr>
      <w:tr w:rsidR="00670FDB" w:rsidRPr="00722B36" w14:paraId="7A40DB27" w14:textId="77777777" w:rsidTr="4E610130">
        <w:tc>
          <w:tcPr>
            <w:tcW w:w="1979" w:type="dxa"/>
          </w:tcPr>
          <w:p w14:paraId="0EC03518" w14:textId="77777777" w:rsidR="00670FDB" w:rsidRPr="003A3558" w:rsidRDefault="00670FDB" w:rsidP="00740E70">
            <w:pPr>
              <w:pStyle w:val="Tabletext"/>
              <w:rPr>
                <w:b/>
                <w:bCs/>
              </w:rPr>
            </w:pPr>
            <w:r w:rsidRPr="003A3558">
              <w:rPr>
                <w:b/>
                <w:bCs/>
              </w:rPr>
              <w:t>ISR 2</w:t>
            </w:r>
            <w:r w:rsidRPr="003A3558" w:rsidDel="00C1269F">
              <w:rPr>
                <w:b/>
                <w:bCs/>
              </w:rPr>
              <w:t xml:space="preserve"> </w:t>
            </w:r>
            <w:r>
              <w:rPr>
                <w:b/>
                <w:bCs/>
              </w:rPr>
              <w:t xml:space="preserve">– </w:t>
            </w:r>
            <w:r w:rsidRPr="003A3558">
              <w:rPr>
                <w:b/>
                <w:bCs/>
              </w:rPr>
              <w:t>Moderate</w:t>
            </w:r>
          </w:p>
          <w:p w14:paraId="7EC188C5" w14:textId="77777777" w:rsidR="00670FDB" w:rsidRPr="003A3558" w:rsidRDefault="00670FDB" w:rsidP="00740E70">
            <w:pPr>
              <w:pStyle w:val="Tabletext"/>
              <w:rPr>
                <w:rFonts w:cs="Arial"/>
                <w:b/>
                <w:bCs/>
                <w:i/>
                <w:iCs/>
              </w:rPr>
            </w:pPr>
            <w:r w:rsidRPr="003A3558">
              <w:rPr>
                <w:b/>
                <w:bCs/>
                <w:i/>
                <w:iCs/>
              </w:rPr>
              <w:t>A sexual safety incident resulting in the consumer, visitor or staff requiring increased levels of care</w:t>
            </w:r>
          </w:p>
        </w:tc>
        <w:tc>
          <w:tcPr>
            <w:tcW w:w="7514" w:type="dxa"/>
          </w:tcPr>
          <w:p w14:paraId="61A8F077" w14:textId="77777777" w:rsidR="00670FDB" w:rsidRPr="00722B36" w:rsidRDefault="00670FDB" w:rsidP="00740E70">
            <w:pPr>
              <w:pStyle w:val="Tabletext"/>
            </w:pPr>
            <w:r w:rsidRPr="00722B36">
              <w:t>Significant harm has occurred (psychological and/or physical)</w:t>
            </w:r>
            <w:r>
              <w:t>.</w:t>
            </w:r>
          </w:p>
          <w:p w14:paraId="55ACB1E0" w14:textId="1CCF6370" w:rsidR="00670FDB" w:rsidRPr="00722B36" w:rsidRDefault="0DB12413" w:rsidP="00740E70">
            <w:pPr>
              <w:pStyle w:val="Tabletext"/>
            </w:pPr>
            <w:r>
              <w:t xml:space="preserve">May require intermediate level of care including extending length of care for 72hrs. </w:t>
            </w:r>
            <w:r w:rsidR="5D3878FE">
              <w:t>Psychiatric or psychological intervention, or increased treatment beyond increased observation or refe</w:t>
            </w:r>
            <w:r w:rsidR="5A0D8472">
              <w:t>r to additional care for more than single occasion of treatment.</w:t>
            </w:r>
          </w:p>
          <w:p w14:paraId="291DEBA9" w14:textId="478BB9C9" w:rsidR="00670FDB" w:rsidRPr="00722B36" w:rsidRDefault="00670FDB" w:rsidP="00740E70">
            <w:pPr>
              <w:pStyle w:val="Tabletext"/>
            </w:pPr>
            <w:r>
              <w:t xml:space="preserve">Some instances of sexual assault – for example, non-consensual touching while clothed. </w:t>
            </w:r>
          </w:p>
          <w:p w14:paraId="7BE6717B" w14:textId="77777777" w:rsidR="00670FDB" w:rsidRPr="00722B36" w:rsidRDefault="00670FDB" w:rsidP="00740E70">
            <w:pPr>
              <w:pStyle w:val="Tabletext"/>
            </w:pPr>
            <w:r w:rsidRPr="00722B36">
              <w:t xml:space="preserve">Sexual activity that may result in pregnancy or transmission </w:t>
            </w:r>
            <w:r>
              <w:t>of a sexually transmitted infection</w:t>
            </w:r>
            <w:r w:rsidRPr="00722B36">
              <w:t xml:space="preserve"> and testing is necessary</w:t>
            </w:r>
            <w:r>
              <w:t>.</w:t>
            </w:r>
            <w:r w:rsidRPr="00722B36">
              <w:t xml:space="preserve"> </w:t>
            </w:r>
          </w:p>
          <w:p w14:paraId="2B47E042" w14:textId="77777777" w:rsidR="00670FDB" w:rsidRPr="00722B36" w:rsidRDefault="00670FDB" w:rsidP="00740E70">
            <w:pPr>
              <w:pStyle w:val="Tabletext"/>
            </w:pPr>
            <w:r w:rsidRPr="00722B36">
              <w:t>Incidents where there is suspected coercion, transactional sexual activity, predatory behaviour or a power imbalance between parties</w:t>
            </w:r>
            <w:r>
              <w:t>.</w:t>
            </w:r>
          </w:p>
          <w:p w14:paraId="0DAB6E72" w14:textId="77777777" w:rsidR="00670FDB" w:rsidRDefault="00670FDB" w:rsidP="00740E70">
            <w:pPr>
              <w:pStyle w:val="Tabletext"/>
            </w:pPr>
            <w:r w:rsidRPr="00722B36">
              <w:t>Sexual activity involving one or more minors (</w:t>
            </w:r>
            <w:r>
              <w:t xml:space="preserve">under </w:t>
            </w:r>
            <w:r w:rsidRPr="00722B36">
              <w:t>18 years old) must be rated as at least ISR 2</w:t>
            </w:r>
            <w:r>
              <w:t>.</w:t>
            </w:r>
          </w:p>
          <w:p w14:paraId="2315E290" w14:textId="77777777" w:rsidR="00DD43B6" w:rsidRPr="00722B36" w:rsidRDefault="00DD43B6" w:rsidP="00DD43B6">
            <w:pPr>
              <w:pStyle w:val="Tabletext"/>
            </w:pPr>
            <w:r w:rsidRPr="00722B36">
              <w:t>Incidents where there is a suspicion that a sexual assault may have occurred although parties are not reporting this</w:t>
            </w:r>
            <w:r>
              <w:t>.</w:t>
            </w:r>
          </w:p>
          <w:p w14:paraId="7F7302D6" w14:textId="77523A3B" w:rsidR="00DD43B6" w:rsidRPr="00722B36" w:rsidRDefault="00DD43B6" w:rsidP="00740E70">
            <w:pPr>
              <w:pStyle w:val="Tabletext"/>
            </w:pPr>
            <w:r w:rsidRPr="00722B36">
              <w:t xml:space="preserve">Incidents where an </w:t>
            </w:r>
            <w:r>
              <w:t>a</w:t>
            </w:r>
            <w:r w:rsidRPr="00722B36">
              <w:t xml:space="preserve">ffected party </w:t>
            </w:r>
            <w:r>
              <w:t xml:space="preserve">responds in a way that may indicate a sexual assault has occurred and had a substantial impact. This may present in a range of ways – for example, if an affected party </w:t>
            </w:r>
            <w:r w:rsidRPr="00722B36">
              <w:t>is acutely distressed</w:t>
            </w:r>
            <w:r>
              <w:t xml:space="preserve">, appears numb, flat or dissociated, or is very controlled in their response. </w:t>
            </w:r>
          </w:p>
        </w:tc>
      </w:tr>
      <w:tr w:rsidR="00670FDB" w:rsidRPr="00722B36" w14:paraId="65C71944" w14:textId="77777777" w:rsidTr="4E610130">
        <w:tc>
          <w:tcPr>
            <w:tcW w:w="1979" w:type="dxa"/>
          </w:tcPr>
          <w:p w14:paraId="25245A7C" w14:textId="24B97CD7" w:rsidR="00670FDB" w:rsidRPr="003A3558" w:rsidRDefault="00670FDB" w:rsidP="00740E70">
            <w:pPr>
              <w:pStyle w:val="Tabletext"/>
              <w:rPr>
                <w:b/>
                <w:bCs/>
              </w:rPr>
            </w:pPr>
            <w:r w:rsidRPr="4E610130">
              <w:rPr>
                <w:b/>
                <w:bCs/>
              </w:rPr>
              <w:t>ISR 3 – M</w:t>
            </w:r>
            <w:r w:rsidR="1B5AEAE4" w:rsidRPr="4E610130">
              <w:rPr>
                <w:b/>
                <w:bCs/>
              </w:rPr>
              <w:t>inor</w:t>
            </w:r>
          </w:p>
          <w:p w14:paraId="7EB00F80" w14:textId="18F25426" w:rsidR="00670FDB" w:rsidRPr="003A3558" w:rsidRDefault="00670FDB" w:rsidP="00740E70">
            <w:pPr>
              <w:pStyle w:val="Tabletext"/>
              <w:rPr>
                <w:b/>
                <w:bCs/>
                <w:i/>
                <w:iCs/>
              </w:rPr>
            </w:pPr>
            <w:r w:rsidRPr="003A3558">
              <w:rPr>
                <w:b/>
                <w:bCs/>
                <w:i/>
                <w:iCs/>
              </w:rPr>
              <w:t xml:space="preserve">A sexual safety incident that results in minimal injury with </w:t>
            </w:r>
            <w:r w:rsidR="007F6BDE">
              <w:rPr>
                <w:b/>
                <w:bCs/>
                <w:i/>
                <w:iCs/>
              </w:rPr>
              <w:t xml:space="preserve">minor or no </w:t>
            </w:r>
            <w:r w:rsidRPr="003A3558">
              <w:rPr>
                <w:b/>
                <w:bCs/>
                <w:i/>
                <w:iCs/>
              </w:rPr>
              <w:t>additional care required</w:t>
            </w:r>
          </w:p>
        </w:tc>
        <w:tc>
          <w:tcPr>
            <w:tcW w:w="7514" w:type="dxa"/>
          </w:tcPr>
          <w:p w14:paraId="434F9424" w14:textId="77777777" w:rsidR="00670FDB" w:rsidRPr="00722B36" w:rsidRDefault="00670FDB" w:rsidP="00740E70">
            <w:pPr>
              <w:pStyle w:val="Tabletext"/>
            </w:pPr>
            <w:r w:rsidRPr="00722B36">
              <w:t>Temporary minor harm has occurred</w:t>
            </w:r>
            <w:r>
              <w:t>.</w:t>
            </w:r>
            <w:r w:rsidRPr="00722B36">
              <w:t xml:space="preserve"> </w:t>
            </w:r>
          </w:p>
          <w:p w14:paraId="5EF2FF9E" w14:textId="77777777" w:rsidR="00670FDB" w:rsidRPr="00722B36" w:rsidRDefault="00670FDB" w:rsidP="00740E70">
            <w:pPr>
              <w:pStyle w:val="Tabletext"/>
            </w:pPr>
            <w:r w:rsidRPr="00722B36">
              <w:t>Minor incidents of sexual harassment or sexual activity where there may be mild distress or psychological consequences</w:t>
            </w:r>
            <w:r>
              <w:t>.</w:t>
            </w:r>
            <w:r w:rsidRPr="00722B36">
              <w:t xml:space="preserve"> </w:t>
            </w:r>
          </w:p>
          <w:p w14:paraId="2B4548BC" w14:textId="2A73CA49" w:rsidR="00670FDB" w:rsidRPr="00722B36" w:rsidRDefault="00670FDB" w:rsidP="00740E70">
            <w:pPr>
              <w:pStyle w:val="Tabletext"/>
            </w:pPr>
            <w:r>
              <w:t xml:space="preserve">There is no need for </w:t>
            </w:r>
            <w:r w:rsidR="4B104D91">
              <w:t xml:space="preserve">ongoing </w:t>
            </w:r>
            <w:r>
              <w:t xml:space="preserve">medical </w:t>
            </w:r>
            <w:r w:rsidR="00646C8E">
              <w:t>treatment, testing</w:t>
            </w:r>
            <w:r>
              <w:t xml:space="preserve"> </w:t>
            </w:r>
            <w:r w:rsidR="690D7E5B">
              <w:t>or psychological su</w:t>
            </w:r>
            <w:r w:rsidR="44FBD63D">
              <w:t>pport</w:t>
            </w:r>
            <w:r w:rsidR="690D7E5B">
              <w:t xml:space="preserve"> </w:t>
            </w:r>
            <w:r>
              <w:t>following the incident.</w:t>
            </w:r>
          </w:p>
          <w:p w14:paraId="1C042333" w14:textId="77777777" w:rsidR="00670FDB" w:rsidRPr="00722B36" w:rsidRDefault="00670FDB" w:rsidP="00740E70">
            <w:pPr>
              <w:pStyle w:val="Tabletext"/>
            </w:pPr>
            <w:r w:rsidRPr="00722B36">
              <w:t>There is no indication of a significant power imbalance due to trauma history, mental state</w:t>
            </w:r>
            <w:r>
              <w:t xml:space="preserve"> or</w:t>
            </w:r>
            <w:r w:rsidRPr="00722B36">
              <w:t xml:space="preserve"> sedation</w:t>
            </w:r>
            <w:r>
              <w:t>,</w:t>
            </w:r>
            <w:r w:rsidRPr="00722B36">
              <w:t xml:space="preserve"> </w:t>
            </w:r>
            <w:r>
              <w:t>for example.</w:t>
            </w:r>
          </w:p>
        </w:tc>
      </w:tr>
      <w:tr w:rsidR="00670FDB" w:rsidRPr="00722B36" w14:paraId="4B97BD98" w14:textId="77777777" w:rsidTr="4E610130">
        <w:tc>
          <w:tcPr>
            <w:tcW w:w="1979" w:type="dxa"/>
          </w:tcPr>
          <w:p w14:paraId="22213952" w14:textId="77777777" w:rsidR="00670FDB" w:rsidRPr="003A3558" w:rsidRDefault="00670FDB" w:rsidP="00740E70">
            <w:pPr>
              <w:pStyle w:val="Tabletext"/>
              <w:rPr>
                <w:b/>
                <w:bCs/>
              </w:rPr>
            </w:pPr>
            <w:r w:rsidRPr="003A3558">
              <w:rPr>
                <w:b/>
                <w:bCs/>
              </w:rPr>
              <w:t xml:space="preserve">ISR 4 </w:t>
            </w:r>
            <w:r>
              <w:rPr>
                <w:b/>
                <w:bCs/>
              </w:rPr>
              <w:t xml:space="preserve">– </w:t>
            </w:r>
            <w:r w:rsidRPr="003A3558">
              <w:rPr>
                <w:b/>
                <w:bCs/>
              </w:rPr>
              <w:t xml:space="preserve">Near </w:t>
            </w:r>
            <w:r>
              <w:rPr>
                <w:b/>
                <w:bCs/>
              </w:rPr>
              <w:t>m</w:t>
            </w:r>
            <w:r w:rsidRPr="003A3558">
              <w:rPr>
                <w:b/>
                <w:bCs/>
              </w:rPr>
              <w:t>iss</w:t>
            </w:r>
          </w:p>
          <w:p w14:paraId="6FA0BCAD" w14:textId="77777777" w:rsidR="00670FDB" w:rsidRPr="003A3558" w:rsidRDefault="00670FDB" w:rsidP="00740E70">
            <w:pPr>
              <w:pStyle w:val="Tabletext"/>
              <w:rPr>
                <w:b/>
                <w:bCs/>
                <w:i/>
                <w:iCs/>
              </w:rPr>
            </w:pPr>
            <w:r w:rsidRPr="003A3558">
              <w:rPr>
                <w:b/>
                <w:bCs/>
                <w:i/>
                <w:iCs/>
              </w:rPr>
              <w:t>A sexual safety incident was avoided</w:t>
            </w:r>
          </w:p>
        </w:tc>
        <w:tc>
          <w:tcPr>
            <w:tcW w:w="7514" w:type="dxa"/>
          </w:tcPr>
          <w:p w14:paraId="04733A67" w14:textId="77777777" w:rsidR="00670FDB" w:rsidRPr="00722B36" w:rsidRDefault="00670FDB" w:rsidP="00740E70">
            <w:pPr>
              <w:pStyle w:val="Tabletext"/>
            </w:pPr>
            <w:r w:rsidRPr="00722B36">
              <w:t>No harm has occurred</w:t>
            </w:r>
            <w:r>
              <w:t>.</w:t>
            </w:r>
          </w:p>
          <w:p w14:paraId="53943724" w14:textId="77777777" w:rsidR="00670FDB" w:rsidRPr="00722B36" w:rsidRDefault="00670FDB" w:rsidP="00740E70">
            <w:pPr>
              <w:pStyle w:val="Tabletext"/>
            </w:pPr>
            <w:r w:rsidRPr="00722B36">
              <w:t>None of the involved parties are distressed</w:t>
            </w:r>
            <w:r>
              <w:t>.</w:t>
            </w:r>
          </w:p>
          <w:p w14:paraId="781442FB" w14:textId="77777777" w:rsidR="00670FDB" w:rsidRPr="00722B36" w:rsidRDefault="00670FDB" w:rsidP="00740E70">
            <w:pPr>
              <w:pStyle w:val="Tabletext"/>
            </w:pPr>
            <w:r w:rsidRPr="00722B36">
              <w:t>No harm or injury has occurred</w:t>
            </w:r>
            <w:r>
              <w:t>.</w:t>
            </w:r>
          </w:p>
          <w:p w14:paraId="3C5A8E65" w14:textId="77777777" w:rsidR="00670FDB" w:rsidRPr="00722B36" w:rsidRDefault="00670FDB" w:rsidP="00740E70">
            <w:pPr>
              <w:pStyle w:val="Tabletext"/>
            </w:pPr>
            <w:r w:rsidRPr="00722B36">
              <w:t>No change in treatment require</w:t>
            </w:r>
            <w:r>
              <w:t>d.</w:t>
            </w:r>
          </w:p>
          <w:p w14:paraId="7915923A" w14:textId="77777777" w:rsidR="00670FDB" w:rsidRPr="00722B36" w:rsidRDefault="00670FDB" w:rsidP="00740E70">
            <w:pPr>
              <w:pStyle w:val="Tabletext"/>
            </w:pPr>
            <w:r w:rsidRPr="00722B36">
              <w:t>A sexual safety incident has been avoided</w:t>
            </w:r>
            <w:r>
              <w:t>.</w:t>
            </w:r>
          </w:p>
        </w:tc>
      </w:tr>
    </w:tbl>
    <w:p w14:paraId="17515A3F" w14:textId="77777777" w:rsidR="00670FDB" w:rsidRDefault="00670FDB" w:rsidP="00670FDB">
      <w:pPr>
        <w:pStyle w:val="Body"/>
      </w:pPr>
      <w:bookmarkStart w:id="45" w:name="_Toc135312676"/>
    </w:p>
    <w:p w14:paraId="26FFD730" w14:textId="75DB61B6" w:rsidR="00670FDB" w:rsidRPr="00FB2698" w:rsidRDefault="00670FDB" w:rsidP="630A6DA8">
      <w:pPr>
        <w:pStyle w:val="Body"/>
        <w:spacing w:after="40"/>
      </w:pPr>
    </w:p>
    <w:p w14:paraId="3FEF1E09" w14:textId="77777777" w:rsidR="00670FDB" w:rsidRPr="00C86C60" w:rsidRDefault="00670FDB" w:rsidP="00670FDB">
      <w:pPr>
        <w:pStyle w:val="Heading2"/>
      </w:pPr>
      <w:bookmarkStart w:id="46" w:name="_Toc139183512"/>
      <w:bookmarkStart w:id="47" w:name="_Toc147761582"/>
      <w:r w:rsidRPr="00C86C60">
        <w:lastRenderedPageBreak/>
        <w:t xml:space="preserve">Frequently asked </w:t>
      </w:r>
      <w:bookmarkEnd w:id="45"/>
      <w:bookmarkEnd w:id="46"/>
      <w:r>
        <w:t>q</w:t>
      </w:r>
      <w:r w:rsidRPr="00C86C60">
        <w:t>uestions</w:t>
      </w:r>
      <w:bookmarkEnd w:id="47"/>
    </w:p>
    <w:p w14:paraId="536011B1" w14:textId="2FA02789" w:rsidR="00670FDB" w:rsidRPr="00FA129A" w:rsidRDefault="00670FDB" w:rsidP="00670FDB">
      <w:pPr>
        <w:pStyle w:val="Body"/>
        <w:rPr>
          <w:rFonts w:cs="Arial"/>
          <w:szCs w:val="21"/>
        </w:rPr>
      </w:pPr>
      <w:r w:rsidRPr="00722B36">
        <w:rPr>
          <w:rFonts w:cs="Arial"/>
          <w:szCs w:val="21"/>
        </w:rPr>
        <w:t xml:space="preserve">To help decision making </w:t>
      </w:r>
      <w:r>
        <w:rPr>
          <w:rFonts w:cs="Arial"/>
          <w:szCs w:val="21"/>
        </w:rPr>
        <w:t>in</w:t>
      </w:r>
      <w:r w:rsidRPr="00722B36">
        <w:rPr>
          <w:rFonts w:cs="Arial"/>
          <w:szCs w:val="21"/>
        </w:rPr>
        <w:t xml:space="preserve"> sexual safety reporting, below are some examples of </w:t>
      </w:r>
      <w:r>
        <w:rPr>
          <w:rFonts w:cs="Arial"/>
          <w:szCs w:val="21"/>
        </w:rPr>
        <w:t>frequently asked questions</w:t>
      </w:r>
      <w:r w:rsidRPr="00722B36">
        <w:rPr>
          <w:rFonts w:cs="Arial"/>
          <w:szCs w:val="21"/>
        </w:rPr>
        <w:t>.</w:t>
      </w:r>
      <w:r w:rsidRPr="00722B36">
        <w:t xml:space="preserve"> </w:t>
      </w:r>
      <w:r>
        <w:t xml:space="preserve">Frontline staff and managers should seek advice from colleagues, senior staff, the </w:t>
      </w:r>
      <w:r w:rsidR="000A5A78">
        <w:t>A</w:t>
      </w:r>
      <w:r>
        <w:t xml:space="preserve">uthorised </w:t>
      </w:r>
      <w:r w:rsidR="000A5A78">
        <w:t>P</w:t>
      </w:r>
      <w:r>
        <w:t xml:space="preserve">sychiatrist or delegate or the OCP if unsure. </w:t>
      </w:r>
    </w:p>
    <w:p w14:paraId="279385A6" w14:textId="77777777" w:rsidR="00670FDB" w:rsidRPr="00F41113" w:rsidRDefault="00670FDB" w:rsidP="00670FDB">
      <w:pPr>
        <w:pStyle w:val="Body"/>
        <w:rPr>
          <w:b/>
          <w:bCs/>
        </w:rPr>
      </w:pPr>
      <w:r w:rsidRPr="006434AF">
        <w:rPr>
          <w:b/>
        </w:rPr>
        <w:t>Q.</w:t>
      </w:r>
      <w:r w:rsidRPr="00F41113">
        <w:rPr>
          <w:b/>
          <w:bCs/>
        </w:rPr>
        <w:t xml:space="preserve"> Should touch</w:t>
      </w:r>
      <w:r>
        <w:rPr>
          <w:b/>
          <w:bCs/>
        </w:rPr>
        <w:t xml:space="preserve"> –</w:t>
      </w:r>
      <w:r w:rsidRPr="00F41113">
        <w:rPr>
          <w:b/>
          <w:bCs/>
        </w:rPr>
        <w:t xml:space="preserve"> for example</w:t>
      </w:r>
      <w:r>
        <w:rPr>
          <w:b/>
          <w:bCs/>
        </w:rPr>
        <w:t>,</w:t>
      </w:r>
      <w:r w:rsidRPr="00F41113">
        <w:rPr>
          <w:b/>
          <w:bCs/>
        </w:rPr>
        <w:t xml:space="preserve"> hugging, kissing on the cheek or touching on the arm</w:t>
      </w:r>
      <w:r>
        <w:rPr>
          <w:b/>
          <w:bCs/>
        </w:rPr>
        <w:t xml:space="preserve"> –</w:t>
      </w:r>
      <w:r w:rsidRPr="00F41113">
        <w:rPr>
          <w:b/>
          <w:bCs/>
        </w:rPr>
        <w:t xml:space="preserve"> which appears supportive and non-sexual be reported as a sexual safety incident?</w:t>
      </w:r>
    </w:p>
    <w:p w14:paraId="617AFCAE" w14:textId="77777777" w:rsidR="00670FDB" w:rsidRPr="00722B36" w:rsidRDefault="00670FDB" w:rsidP="00670FDB">
      <w:pPr>
        <w:pStyle w:val="Body"/>
      </w:pPr>
      <w:r w:rsidRPr="0091527C">
        <w:rPr>
          <w:b/>
        </w:rPr>
        <w:t>A.</w:t>
      </w:r>
      <w:r>
        <w:t xml:space="preserve"> No. N</w:t>
      </w:r>
      <w:r w:rsidRPr="00722B36">
        <w:t xml:space="preserve">on-sexual </w:t>
      </w:r>
      <w:r>
        <w:t xml:space="preserve">touch should not be </w:t>
      </w:r>
      <w:r w:rsidRPr="00722B36">
        <w:t>report</w:t>
      </w:r>
      <w:r>
        <w:t>ed</w:t>
      </w:r>
      <w:r w:rsidRPr="00722B36">
        <w:t>. Explain mutual expectations separately</w:t>
      </w:r>
      <w:r>
        <w:t>.</w:t>
      </w:r>
    </w:p>
    <w:p w14:paraId="463C9513" w14:textId="77777777" w:rsidR="00670FDB" w:rsidRPr="00722B36" w:rsidRDefault="00670FDB" w:rsidP="00670FDB">
      <w:pPr>
        <w:pStyle w:val="Body"/>
      </w:pPr>
      <w:r>
        <w:t xml:space="preserve">If the behaviour </w:t>
      </w:r>
      <w:r w:rsidRPr="00722B36">
        <w:t xml:space="preserve">happens repeatedly </w:t>
      </w:r>
      <w:r>
        <w:t>or if either party appears to be uncomfortable, it can be reported as sexual activity</w:t>
      </w:r>
      <w:r w:rsidRPr="00722B36">
        <w:t>.</w:t>
      </w:r>
    </w:p>
    <w:p w14:paraId="1D2FC907" w14:textId="77777777" w:rsidR="00670FDB" w:rsidRPr="00F41113" w:rsidRDefault="00670FDB" w:rsidP="00670FDB">
      <w:pPr>
        <w:pStyle w:val="Body"/>
        <w:rPr>
          <w:b/>
          <w:bCs/>
        </w:rPr>
      </w:pPr>
      <w:r w:rsidRPr="00F41113">
        <w:rPr>
          <w:b/>
          <w:bCs/>
        </w:rPr>
        <w:t>Q. Should making sexually explicit comments towards another person</w:t>
      </w:r>
      <w:r>
        <w:rPr>
          <w:b/>
          <w:bCs/>
        </w:rPr>
        <w:t xml:space="preserve"> –</w:t>
      </w:r>
      <w:r w:rsidRPr="00F41113">
        <w:rPr>
          <w:b/>
          <w:bCs/>
        </w:rPr>
        <w:t xml:space="preserve"> for example, sexual slurs, sexually explicit jokes </w:t>
      </w:r>
      <w:r>
        <w:rPr>
          <w:b/>
          <w:bCs/>
        </w:rPr>
        <w:t xml:space="preserve">– </w:t>
      </w:r>
      <w:r w:rsidRPr="00F41113">
        <w:rPr>
          <w:b/>
          <w:bCs/>
        </w:rPr>
        <w:t>be reported as a sexual safety incident?</w:t>
      </w:r>
    </w:p>
    <w:p w14:paraId="4D3FE430" w14:textId="77777777" w:rsidR="00670FDB" w:rsidRDefault="00670FDB" w:rsidP="00670FDB">
      <w:pPr>
        <w:pStyle w:val="Body"/>
      </w:pPr>
      <w:r w:rsidRPr="0091527C">
        <w:rPr>
          <w:b/>
        </w:rPr>
        <w:t>A.</w:t>
      </w:r>
      <w:r>
        <w:t xml:space="preserve"> Yes, this is r</w:t>
      </w:r>
      <w:r w:rsidRPr="00722B36">
        <w:t xml:space="preserve">eportable as </w:t>
      </w:r>
      <w:r>
        <w:t>s</w:t>
      </w:r>
      <w:r w:rsidRPr="00722B36">
        <w:t xml:space="preserve">exual </w:t>
      </w:r>
      <w:r>
        <w:t>h</w:t>
      </w:r>
      <w:r w:rsidRPr="00722B36">
        <w:t>arassment.</w:t>
      </w:r>
    </w:p>
    <w:p w14:paraId="2721ECB1" w14:textId="77777777" w:rsidR="00670FDB" w:rsidRPr="008F7E7F" w:rsidRDefault="00670FDB" w:rsidP="00670FDB">
      <w:pPr>
        <w:pStyle w:val="Body"/>
        <w:rPr>
          <w:b/>
        </w:rPr>
      </w:pPr>
      <w:r w:rsidRPr="0091527C">
        <w:rPr>
          <w:b/>
        </w:rPr>
        <w:t xml:space="preserve">Q. Is touching another person around </w:t>
      </w:r>
      <w:r>
        <w:rPr>
          <w:b/>
          <w:bCs/>
        </w:rPr>
        <w:t xml:space="preserve">the </w:t>
      </w:r>
      <w:r w:rsidRPr="008F7E7F">
        <w:rPr>
          <w:b/>
        </w:rPr>
        <w:t>genitals, buttock</w:t>
      </w:r>
      <w:r>
        <w:rPr>
          <w:b/>
          <w:bCs/>
        </w:rPr>
        <w:t>s</w:t>
      </w:r>
      <w:r w:rsidRPr="008F7E7F">
        <w:rPr>
          <w:b/>
        </w:rPr>
        <w:t xml:space="preserve"> or breasts when all parties </w:t>
      </w:r>
      <w:r w:rsidRPr="008F7E7F">
        <w:rPr>
          <w:b/>
          <w:bCs/>
        </w:rPr>
        <w:t>agree</w:t>
      </w:r>
      <w:r w:rsidRPr="008F7E7F">
        <w:rPr>
          <w:b/>
        </w:rPr>
        <w:t xml:space="preserve"> the touch was accidental and non-sexual reportable?</w:t>
      </w:r>
    </w:p>
    <w:p w14:paraId="5B820150" w14:textId="77777777" w:rsidR="00670FDB" w:rsidRPr="00722B36" w:rsidRDefault="00670FDB" w:rsidP="00670FDB">
      <w:pPr>
        <w:pStyle w:val="Body"/>
      </w:pPr>
      <w:r w:rsidRPr="008F7E7F">
        <w:rPr>
          <w:b/>
        </w:rPr>
        <w:t>A.</w:t>
      </w:r>
      <w:r>
        <w:t xml:space="preserve"> This is n</w:t>
      </w:r>
      <w:r w:rsidRPr="00722B36">
        <w:t xml:space="preserve">ot reportable </w:t>
      </w:r>
      <w:r>
        <w:t xml:space="preserve">the </w:t>
      </w:r>
      <w:r w:rsidRPr="00722B36">
        <w:t>first time</w:t>
      </w:r>
      <w:r>
        <w:t xml:space="preserve"> it occurs</w:t>
      </w:r>
      <w:r w:rsidRPr="00722B36">
        <w:t>. Explain mutual expectations. Monitor all parties.</w:t>
      </w:r>
    </w:p>
    <w:p w14:paraId="2579510D" w14:textId="77777777" w:rsidR="00670FDB" w:rsidRPr="00722B36" w:rsidRDefault="00670FDB" w:rsidP="00670FDB">
      <w:pPr>
        <w:pStyle w:val="Body"/>
      </w:pPr>
      <w:r>
        <w:t>This behaviour will become r</w:t>
      </w:r>
      <w:r w:rsidRPr="00722B36">
        <w:t xml:space="preserve">eportable as </w:t>
      </w:r>
      <w:r>
        <w:t>s</w:t>
      </w:r>
      <w:r w:rsidRPr="00722B36">
        <w:t xml:space="preserve">exual </w:t>
      </w:r>
      <w:r>
        <w:t>a</w:t>
      </w:r>
      <w:r w:rsidRPr="00722B36">
        <w:t>ssault if it happens again.</w:t>
      </w:r>
      <w:r>
        <w:t xml:space="preserve"> Note that it is extremely important to thoroughly document these incidents to ensure interventions are effective.</w:t>
      </w:r>
    </w:p>
    <w:p w14:paraId="3A272448" w14:textId="77777777" w:rsidR="00670FDB" w:rsidRPr="00F41113" w:rsidRDefault="00670FDB" w:rsidP="00670FDB">
      <w:pPr>
        <w:pStyle w:val="Body"/>
        <w:rPr>
          <w:b/>
          <w:bCs/>
        </w:rPr>
      </w:pPr>
      <w:r w:rsidRPr="00F41113">
        <w:rPr>
          <w:b/>
          <w:bCs/>
        </w:rPr>
        <w:t>Q. Should disrobing due to disorientation or confusion be reported as a sexual safety incident?</w:t>
      </w:r>
    </w:p>
    <w:p w14:paraId="0AA7BFB7" w14:textId="77777777" w:rsidR="00670FDB" w:rsidRPr="00FA129A" w:rsidRDefault="00670FDB" w:rsidP="00670FDB">
      <w:pPr>
        <w:pStyle w:val="Body"/>
      </w:pPr>
      <w:r w:rsidRPr="00A15B7C">
        <w:rPr>
          <w:b/>
        </w:rPr>
        <w:t>A.</w:t>
      </w:r>
      <w:r>
        <w:t xml:space="preserve"> </w:t>
      </w:r>
      <w:r w:rsidRPr="00FA129A">
        <w:t xml:space="preserve">No, </w:t>
      </w:r>
      <w:r>
        <w:t xml:space="preserve">this is </w:t>
      </w:r>
      <w:r w:rsidRPr="00FA129A">
        <w:t>not reportable unless there are other parties who are negatively impacted. However, if there are other parties who are distressed</w:t>
      </w:r>
      <w:r>
        <w:t>,</w:t>
      </w:r>
      <w:r w:rsidRPr="00FA129A">
        <w:t xml:space="preserve"> this response should not be minimised and the incidents should be responded to and reported as </w:t>
      </w:r>
      <w:r>
        <w:t>‘</w:t>
      </w:r>
      <w:r w:rsidRPr="00FA129A">
        <w:t>Sexual Safety Incident – Other</w:t>
      </w:r>
      <w:r>
        <w:t>’.</w:t>
      </w:r>
    </w:p>
    <w:p w14:paraId="607295FD" w14:textId="77777777" w:rsidR="00670FDB" w:rsidRPr="00F41113" w:rsidRDefault="00670FDB" w:rsidP="00670FDB">
      <w:pPr>
        <w:pStyle w:val="Body"/>
        <w:rPr>
          <w:b/>
          <w:bCs/>
        </w:rPr>
      </w:pPr>
      <w:r w:rsidRPr="00F41113">
        <w:rPr>
          <w:b/>
          <w:bCs/>
        </w:rPr>
        <w:t>Q. Is sexually inappropriate behaviour reportable when it is a symptom of a person’s mental illness and not an indication of their intention to harm others?</w:t>
      </w:r>
    </w:p>
    <w:p w14:paraId="26F0E1D4" w14:textId="77777777" w:rsidR="00670FDB" w:rsidRDefault="00670FDB" w:rsidP="00670FDB">
      <w:pPr>
        <w:pStyle w:val="Body"/>
      </w:pPr>
      <w:r w:rsidRPr="00A15B7C">
        <w:rPr>
          <w:b/>
        </w:rPr>
        <w:t>A.</w:t>
      </w:r>
      <w:r>
        <w:t xml:space="preserve"> Yes, in nearly all cases such behaviour should be reported regardless of the person’s intentions.</w:t>
      </w:r>
    </w:p>
    <w:p w14:paraId="02145078" w14:textId="77777777" w:rsidR="00670FDB" w:rsidRPr="00F41113" w:rsidRDefault="00670FDB" w:rsidP="00670FDB">
      <w:pPr>
        <w:pStyle w:val="Body"/>
        <w:rPr>
          <w:b/>
          <w:bCs/>
        </w:rPr>
      </w:pPr>
      <w:r w:rsidRPr="00F41113">
        <w:rPr>
          <w:b/>
          <w:bCs/>
        </w:rPr>
        <w:t xml:space="preserve">Q. When and how often should we report sexually inappropriate behaviour </w:t>
      </w:r>
      <w:r>
        <w:rPr>
          <w:b/>
          <w:bCs/>
        </w:rPr>
        <w:t>that</w:t>
      </w:r>
      <w:r w:rsidRPr="00F41113">
        <w:rPr>
          <w:b/>
          <w:bCs/>
        </w:rPr>
        <w:t xml:space="preserve"> is repeated frequently?</w:t>
      </w:r>
    </w:p>
    <w:p w14:paraId="605FC5E3" w14:textId="77777777" w:rsidR="00670FDB" w:rsidRPr="00722B36" w:rsidRDefault="00670FDB" w:rsidP="00670FDB">
      <w:pPr>
        <w:pStyle w:val="Body"/>
      </w:pPr>
      <w:r w:rsidRPr="0064536E">
        <w:rPr>
          <w:b/>
        </w:rPr>
        <w:t>A.</w:t>
      </w:r>
      <w:r w:rsidRPr="00FA129A">
        <w:t xml:space="preserve"> </w:t>
      </w:r>
      <w:r>
        <w:t xml:space="preserve">Every instance of the behaviour should be directly and immediately addressed with the person. </w:t>
      </w:r>
      <w:r w:rsidRPr="00722B36">
        <w:t xml:space="preserve">If the behaviour is considered </w:t>
      </w:r>
      <w:r>
        <w:t xml:space="preserve">to be </w:t>
      </w:r>
      <w:r w:rsidRPr="00722B36">
        <w:t>mild or moderate</w:t>
      </w:r>
      <w:r>
        <w:t xml:space="preserve"> in severity – for example, inappropriate sexual comments – it</w:t>
      </w:r>
      <w:r w:rsidRPr="00722B36">
        <w:t xml:space="preserve"> </w:t>
      </w:r>
      <w:r>
        <w:t xml:space="preserve">should be reported no more than once each day. </w:t>
      </w:r>
      <w:r w:rsidRPr="00722B36">
        <w:t xml:space="preserve">The report should specify that the behaviour is repetitive and </w:t>
      </w:r>
      <w:r>
        <w:t xml:space="preserve">note </w:t>
      </w:r>
      <w:r w:rsidRPr="00722B36">
        <w:t>what plan has been put in place to minimise any harm to others.</w:t>
      </w:r>
    </w:p>
    <w:p w14:paraId="55377B72" w14:textId="77777777" w:rsidR="00670FDB" w:rsidRDefault="00670FDB" w:rsidP="00670FDB">
      <w:pPr>
        <w:pStyle w:val="Body"/>
      </w:pPr>
      <w:r w:rsidRPr="00722B36">
        <w:t xml:space="preserve">If the behaviour is high in severity, then </w:t>
      </w:r>
      <w:r>
        <w:t xml:space="preserve">each individual incident must be reported. </w:t>
      </w:r>
    </w:p>
    <w:p w14:paraId="4C87970F" w14:textId="77777777" w:rsidR="00670FDB" w:rsidRPr="00F41113" w:rsidRDefault="00670FDB" w:rsidP="00670FDB">
      <w:pPr>
        <w:pStyle w:val="Body"/>
        <w:rPr>
          <w:b/>
          <w:bCs/>
        </w:rPr>
      </w:pPr>
      <w:r w:rsidRPr="00F41113">
        <w:rPr>
          <w:b/>
          <w:bCs/>
        </w:rPr>
        <w:t>Q. Should we report a sexual assault when it is believed not to be reality-based but experienced by a person as a symptom of their mental illness?</w:t>
      </w:r>
    </w:p>
    <w:p w14:paraId="08BB01B4" w14:textId="77777777" w:rsidR="00670FDB" w:rsidRDefault="00670FDB" w:rsidP="00670FDB">
      <w:pPr>
        <w:pStyle w:val="Body"/>
      </w:pPr>
      <w:r w:rsidRPr="0064536E">
        <w:rPr>
          <w:b/>
        </w:rPr>
        <w:t>A.</w:t>
      </w:r>
      <w:r>
        <w:t xml:space="preserve"> </w:t>
      </w:r>
      <w:r w:rsidRPr="00D62337">
        <w:t>Yes, such an incident should be reported</w:t>
      </w:r>
      <w:r>
        <w:t xml:space="preserve"> because</w:t>
      </w:r>
      <w:r w:rsidRPr="00D62337">
        <w:t xml:space="preserve"> it is not the responsibility of unit staff to determine the truthfulness of the allegation.</w:t>
      </w:r>
      <w:r>
        <w:t xml:space="preserve"> It is common for victim-survivors of sexual assault to have difficulty accurately describing what has occurred. This is more likely in mental health settings where people may be acutely unwell and are more likely to have experienced trauma. </w:t>
      </w:r>
    </w:p>
    <w:p w14:paraId="093D1569" w14:textId="77777777" w:rsidR="00670FDB" w:rsidRDefault="00670FDB" w:rsidP="00670FDB">
      <w:pPr>
        <w:pStyle w:val="Body"/>
      </w:pPr>
      <w:r w:rsidRPr="00D62337">
        <w:t xml:space="preserve">However, the authorised psychiatrist may determine that available information does not lend any support to the occurrence of the allegation, or there may be information contradicting the possibility that an assault could have occurred. </w:t>
      </w:r>
    </w:p>
    <w:p w14:paraId="076B0768" w14:textId="77777777" w:rsidR="00670FDB" w:rsidRPr="00722B36" w:rsidRDefault="00670FDB" w:rsidP="00670FDB">
      <w:pPr>
        <w:pStyle w:val="Body"/>
      </w:pPr>
      <w:r w:rsidRPr="00D62337">
        <w:lastRenderedPageBreak/>
        <w:t>If that is the case, the rationale for this decision must be clearly documented in the patient’s file and in the sexual safety notification</w:t>
      </w:r>
      <w:r>
        <w:t>. Implement</w:t>
      </w:r>
      <w:r w:rsidRPr="00D62337" w:rsidDel="00A125B5">
        <w:t xml:space="preserve"> </w:t>
      </w:r>
      <w:r w:rsidRPr="00D62337">
        <w:t xml:space="preserve">a </w:t>
      </w:r>
      <w:r>
        <w:t xml:space="preserve">trauma-informed </w:t>
      </w:r>
      <w:r w:rsidRPr="00106D42">
        <w:rPr>
          <w:i/>
        </w:rPr>
        <w:t xml:space="preserve">Sexual </w:t>
      </w:r>
      <w:r w:rsidRPr="00BC3FA9">
        <w:rPr>
          <w:bCs/>
          <w:i/>
          <w:iCs/>
        </w:rPr>
        <w:t>s</w:t>
      </w:r>
      <w:r w:rsidRPr="00106D42">
        <w:rPr>
          <w:bCs/>
          <w:i/>
          <w:iCs/>
        </w:rPr>
        <w:t xml:space="preserve">afety </w:t>
      </w:r>
      <w:r w:rsidRPr="00BC3FA9">
        <w:rPr>
          <w:bCs/>
          <w:i/>
          <w:iCs/>
        </w:rPr>
        <w:t>m</w:t>
      </w:r>
      <w:r w:rsidRPr="00106D42">
        <w:rPr>
          <w:bCs/>
          <w:i/>
          <w:iCs/>
        </w:rPr>
        <w:t xml:space="preserve">anagement </w:t>
      </w:r>
      <w:r w:rsidRPr="00BC3FA9">
        <w:rPr>
          <w:bCs/>
          <w:i/>
          <w:iCs/>
        </w:rPr>
        <w:t>p</w:t>
      </w:r>
      <w:r w:rsidRPr="00106D42">
        <w:rPr>
          <w:bCs/>
          <w:i/>
          <w:iCs/>
        </w:rPr>
        <w:t>lan</w:t>
      </w:r>
      <w:r w:rsidDel="00A125B5">
        <w:t xml:space="preserve"> </w:t>
      </w:r>
      <w:r>
        <w:t>to minimise risk.</w:t>
      </w:r>
    </w:p>
    <w:p w14:paraId="3007E558" w14:textId="0EEFB621" w:rsidR="00670FDB" w:rsidRPr="00722B36" w:rsidRDefault="00670FDB" w:rsidP="00670FDB">
      <w:pPr>
        <w:pStyle w:val="Body"/>
      </w:pPr>
      <w:r w:rsidRPr="00722B36">
        <w:t xml:space="preserve">If further or different information </w:t>
      </w:r>
      <w:r>
        <w:t xml:space="preserve">later </w:t>
      </w:r>
      <w:r w:rsidRPr="00722B36">
        <w:t>becomes apparent that indicates that the incident may have had some reality basis</w:t>
      </w:r>
      <w:r w:rsidR="002F4BE8">
        <w:t>,</w:t>
      </w:r>
      <w:r w:rsidRPr="00722B36">
        <w:t xml:space="preserve"> the incident should be responded to in </w:t>
      </w:r>
      <w:r>
        <w:t>line</w:t>
      </w:r>
      <w:r w:rsidRPr="00722B36">
        <w:t xml:space="preserve"> with the Chief Psychiatrist’s guideline and reported in the usual way.</w:t>
      </w:r>
    </w:p>
    <w:p w14:paraId="39F61C2A" w14:textId="77777777" w:rsidR="00670FDB" w:rsidRPr="0013180E" w:rsidRDefault="00670FDB" w:rsidP="00670FDB">
      <w:pPr>
        <w:pStyle w:val="Body"/>
        <w:rPr>
          <w:b/>
          <w:bCs/>
        </w:rPr>
      </w:pPr>
      <w:r w:rsidRPr="0013180E">
        <w:rPr>
          <w:b/>
          <w:bCs/>
        </w:rPr>
        <w:t xml:space="preserve">Q. Are there any differences in reporting sexual safety incidents </w:t>
      </w:r>
      <w:r>
        <w:rPr>
          <w:b/>
          <w:bCs/>
        </w:rPr>
        <w:t>in different aged-based services such as</w:t>
      </w:r>
      <w:r w:rsidRPr="0013180E">
        <w:rPr>
          <w:b/>
          <w:bCs/>
        </w:rPr>
        <w:t xml:space="preserve"> child/adolescent, young </w:t>
      </w:r>
      <w:r>
        <w:rPr>
          <w:b/>
          <w:bCs/>
        </w:rPr>
        <w:t>people</w:t>
      </w:r>
      <w:r w:rsidRPr="0013180E">
        <w:rPr>
          <w:b/>
          <w:bCs/>
        </w:rPr>
        <w:t xml:space="preserve">, adult and older </w:t>
      </w:r>
      <w:r>
        <w:rPr>
          <w:b/>
          <w:bCs/>
        </w:rPr>
        <w:t>persons’</w:t>
      </w:r>
      <w:r w:rsidRPr="0013180E">
        <w:rPr>
          <w:b/>
          <w:bCs/>
        </w:rPr>
        <w:t xml:space="preserve"> services?</w:t>
      </w:r>
    </w:p>
    <w:p w14:paraId="31A33DC4" w14:textId="7FF8C09D" w:rsidR="00670FDB" w:rsidRPr="00FA129A" w:rsidRDefault="00670FDB" w:rsidP="00670FDB">
      <w:pPr>
        <w:pStyle w:val="Body"/>
      </w:pPr>
      <w:r w:rsidRPr="00BC3FA9">
        <w:rPr>
          <w:b/>
        </w:rPr>
        <w:t>A.</w:t>
      </w:r>
      <w:r>
        <w:t xml:space="preserve"> </w:t>
      </w:r>
      <w:r w:rsidRPr="00FA129A">
        <w:t xml:space="preserve">Not in principle. People of all age groups have the right to be safe while they are being treated at </w:t>
      </w:r>
      <w:r>
        <w:t xml:space="preserve">bed-based </w:t>
      </w:r>
      <w:r w:rsidR="00A3702B">
        <w:t xml:space="preserve">clinical </w:t>
      </w:r>
      <w:r w:rsidRPr="00FA129A">
        <w:t xml:space="preserve">mental health </w:t>
      </w:r>
      <w:r>
        <w:t>services</w:t>
      </w:r>
      <w:r w:rsidRPr="00FA129A">
        <w:t xml:space="preserve">. Therefore, all incidents must be taken seriously, regardless of the age of </w:t>
      </w:r>
      <w:r>
        <w:t>involved parties</w:t>
      </w:r>
      <w:r w:rsidRPr="00FA129A">
        <w:t>.</w:t>
      </w:r>
    </w:p>
    <w:p w14:paraId="166B84C7" w14:textId="4F1C4BA4" w:rsidR="00670FDB" w:rsidRDefault="00670FDB" w:rsidP="00670FDB">
      <w:pPr>
        <w:pStyle w:val="Body"/>
      </w:pPr>
      <w:r w:rsidRPr="00722B36">
        <w:rPr>
          <w:b/>
          <w:bCs/>
        </w:rPr>
        <w:t>N</w:t>
      </w:r>
      <w:r>
        <w:rPr>
          <w:b/>
          <w:bCs/>
        </w:rPr>
        <w:t>ote:</w:t>
      </w:r>
      <w:r w:rsidRPr="00722B36">
        <w:t xml:space="preserve"> It is important to pay attention to the vulnerabilities of certain age groups</w:t>
      </w:r>
      <w:r>
        <w:t xml:space="preserve"> –</w:t>
      </w:r>
      <w:r w:rsidRPr="00722B36">
        <w:t xml:space="preserve"> for example</w:t>
      </w:r>
      <w:r>
        <w:t>,</w:t>
      </w:r>
      <w:r w:rsidRPr="00722B36">
        <w:t xml:space="preserve"> patients in child/adolescent units being under the legal age of consent, or patients in </w:t>
      </w:r>
      <w:r>
        <w:t>older persons’</w:t>
      </w:r>
      <w:r w:rsidRPr="00722B36">
        <w:t xml:space="preserve"> services being more likely to be victims of elder abuse</w:t>
      </w:r>
      <w:r>
        <w:t>, and in circumstances where there is a large disparity in age – for example, when a young person is admitted to an adult unit</w:t>
      </w:r>
      <w:r w:rsidRPr="00722B36">
        <w:t>.</w:t>
      </w:r>
    </w:p>
    <w:sectPr w:rsidR="00670FDB" w:rsidSect="004B40C9">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8B73" w14:textId="77777777" w:rsidR="00EC34DC" w:rsidRDefault="00EC34DC">
      <w:r>
        <w:separator/>
      </w:r>
    </w:p>
    <w:p w14:paraId="6176A373" w14:textId="77777777" w:rsidR="00EC34DC" w:rsidRDefault="00EC34DC"/>
  </w:endnote>
  <w:endnote w:type="continuationSeparator" w:id="0">
    <w:p w14:paraId="29FFC948" w14:textId="77777777" w:rsidR="00EC34DC" w:rsidRDefault="00EC34DC">
      <w:r>
        <w:continuationSeparator/>
      </w:r>
    </w:p>
    <w:p w14:paraId="54D99AD5" w14:textId="77777777" w:rsidR="00EC34DC" w:rsidRDefault="00EC34DC"/>
  </w:endnote>
  <w:endnote w:type="continuationNotice" w:id="1">
    <w:p w14:paraId="4DC352C1" w14:textId="77777777" w:rsidR="00EC34DC" w:rsidRDefault="00EC3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D195"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1A02C74" wp14:editId="38D6423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CA8F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A02C7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52CA8F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FEF3"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0EB83824" wp14:editId="4C4E7AF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D6169"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B83824"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13D6169"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A8CE"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9D05747" wp14:editId="48B1412B">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0F5E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D0574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6C0F5E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D72"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31DEA8F" wp14:editId="3DBC44EB">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0F0DE"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1DEA8F"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560F0DE"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85FD"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7AACC475" wp14:editId="50F9BB95">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4AD0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ACC475"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734AD0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79E1F5E" wp14:editId="282623A1">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2F7C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9E1F5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922F7C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F79C" w14:textId="77777777" w:rsidR="00EC34DC" w:rsidRDefault="00EC34DC" w:rsidP="00207717">
      <w:pPr>
        <w:spacing w:before="120"/>
      </w:pPr>
      <w:r>
        <w:separator/>
      </w:r>
    </w:p>
  </w:footnote>
  <w:footnote w:type="continuationSeparator" w:id="0">
    <w:p w14:paraId="0118A2C4" w14:textId="77777777" w:rsidR="00EC34DC" w:rsidRDefault="00EC34DC">
      <w:r>
        <w:continuationSeparator/>
      </w:r>
    </w:p>
    <w:p w14:paraId="2928F41A" w14:textId="77777777" w:rsidR="00EC34DC" w:rsidRDefault="00EC34DC"/>
  </w:footnote>
  <w:footnote w:type="continuationNotice" w:id="1">
    <w:p w14:paraId="02320976" w14:textId="77777777" w:rsidR="00EC34DC" w:rsidRDefault="00EC3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DBCD"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BB63" w14:textId="6D71DB31" w:rsidR="00562811" w:rsidRPr="0051568D" w:rsidRDefault="00670FDB" w:rsidP="0017674D">
    <w:pPr>
      <w:pStyle w:val="Header"/>
    </w:pPr>
    <w:r>
      <w:t>Sexual safety incidents</w:t>
    </w:r>
    <w:r w:rsidR="007A1C67">
      <w:t>: Chief Psychiatrist’s reporting directive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E611EC"/>
    <w:multiLevelType w:val="hybridMultilevel"/>
    <w:tmpl w:val="E430B23C"/>
    <w:lvl w:ilvl="0" w:tplc="58E22CCE">
      <w:start w:val="1"/>
      <w:numFmt w:val="bullet"/>
      <w:lvlText w:val=""/>
      <w:lvlJc w:val="left"/>
      <w:pPr>
        <w:ind w:left="720" w:hanging="360"/>
      </w:pPr>
      <w:rPr>
        <w:rFonts w:ascii="Symbol" w:hAnsi="Symbol" w:hint="default"/>
      </w:rPr>
    </w:lvl>
    <w:lvl w:ilvl="1" w:tplc="4B544C82">
      <w:start w:val="1"/>
      <w:numFmt w:val="bullet"/>
      <w:lvlText w:val="o"/>
      <w:lvlJc w:val="left"/>
      <w:pPr>
        <w:ind w:left="1440" w:hanging="360"/>
      </w:pPr>
      <w:rPr>
        <w:rFonts w:ascii="Courier New" w:hAnsi="Courier New" w:hint="default"/>
      </w:rPr>
    </w:lvl>
    <w:lvl w:ilvl="2" w:tplc="656C55E8">
      <w:start w:val="1"/>
      <w:numFmt w:val="bullet"/>
      <w:lvlText w:val=""/>
      <w:lvlJc w:val="left"/>
      <w:pPr>
        <w:ind w:left="2160" w:hanging="360"/>
      </w:pPr>
      <w:rPr>
        <w:rFonts w:ascii="Wingdings" w:hAnsi="Wingdings" w:hint="default"/>
      </w:rPr>
    </w:lvl>
    <w:lvl w:ilvl="3" w:tplc="38742780">
      <w:start w:val="1"/>
      <w:numFmt w:val="bullet"/>
      <w:lvlText w:val=""/>
      <w:lvlJc w:val="left"/>
      <w:pPr>
        <w:ind w:left="2880" w:hanging="360"/>
      </w:pPr>
      <w:rPr>
        <w:rFonts w:ascii="Symbol" w:hAnsi="Symbol" w:hint="default"/>
      </w:rPr>
    </w:lvl>
    <w:lvl w:ilvl="4" w:tplc="A97EEB60">
      <w:start w:val="1"/>
      <w:numFmt w:val="bullet"/>
      <w:lvlText w:val="o"/>
      <w:lvlJc w:val="left"/>
      <w:pPr>
        <w:ind w:left="3600" w:hanging="360"/>
      </w:pPr>
      <w:rPr>
        <w:rFonts w:ascii="Courier New" w:hAnsi="Courier New" w:hint="default"/>
      </w:rPr>
    </w:lvl>
    <w:lvl w:ilvl="5" w:tplc="78BEAFB6">
      <w:start w:val="1"/>
      <w:numFmt w:val="bullet"/>
      <w:lvlText w:val=""/>
      <w:lvlJc w:val="left"/>
      <w:pPr>
        <w:ind w:left="4320" w:hanging="360"/>
      </w:pPr>
      <w:rPr>
        <w:rFonts w:ascii="Wingdings" w:hAnsi="Wingdings" w:hint="default"/>
      </w:rPr>
    </w:lvl>
    <w:lvl w:ilvl="6" w:tplc="8E3AABB0">
      <w:start w:val="1"/>
      <w:numFmt w:val="bullet"/>
      <w:lvlText w:val=""/>
      <w:lvlJc w:val="left"/>
      <w:pPr>
        <w:ind w:left="5040" w:hanging="360"/>
      </w:pPr>
      <w:rPr>
        <w:rFonts w:ascii="Symbol" w:hAnsi="Symbol" w:hint="default"/>
      </w:rPr>
    </w:lvl>
    <w:lvl w:ilvl="7" w:tplc="232A89A0">
      <w:start w:val="1"/>
      <w:numFmt w:val="bullet"/>
      <w:lvlText w:val="o"/>
      <w:lvlJc w:val="left"/>
      <w:pPr>
        <w:ind w:left="5760" w:hanging="360"/>
      </w:pPr>
      <w:rPr>
        <w:rFonts w:ascii="Courier New" w:hAnsi="Courier New" w:hint="default"/>
      </w:rPr>
    </w:lvl>
    <w:lvl w:ilvl="8" w:tplc="57665B72">
      <w:start w:val="1"/>
      <w:numFmt w:val="bullet"/>
      <w:lvlText w:val=""/>
      <w:lvlJc w:val="left"/>
      <w:pPr>
        <w:ind w:left="6480" w:hanging="360"/>
      </w:pPr>
      <w:rPr>
        <w:rFonts w:ascii="Wingdings" w:hAnsi="Wingdings" w:hint="default"/>
      </w:rPr>
    </w:lvl>
  </w:abstractNum>
  <w:abstractNum w:abstractNumId="16" w15:restartNumberingAfterBreak="0">
    <w:nsid w:val="186C30C6"/>
    <w:multiLevelType w:val="multilevel"/>
    <w:tmpl w:val="500EBB00"/>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C34F14"/>
    <w:multiLevelType w:val="multilevel"/>
    <w:tmpl w:val="D2DCE6F6"/>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45C63"/>
    <w:multiLevelType w:val="hybridMultilevel"/>
    <w:tmpl w:val="68786236"/>
    <w:lvl w:ilvl="0" w:tplc="382EBABA">
      <w:start w:val="1"/>
      <w:numFmt w:val="bullet"/>
      <w:lvlText w:val=""/>
      <w:lvlJc w:val="left"/>
      <w:pPr>
        <w:ind w:left="720" w:hanging="360"/>
      </w:pPr>
      <w:rPr>
        <w:rFonts w:ascii="Symbol" w:hAnsi="Symbol" w:hint="default"/>
      </w:rPr>
    </w:lvl>
    <w:lvl w:ilvl="1" w:tplc="FB9E6D9A">
      <w:start w:val="1"/>
      <w:numFmt w:val="bullet"/>
      <w:lvlText w:val="o"/>
      <w:lvlJc w:val="left"/>
      <w:pPr>
        <w:ind w:left="1440" w:hanging="360"/>
      </w:pPr>
      <w:rPr>
        <w:rFonts w:ascii="Courier New" w:hAnsi="Courier New" w:hint="default"/>
      </w:rPr>
    </w:lvl>
    <w:lvl w:ilvl="2" w:tplc="1284BED0">
      <w:start w:val="1"/>
      <w:numFmt w:val="bullet"/>
      <w:lvlText w:val=""/>
      <w:lvlJc w:val="left"/>
      <w:pPr>
        <w:ind w:left="2160" w:hanging="360"/>
      </w:pPr>
      <w:rPr>
        <w:rFonts w:ascii="Wingdings" w:hAnsi="Wingdings" w:hint="default"/>
      </w:rPr>
    </w:lvl>
    <w:lvl w:ilvl="3" w:tplc="ECA4E534">
      <w:start w:val="1"/>
      <w:numFmt w:val="bullet"/>
      <w:lvlText w:val=""/>
      <w:lvlJc w:val="left"/>
      <w:pPr>
        <w:ind w:left="2880" w:hanging="360"/>
      </w:pPr>
      <w:rPr>
        <w:rFonts w:ascii="Symbol" w:hAnsi="Symbol" w:hint="default"/>
      </w:rPr>
    </w:lvl>
    <w:lvl w:ilvl="4" w:tplc="A8B82334">
      <w:start w:val="1"/>
      <w:numFmt w:val="bullet"/>
      <w:lvlText w:val="o"/>
      <w:lvlJc w:val="left"/>
      <w:pPr>
        <w:ind w:left="3600" w:hanging="360"/>
      </w:pPr>
      <w:rPr>
        <w:rFonts w:ascii="Courier New" w:hAnsi="Courier New" w:hint="default"/>
      </w:rPr>
    </w:lvl>
    <w:lvl w:ilvl="5" w:tplc="F64447C6">
      <w:start w:val="1"/>
      <w:numFmt w:val="bullet"/>
      <w:lvlText w:val=""/>
      <w:lvlJc w:val="left"/>
      <w:pPr>
        <w:ind w:left="4320" w:hanging="360"/>
      </w:pPr>
      <w:rPr>
        <w:rFonts w:ascii="Wingdings" w:hAnsi="Wingdings" w:hint="default"/>
      </w:rPr>
    </w:lvl>
    <w:lvl w:ilvl="6" w:tplc="F0C2FF22">
      <w:start w:val="1"/>
      <w:numFmt w:val="bullet"/>
      <w:lvlText w:val=""/>
      <w:lvlJc w:val="left"/>
      <w:pPr>
        <w:ind w:left="5040" w:hanging="360"/>
      </w:pPr>
      <w:rPr>
        <w:rFonts w:ascii="Symbol" w:hAnsi="Symbol" w:hint="default"/>
      </w:rPr>
    </w:lvl>
    <w:lvl w:ilvl="7" w:tplc="728615FA">
      <w:start w:val="1"/>
      <w:numFmt w:val="bullet"/>
      <w:lvlText w:val="o"/>
      <w:lvlJc w:val="left"/>
      <w:pPr>
        <w:ind w:left="5760" w:hanging="360"/>
      </w:pPr>
      <w:rPr>
        <w:rFonts w:ascii="Courier New" w:hAnsi="Courier New" w:hint="default"/>
      </w:rPr>
    </w:lvl>
    <w:lvl w:ilvl="8" w:tplc="8812AC76">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1C9042A"/>
    <w:multiLevelType w:val="multilevel"/>
    <w:tmpl w:val="D07CAB40"/>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AAD78"/>
    <w:multiLevelType w:val="multilevel"/>
    <w:tmpl w:val="E1B6B31E"/>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76517913">
    <w:abstractNumId w:val="19"/>
  </w:num>
  <w:num w:numId="2" w16cid:durableId="2075395416">
    <w:abstractNumId w:val="15"/>
  </w:num>
  <w:num w:numId="3" w16cid:durableId="504243229">
    <w:abstractNumId w:val="29"/>
  </w:num>
  <w:num w:numId="4" w16cid:durableId="1128430275">
    <w:abstractNumId w:val="18"/>
  </w:num>
  <w:num w:numId="5" w16cid:durableId="780144337">
    <w:abstractNumId w:val="23"/>
  </w:num>
  <w:num w:numId="6" w16cid:durableId="34351846">
    <w:abstractNumId w:val="16"/>
  </w:num>
  <w:num w:numId="7" w16cid:durableId="884491450">
    <w:abstractNumId w:val="10"/>
  </w:num>
  <w:num w:numId="8" w16cid:durableId="571082270">
    <w:abstractNumId w:val="21"/>
  </w:num>
  <w:num w:numId="9" w16cid:durableId="1945840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657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5405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98302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159393">
    <w:abstractNumId w:val="26"/>
  </w:num>
  <w:num w:numId="14" w16cid:durableId="1391734009">
    <w:abstractNumId w:val="20"/>
  </w:num>
  <w:num w:numId="15" w16cid:durableId="267203080">
    <w:abstractNumId w:val="25"/>
  </w:num>
  <w:num w:numId="16" w16cid:durableId="18196897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0328074">
    <w:abstractNumId w:val="27"/>
  </w:num>
  <w:num w:numId="18" w16cid:durableId="1747992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719972">
    <w:abstractNumId w:val="22"/>
  </w:num>
  <w:num w:numId="20" w16cid:durableId="1946556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3189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785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2013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9301040">
    <w:abstractNumId w:val="30"/>
  </w:num>
  <w:num w:numId="25" w16cid:durableId="3719977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0242101">
    <w:abstractNumId w:val="14"/>
  </w:num>
  <w:num w:numId="27" w16cid:durableId="1753891186">
    <w:abstractNumId w:val="12"/>
  </w:num>
  <w:num w:numId="28" w16cid:durableId="1649507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9431841">
    <w:abstractNumId w:val="17"/>
  </w:num>
  <w:num w:numId="30" w16cid:durableId="701058162">
    <w:abstractNumId w:val="31"/>
  </w:num>
  <w:num w:numId="31" w16cid:durableId="2139033058">
    <w:abstractNumId w:val="28"/>
  </w:num>
  <w:num w:numId="32" w16cid:durableId="1736319173">
    <w:abstractNumId w:val="24"/>
  </w:num>
  <w:num w:numId="33" w16cid:durableId="1016618994">
    <w:abstractNumId w:val="11"/>
  </w:num>
  <w:num w:numId="34" w16cid:durableId="436632591">
    <w:abstractNumId w:val="32"/>
  </w:num>
  <w:num w:numId="35" w16cid:durableId="342783673">
    <w:abstractNumId w:val="9"/>
  </w:num>
  <w:num w:numId="36" w16cid:durableId="228613773">
    <w:abstractNumId w:val="7"/>
  </w:num>
  <w:num w:numId="37" w16cid:durableId="1951474212">
    <w:abstractNumId w:val="6"/>
  </w:num>
  <w:num w:numId="38" w16cid:durableId="1308439673">
    <w:abstractNumId w:val="5"/>
  </w:num>
  <w:num w:numId="39" w16cid:durableId="1802073571">
    <w:abstractNumId w:val="4"/>
  </w:num>
  <w:num w:numId="40" w16cid:durableId="1311401572">
    <w:abstractNumId w:val="8"/>
  </w:num>
  <w:num w:numId="41" w16cid:durableId="1741101807">
    <w:abstractNumId w:val="3"/>
  </w:num>
  <w:num w:numId="42" w16cid:durableId="523060760">
    <w:abstractNumId w:val="2"/>
  </w:num>
  <w:num w:numId="43" w16cid:durableId="500969579">
    <w:abstractNumId w:val="1"/>
  </w:num>
  <w:num w:numId="44" w16cid:durableId="750321962">
    <w:abstractNumId w:val="0"/>
  </w:num>
  <w:num w:numId="45" w16cid:durableId="1330208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DB"/>
    <w:rsid w:val="00000719"/>
    <w:rsid w:val="00002D68"/>
    <w:rsid w:val="000033F7"/>
    <w:rsid w:val="00003403"/>
    <w:rsid w:val="0000483E"/>
    <w:rsid w:val="00005347"/>
    <w:rsid w:val="000072B6"/>
    <w:rsid w:val="0001021B"/>
    <w:rsid w:val="000111E6"/>
    <w:rsid w:val="00011D89"/>
    <w:rsid w:val="000154FD"/>
    <w:rsid w:val="00022271"/>
    <w:rsid w:val="000235E8"/>
    <w:rsid w:val="00024D89"/>
    <w:rsid w:val="000250B6"/>
    <w:rsid w:val="00030CDD"/>
    <w:rsid w:val="00032ECF"/>
    <w:rsid w:val="00033D81"/>
    <w:rsid w:val="00033DC9"/>
    <w:rsid w:val="00037366"/>
    <w:rsid w:val="00041BF0"/>
    <w:rsid w:val="00042C8A"/>
    <w:rsid w:val="0004536B"/>
    <w:rsid w:val="00046B68"/>
    <w:rsid w:val="000527DD"/>
    <w:rsid w:val="000552F7"/>
    <w:rsid w:val="00055B93"/>
    <w:rsid w:val="00056EC4"/>
    <w:rsid w:val="000578B2"/>
    <w:rsid w:val="00060959"/>
    <w:rsid w:val="00060C8F"/>
    <w:rsid w:val="0006298A"/>
    <w:rsid w:val="00063D48"/>
    <w:rsid w:val="000663CD"/>
    <w:rsid w:val="000733FE"/>
    <w:rsid w:val="00073FA2"/>
    <w:rsid w:val="00073FB6"/>
    <w:rsid w:val="00074219"/>
    <w:rsid w:val="00074ED5"/>
    <w:rsid w:val="0008204A"/>
    <w:rsid w:val="0008508E"/>
    <w:rsid w:val="00087951"/>
    <w:rsid w:val="0009113B"/>
    <w:rsid w:val="000928FB"/>
    <w:rsid w:val="00093402"/>
    <w:rsid w:val="00094DA3"/>
    <w:rsid w:val="00095B1A"/>
    <w:rsid w:val="00096CD1"/>
    <w:rsid w:val="000A012C"/>
    <w:rsid w:val="000A0EB9"/>
    <w:rsid w:val="000A186C"/>
    <w:rsid w:val="000A1EA4"/>
    <w:rsid w:val="000A2476"/>
    <w:rsid w:val="000A50F4"/>
    <w:rsid w:val="000A5A78"/>
    <w:rsid w:val="000A641A"/>
    <w:rsid w:val="000B1B55"/>
    <w:rsid w:val="000B3EDB"/>
    <w:rsid w:val="000B543D"/>
    <w:rsid w:val="000B55F9"/>
    <w:rsid w:val="000B5BF7"/>
    <w:rsid w:val="000B6BC8"/>
    <w:rsid w:val="000C0303"/>
    <w:rsid w:val="000C07C3"/>
    <w:rsid w:val="000C42EA"/>
    <w:rsid w:val="000C4546"/>
    <w:rsid w:val="000C493F"/>
    <w:rsid w:val="000D1242"/>
    <w:rsid w:val="000D166A"/>
    <w:rsid w:val="000D23EC"/>
    <w:rsid w:val="000D2ABA"/>
    <w:rsid w:val="000D77DB"/>
    <w:rsid w:val="000E0970"/>
    <w:rsid w:val="000E25C9"/>
    <w:rsid w:val="000E2A3E"/>
    <w:rsid w:val="000E307F"/>
    <w:rsid w:val="000E3CC7"/>
    <w:rsid w:val="000E65FF"/>
    <w:rsid w:val="000E6BD4"/>
    <w:rsid w:val="000E6D6D"/>
    <w:rsid w:val="000E715A"/>
    <w:rsid w:val="000F009B"/>
    <w:rsid w:val="000F1F1E"/>
    <w:rsid w:val="000F2259"/>
    <w:rsid w:val="000F2DDA"/>
    <w:rsid w:val="000F2EA0"/>
    <w:rsid w:val="000F41B0"/>
    <w:rsid w:val="000F5213"/>
    <w:rsid w:val="00101001"/>
    <w:rsid w:val="00103276"/>
    <w:rsid w:val="0010392D"/>
    <w:rsid w:val="0010447F"/>
    <w:rsid w:val="00104FE3"/>
    <w:rsid w:val="0010714F"/>
    <w:rsid w:val="001120C5"/>
    <w:rsid w:val="00112772"/>
    <w:rsid w:val="00114221"/>
    <w:rsid w:val="00120BD3"/>
    <w:rsid w:val="00122FEA"/>
    <w:rsid w:val="001232BD"/>
    <w:rsid w:val="001236DC"/>
    <w:rsid w:val="00124ED5"/>
    <w:rsid w:val="00125FA2"/>
    <w:rsid w:val="001276FA"/>
    <w:rsid w:val="001447B3"/>
    <w:rsid w:val="00145AB6"/>
    <w:rsid w:val="00152073"/>
    <w:rsid w:val="00152329"/>
    <w:rsid w:val="0015544A"/>
    <w:rsid w:val="00156480"/>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0B44"/>
    <w:rsid w:val="001A15DB"/>
    <w:rsid w:val="001A1950"/>
    <w:rsid w:val="001A1C54"/>
    <w:rsid w:val="001A23C9"/>
    <w:rsid w:val="001A3ACE"/>
    <w:rsid w:val="001A6272"/>
    <w:rsid w:val="001A9759"/>
    <w:rsid w:val="001B058F"/>
    <w:rsid w:val="001B5D99"/>
    <w:rsid w:val="001B6B96"/>
    <w:rsid w:val="001B738B"/>
    <w:rsid w:val="001C09DB"/>
    <w:rsid w:val="001C277E"/>
    <w:rsid w:val="001C2A72"/>
    <w:rsid w:val="001C31B7"/>
    <w:rsid w:val="001C53DA"/>
    <w:rsid w:val="001D0B75"/>
    <w:rsid w:val="001D1544"/>
    <w:rsid w:val="001D39A5"/>
    <w:rsid w:val="001D3B50"/>
    <w:rsid w:val="001D3C09"/>
    <w:rsid w:val="001D44E8"/>
    <w:rsid w:val="001D60EC"/>
    <w:rsid w:val="001D6F59"/>
    <w:rsid w:val="001E44DF"/>
    <w:rsid w:val="001E5D87"/>
    <w:rsid w:val="001E68A5"/>
    <w:rsid w:val="001E6BB0"/>
    <w:rsid w:val="001E7282"/>
    <w:rsid w:val="001F2BD7"/>
    <w:rsid w:val="001F3826"/>
    <w:rsid w:val="001F6E46"/>
    <w:rsid w:val="001F7C91"/>
    <w:rsid w:val="002019F8"/>
    <w:rsid w:val="002033B7"/>
    <w:rsid w:val="002051A0"/>
    <w:rsid w:val="00206463"/>
    <w:rsid w:val="00206F2F"/>
    <w:rsid w:val="00207717"/>
    <w:rsid w:val="0021053D"/>
    <w:rsid w:val="00210A92"/>
    <w:rsid w:val="00212B95"/>
    <w:rsid w:val="00213F9F"/>
    <w:rsid w:val="00215CC8"/>
    <w:rsid w:val="00216C03"/>
    <w:rsid w:val="00220A1A"/>
    <w:rsid w:val="00220C04"/>
    <w:rsid w:val="0022278D"/>
    <w:rsid w:val="0022701F"/>
    <w:rsid w:val="00227C68"/>
    <w:rsid w:val="002333F5"/>
    <w:rsid w:val="00233724"/>
    <w:rsid w:val="002365B4"/>
    <w:rsid w:val="00236EAA"/>
    <w:rsid w:val="002432E1"/>
    <w:rsid w:val="00246207"/>
    <w:rsid w:val="00246C5E"/>
    <w:rsid w:val="00250960"/>
    <w:rsid w:val="00251343"/>
    <w:rsid w:val="00251951"/>
    <w:rsid w:val="002536A4"/>
    <w:rsid w:val="00254F58"/>
    <w:rsid w:val="00257295"/>
    <w:rsid w:val="002620BC"/>
    <w:rsid w:val="00262802"/>
    <w:rsid w:val="00263A90"/>
    <w:rsid w:val="0026408B"/>
    <w:rsid w:val="00267C3E"/>
    <w:rsid w:val="002709BB"/>
    <w:rsid w:val="0027131C"/>
    <w:rsid w:val="00273BAC"/>
    <w:rsid w:val="00274141"/>
    <w:rsid w:val="002763B3"/>
    <w:rsid w:val="002802E3"/>
    <w:rsid w:val="0028213D"/>
    <w:rsid w:val="002862F1"/>
    <w:rsid w:val="00291373"/>
    <w:rsid w:val="0029597D"/>
    <w:rsid w:val="002962C3"/>
    <w:rsid w:val="0029752B"/>
    <w:rsid w:val="002A0A9C"/>
    <w:rsid w:val="002A15FC"/>
    <w:rsid w:val="002A483C"/>
    <w:rsid w:val="002B0C7C"/>
    <w:rsid w:val="002B1729"/>
    <w:rsid w:val="002B36C7"/>
    <w:rsid w:val="002B4DD4"/>
    <w:rsid w:val="002B5277"/>
    <w:rsid w:val="002B5375"/>
    <w:rsid w:val="002B77C1"/>
    <w:rsid w:val="002C0ED7"/>
    <w:rsid w:val="002C2728"/>
    <w:rsid w:val="002C5B7C"/>
    <w:rsid w:val="002C6A3B"/>
    <w:rsid w:val="002C7974"/>
    <w:rsid w:val="002D1E0D"/>
    <w:rsid w:val="002D5006"/>
    <w:rsid w:val="002D7C61"/>
    <w:rsid w:val="002E01D0"/>
    <w:rsid w:val="002E161D"/>
    <w:rsid w:val="002E28A2"/>
    <w:rsid w:val="002E3100"/>
    <w:rsid w:val="002E510E"/>
    <w:rsid w:val="002E6C95"/>
    <w:rsid w:val="002E7536"/>
    <w:rsid w:val="002E7C36"/>
    <w:rsid w:val="002F3D32"/>
    <w:rsid w:val="002F4BE8"/>
    <w:rsid w:val="002F589E"/>
    <w:rsid w:val="002F5F31"/>
    <w:rsid w:val="002F5F46"/>
    <w:rsid w:val="00302216"/>
    <w:rsid w:val="003035B9"/>
    <w:rsid w:val="00303E53"/>
    <w:rsid w:val="00305CC1"/>
    <w:rsid w:val="00306E5F"/>
    <w:rsid w:val="00307E14"/>
    <w:rsid w:val="00314054"/>
    <w:rsid w:val="00316F27"/>
    <w:rsid w:val="003214F1"/>
    <w:rsid w:val="00322E4B"/>
    <w:rsid w:val="0032333E"/>
    <w:rsid w:val="003250B5"/>
    <w:rsid w:val="00327870"/>
    <w:rsid w:val="0033259D"/>
    <w:rsid w:val="003333D2"/>
    <w:rsid w:val="00333610"/>
    <w:rsid w:val="00334686"/>
    <w:rsid w:val="00337339"/>
    <w:rsid w:val="00340345"/>
    <w:rsid w:val="003406C6"/>
    <w:rsid w:val="003418CC"/>
    <w:rsid w:val="003434EE"/>
    <w:rsid w:val="003459BD"/>
    <w:rsid w:val="00350D38"/>
    <w:rsid w:val="00351B36"/>
    <w:rsid w:val="00357A2C"/>
    <w:rsid w:val="00357B4E"/>
    <w:rsid w:val="0036007B"/>
    <w:rsid w:val="0036136D"/>
    <w:rsid w:val="003716FD"/>
    <w:rsid w:val="0037204B"/>
    <w:rsid w:val="00372280"/>
    <w:rsid w:val="003744CF"/>
    <w:rsid w:val="00374717"/>
    <w:rsid w:val="0037676C"/>
    <w:rsid w:val="00377675"/>
    <w:rsid w:val="00380D6A"/>
    <w:rsid w:val="00381043"/>
    <w:rsid w:val="0038276F"/>
    <w:rsid w:val="003829E5"/>
    <w:rsid w:val="00384B83"/>
    <w:rsid w:val="00386109"/>
    <w:rsid w:val="00386197"/>
    <w:rsid w:val="00386944"/>
    <w:rsid w:val="003956CC"/>
    <w:rsid w:val="00395C9A"/>
    <w:rsid w:val="003A0853"/>
    <w:rsid w:val="003A0D0F"/>
    <w:rsid w:val="003A6B67"/>
    <w:rsid w:val="003B0E2D"/>
    <w:rsid w:val="003B13B6"/>
    <w:rsid w:val="003B14C3"/>
    <w:rsid w:val="003B15E6"/>
    <w:rsid w:val="003B22EF"/>
    <w:rsid w:val="003B408A"/>
    <w:rsid w:val="003C08A2"/>
    <w:rsid w:val="003C2045"/>
    <w:rsid w:val="003C43A1"/>
    <w:rsid w:val="003C4DBE"/>
    <w:rsid w:val="003C4FC0"/>
    <w:rsid w:val="003C55F4"/>
    <w:rsid w:val="003C6FD7"/>
    <w:rsid w:val="003C7897"/>
    <w:rsid w:val="003C7A3F"/>
    <w:rsid w:val="003D2766"/>
    <w:rsid w:val="003D2883"/>
    <w:rsid w:val="003D2A74"/>
    <w:rsid w:val="003D3D88"/>
    <w:rsid w:val="003D3E8F"/>
    <w:rsid w:val="003D6475"/>
    <w:rsid w:val="003D6EE6"/>
    <w:rsid w:val="003E1F18"/>
    <w:rsid w:val="003E375C"/>
    <w:rsid w:val="003E4086"/>
    <w:rsid w:val="003E639E"/>
    <w:rsid w:val="003E71E5"/>
    <w:rsid w:val="003F0445"/>
    <w:rsid w:val="003F0C6A"/>
    <w:rsid w:val="003F0CF0"/>
    <w:rsid w:val="003F14B1"/>
    <w:rsid w:val="003F2B20"/>
    <w:rsid w:val="003F3289"/>
    <w:rsid w:val="003F3C62"/>
    <w:rsid w:val="003F5CB9"/>
    <w:rsid w:val="003F7321"/>
    <w:rsid w:val="0040118F"/>
    <w:rsid w:val="004013C7"/>
    <w:rsid w:val="004016E2"/>
    <w:rsid w:val="00401FCF"/>
    <w:rsid w:val="00404A1E"/>
    <w:rsid w:val="00406285"/>
    <w:rsid w:val="004115A2"/>
    <w:rsid w:val="00412103"/>
    <w:rsid w:val="004148F9"/>
    <w:rsid w:val="0042084E"/>
    <w:rsid w:val="00421EEF"/>
    <w:rsid w:val="00424D65"/>
    <w:rsid w:val="004302D8"/>
    <w:rsid w:val="00430393"/>
    <w:rsid w:val="00431806"/>
    <w:rsid w:val="00431A70"/>
    <w:rsid w:val="00431F42"/>
    <w:rsid w:val="00434E8D"/>
    <w:rsid w:val="00440580"/>
    <w:rsid w:val="00442C6C"/>
    <w:rsid w:val="00443CBE"/>
    <w:rsid w:val="00443E8A"/>
    <w:rsid w:val="004441BC"/>
    <w:rsid w:val="00446069"/>
    <w:rsid w:val="004468B4"/>
    <w:rsid w:val="00446D86"/>
    <w:rsid w:val="00451FF3"/>
    <w:rsid w:val="0045230A"/>
    <w:rsid w:val="00454A7D"/>
    <w:rsid w:val="00454AD0"/>
    <w:rsid w:val="00457337"/>
    <w:rsid w:val="004609A3"/>
    <w:rsid w:val="00462E3D"/>
    <w:rsid w:val="00466E79"/>
    <w:rsid w:val="00470D7D"/>
    <w:rsid w:val="0047372D"/>
    <w:rsid w:val="00473BA3"/>
    <w:rsid w:val="004743DD"/>
    <w:rsid w:val="00474BF3"/>
    <w:rsid w:val="00474CEA"/>
    <w:rsid w:val="00483968"/>
    <w:rsid w:val="004841BE"/>
    <w:rsid w:val="00484F86"/>
    <w:rsid w:val="0048613B"/>
    <w:rsid w:val="004904C8"/>
    <w:rsid w:val="00490746"/>
    <w:rsid w:val="00490852"/>
    <w:rsid w:val="00491C9C"/>
    <w:rsid w:val="0049284F"/>
    <w:rsid w:val="00492EE3"/>
    <w:rsid w:val="00492F30"/>
    <w:rsid w:val="004946F4"/>
    <w:rsid w:val="0049487E"/>
    <w:rsid w:val="00496BC2"/>
    <w:rsid w:val="004A14BB"/>
    <w:rsid w:val="004A160D"/>
    <w:rsid w:val="004A3E81"/>
    <w:rsid w:val="004A4195"/>
    <w:rsid w:val="004A5C62"/>
    <w:rsid w:val="004A5CE5"/>
    <w:rsid w:val="004A707D"/>
    <w:rsid w:val="004B0974"/>
    <w:rsid w:val="004B40C9"/>
    <w:rsid w:val="004B4185"/>
    <w:rsid w:val="004B67DE"/>
    <w:rsid w:val="004B707A"/>
    <w:rsid w:val="004C5541"/>
    <w:rsid w:val="004C6EEE"/>
    <w:rsid w:val="004C702B"/>
    <w:rsid w:val="004D0033"/>
    <w:rsid w:val="004D016B"/>
    <w:rsid w:val="004D1B22"/>
    <w:rsid w:val="004D23CC"/>
    <w:rsid w:val="004D36F2"/>
    <w:rsid w:val="004D643F"/>
    <w:rsid w:val="004E1106"/>
    <w:rsid w:val="004E138F"/>
    <w:rsid w:val="004E1451"/>
    <w:rsid w:val="004E4482"/>
    <w:rsid w:val="004E4649"/>
    <w:rsid w:val="004E48B8"/>
    <w:rsid w:val="004E5C2B"/>
    <w:rsid w:val="004F00DD"/>
    <w:rsid w:val="004F2133"/>
    <w:rsid w:val="004F3ECB"/>
    <w:rsid w:val="004F5398"/>
    <w:rsid w:val="004F55F1"/>
    <w:rsid w:val="004F6936"/>
    <w:rsid w:val="00501D97"/>
    <w:rsid w:val="00503DC6"/>
    <w:rsid w:val="00506F5D"/>
    <w:rsid w:val="00507210"/>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02E4"/>
    <w:rsid w:val="00550D2F"/>
    <w:rsid w:val="0055119B"/>
    <w:rsid w:val="00561202"/>
    <w:rsid w:val="00562507"/>
    <w:rsid w:val="00562811"/>
    <w:rsid w:val="005664B5"/>
    <w:rsid w:val="0056662F"/>
    <w:rsid w:val="00572031"/>
    <w:rsid w:val="00572282"/>
    <w:rsid w:val="0057290D"/>
    <w:rsid w:val="00573CE3"/>
    <w:rsid w:val="00575CDA"/>
    <w:rsid w:val="00576E84"/>
    <w:rsid w:val="00580394"/>
    <w:rsid w:val="005809CD"/>
    <w:rsid w:val="00580F68"/>
    <w:rsid w:val="00582B8C"/>
    <w:rsid w:val="0058757E"/>
    <w:rsid w:val="00595C9F"/>
    <w:rsid w:val="00596A4B"/>
    <w:rsid w:val="00597507"/>
    <w:rsid w:val="005A2861"/>
    <w:rsid w:val="005A479D"/>
    <w:rsid w:val="005B1C6D"/>
    <w:rsid w:val="005B21B6"/>
    <w:rsid w:val="005B32EB"/>
    <w:rsid w:val="005B3A08"/>
    <w:rsid w:val="005B7A63"/>
    <w:rsid w:val="005C0955"/>
    <w:rsid w:val="005C146E"/>
    <w:rsid w:val="005C487C"/>
    <w:rsid w:val="005C49DA"/>
    <w:rsid w:val="005C50F3"/>
    <w:rsid w:val="005C54B5"/>
    <w:rsid w:val="005C5D80"/>
    <w:rsid w:val="005C5D91"/>
    <w:rsid w:val="005D07B8"/>
    <w:rsid w:val="005D6597"/>
    <w:rsid w:val="005E14E7"/>
    <w:rsid w:val="005E26A3"/>
    <w:rsid w:val="005E2ECB"/>
    <w:rsid w:val="005E447E"/>
    <w:rsid w:val="005E4FD1"/>
    <w:rsid w:val="005F02BE"/>
    <w:rsid w:val="005F0775"/>
    <w:rsid w:val="005F0CF5"/>
    <w:rsid w:val="005F21EB"/>
    <w:rsid w:val="005F424B"/>
    <w:rsid w:val="005F64CF"/>
    <w:rsid w:val="005F6682"/>
    <w:rsid w:val="006041AD"/>
    <w:rsid w:val="00605908"/>
    <w:rsid w:val="00605C98"/>
    <w:rsid w:val="006069B5"/>
    <w:rsid w:val="00607850"/>
    <w:rsid w:val="00607EF7"/>
    <w:rsid w:val="00610D7C"/>
    <w:rsid w:val="00613414"/>
    <w:rsid w:val="00620154"/>
    <w:rsid w:val="0062080E"/>
    <w:rsid w:val="0062408D"/>
    <w:rsid w:val="006240CC"/>
    <w:rsid w:val="00624940"/>
    <w:rsid w:val="0062548B"/>
    <w:rsid w:val="006254F8"/>
    <w:rsid w:val="00627DA7"/>
    <w:rsid w:val="00630DA4"/>
    <w:rsid w:val="00631CD4"/>
    <w:rsid w:val="00632597"/>
    <w:rsid w:val="00634D13"/>
    <w:rsid w:val="006358B4"/>
    <w:rsid w:val="006379CE"/>
    <w:rsid w:val="00641724"/>
    <w:rsid w:val="006419AA"/>
    <w:rsid w:val="00644B1F"/>
    <w:rsid w:val="00644B7E"/>
    <w:rsid w:val="006454E6"/>
    <w:rsid w:val="00646235"/>
    <w:rsid w:val="00646A68"/>
    <w:rsid w:val="00646C8E"/>
    <w:rsid w:val="006505BD"/>
    <w:rsid w:val="006508EA"/>
    <w:rsid w:val="0065092E"/>
    <w:rsid w:val="006544F8"/>
    <w:rsid w:val="006557A7"/>
    <w:rsid w:val="00655D39"/>
    <w:rsid w:val="00656290"/>
    <w:rsid w:val="00657B08"/>
    <w:rsid w:val="006601C9"/>
    <w:rsid w:val="006608D8"/>
    <w:rsid w:val="006621D7"/>
    <w:rsid w:val="0066302A"/>
    <w:rsid w:val="006633E3"/>
    <w:rsid w:val="00667770"/>
    <w:rsid w:val="00670597"/>
    <w:rsid w:val="006706D0"/>
    <w:rsid w:val="00670FDB"/>
    <w:rsid w:val="00677574"/>
    <w:rsid w:val="006812ED"/>
    <w:rsid w:val="00683878"/>
    <w:rsid w:val="00684380"/>
    <w:rsid w:val="0068454C"/>
    <w:rsid w:val="0068582A"/>
    <w:rsid w:val="00691B62"/>
    <w:rsid w:val="006933B5"/>
    <w:rsid w:val="00693D14"/>
    <w:rsid w:val="00696F27"/>
    <w:rsid w:val="006A0562"/>
    <w:rsid w:val="006A18C2"/>
    <w:rsid w:val="006A3383"/>
    <w:rsid w:val="006B077C"/>
    <w:rsid w:val="006B6803"/>
    <w:rsid w:val="006C03C7"/>
    <w:rsid w:val="006C3860"/>
    <w:rsid w:val="006D0F16"/>
    <w:rsid w:val="006D2A3F"/>
    <w:rsid w:val="006D2FBC"/>
    <w:rsid w:val="006D6E34"/>
    <w:rsid w:val="006E138B"/>
    <w:rsid w:val="006E1867"/>
    <w:rsid w:val="006E6EEC"/>
    <w:rsid w:val="006F0330"/>
    <w:rsid w:val="006F1FDC"/>
    <w:rsid w:val="006F6B8C"/>
    <w:rsid w:val="007013EF"/>
    <w:rsid w:val="00703DBC"/>
    <w:rsid w:val="007055BD"/>
    <w:rsid w:val="007074EC"/>
    <w:rsid w:val="00712FCB"/>
    <w:rsid w:val="00714C58"/>
    <w:rsid w:val="007173CA"/>
    <w:rsid w:val="00720C2B"/>
    <w:rsid w:val="00721185"/>
    <w:rsid w:val="007216AA"/>
    <w:rsid w:val="00721AB5"/>
    <w:rsid w:val="00721CFB"/>
    <w:rsid w:val="00721DEF"/>
    <w:rsid w:val="00724A43"/>
    <w:rsid w:val="007273AC"/>
    <w:rsid w:val="00731AD4"/>
    <w:rsid w:val="007346E4"/>
    <w:rsid w:val="00735564"/>
    <w:rsid w:val="0074056C"/>
    <w:rsid w:val="00740E70"/>
    <w:rsid w:val="00740F22"/>
    <w:rsid w:val="00741CF0"/>
    <w:rsid w:val="00741F1A"/>
    <w:rsid w:val="007447DA"/>
    <w:rsid w:val="007450F8"/>
    <w:rsid w:val="0074696E"/>
    <w:rsid w:val="00747FC4"/>
    <w:rsid w:val="00750135"/>
    <w:rsid w:val="00750EC2"/>
    <w:rsid w:val="00752B28"/>
    <w:rsid w:val="007536BC"/>
    <w:rsid w:val="007541A9"/>
    <w:rsid w:val="00754E36"/>
    <w:rsid w:val="00755D8B"/>
    <w:rsid w:val="00763139"/>
    <w:rsid w:val="007656DE"/>
    <w:rsid w:val="00766BE7"/>
    <w:rsid w:val="00770F37"/>
    <w:rsid w:val="007711A0"/>
    <w:rsid w:val="00772D5E"/>
    <w:rsid w:val="007739B2"/>
    <w:rsid w:val="0077463E"/>
    <w:rsid w:val="007750F5"/>
    <w:rsid w:val="00776928"/>
    <w:rsid w:val="00776D56"/>
    <w:rsid w:val="00776E0F"/>
    <w:rsid w:val="007774B1"/>
    <w:rsid w:val="00777B26"/>
    <w:rsid w:val="00777BE1"/>
    <w:rsid w:val="00782222"/>
    <w:rsid w:val="007833D8"/>
    <w:rsid w:val="0078395B"/>
    <w:rsid w:val="00785677"/>
    <w:rsid w:val="007860B7"/>
    <w:rsid w:val="00786F16"/>
    <w:rsid w:val="00790592"/>
    <w:rsid w:val="00791BD7"/>
    <w:rsid w:val="007933F7"/>
    <w:rsid w:val="00794CE3"/>
    <w:rsid w:val="00796E20"/>
    <w:rsid w:val="00797C32"/>
    <w:rsid w:val="007A11E8"/>
    <w:rsid w:val="007A1C67"/>
    <w:rsid w:val="007B0914"/>
    <w:rsid w:val="007B1374"/>
    <w:rsid w:val="007B2984"/>
    <w:rsid w:val="007B32E5"/>
    <w:rsid w:val="007B3DB9"/>
    <w:rsid w:val="007B589F"/>
    <w:rsid w:val="007B6186"/>
    <w:rsid w:val="007B73BC"/>
    <w:rsid w:val="007C1838"/>
    <w:rsid w:val="007C20B9"/>
    <w:rsid w:val="007C5874"/>
    <w:rsid w:val="007C7301"/>
    <w:rsid w:val="007C7859"/>
    <w:rsid w:val="007C7F28"/>
    <w:rsid w:val="007D0C04"/>
    <w:rsid w:val="007D1466"/>
    <w:rsid w:val="007D2BDE"/>
    <w:rsid w:val="007D2FB6"/>
    <w:rsid w:val="007D49EB"/>
    <w:rsid w:val="007D5E1C"/>
    <w:rsid w:val="007D672F"/>
    <w:rsid w:val="007D7C40"/>
    <w:rsid w:val="007E0DE2"/>
    <w:rsid w:val="007E3667"/>
    <w:rsid w:val="007E368D"/>
    <w:rsid w:val="007E3B98"/>
    <w:rsid w:val="007E417A"/>
    <w:rsid w:val="007E548D"/>
    <w:rsid w:val="007F2331"/>
    <w:rsid w:val="007F31B6"/>
    <w:rsid w:val="007F546C"/>
    <w:rsid w:val="007F625F"/>
    <w:rsid w:val="007F665E"/>
    <w:rsid w:val="007F6BDE"/>
    <w:rsid w:val="00800412"/>
    <w:rsid w:val="008054D8"/>
    <w:rsid w:val="0080587B"/>
    <w:rsid w:val="00806468"/>
    <w:rsid w:val="008119CA"/>
    <w:rsid w:val="008130C4"/>
    <w:rsid w:val="008155F0"/>
    <w:rsid w:val="00816735"/>
    <w:rsid w:val="00820141"/>
    <w:rsid w:val="00820E0C"/>
    <w:rsid w:val="00821CB8"/>
    <w:rsid w:val="00823275"/>
    <w:rsid w:val="0082366F"/>
    <w:rsid w:val="008240F0"/>
    <w:rsid w:val="008338A2"/>
    <w:rsid w:val="00841AA9"/>
    <w:rsid w:val="008474FE"/>
    <w:rsid w:val="00853EE4"/>
    <w:rsid w:val="00855535"/>
    <w:rsid w:val="00857C5A"/>
    <w:rsid w:val="0086255E"/>
    <w:rsid w:val="008633F0"/>
    <w:rsid w:val="00865746"/>
    <w:rsid w:val="00867D9D"/>
    <w:rsid w:val="00872E0A"/>
    <w:rsid w:val="00873594"/>
    <w:rsid w:val="00875285"/>
    <w:rsid w:val="00882ABE"/>
    <w:rsid w:val="00884B62"/>
    <w:rsid w:val="0088529C"/>
    <w:rsid w:val="00887903"/>
    <w:rsid w:val="00890BE9"/>
    <w:rsid w:val="0089270A"/>
    <w:rsid w:val="00893AF6"/>
    <w:rsid w:val="00893C97"/>
    <w:rsid w:val="00894BC4"/>
    <w:rsid w:val="00896890"/>
    <w:rsid w:val="00897651"/>
    <w:rsid w:val="008977D1"/>
    <w:rsid w:val="00897850"/>
    <w:rsid w:val="00897CAB"/>
    <w:rsid w:val="008A28A8"/>
    <w:rsid w:val="008A54AC"/>
    <w:rsid w:val="008A5B32"/>
    <w:rsid w:val="008B1297"/>
    <w:rsid w:val="008B2029"/>
    <w:rsid w:val="008B2EE4"/>
    <w:rsid w:val="008B3821"/>
    <w:rsid w:val="008B4D3D"/>
    <w:rsid w:val="008B57C7"/>
    <w:rsid w:val="008C0001"/>
    <w:rsid w:val="008C2F92"/>
    <w:rsid w:val="008C3546"/>
    <w:rsid w:val="008C589D"/>
    <w:rsid w:val="008C6D51"/>
    <w:rsid w:val="008D1D83"/>
    <w:rsid w:val="008D2846"/>
    <w:rsid w:val="008D4236"/>
    <w:rsid w:val="008D462F"/>
    <w:rsid w:val="008D6DCF"/>
    <w:rsid w:val="008E24F6"/>
    <w:rsid w:val="008E4376"/>
    <w:rsid w:val="008E7A0A"/>
    <w:rsid w:val="008E7B49"/>
    <w:rsid w:val="008F59A4"/>
    <w:rsid w:val="008F59F6"/>
    <w:rsid w:val="00900719"/>
    <w:rsid w:val="009017AC"/>
    <w:rsid w:val="00902A9A"/>
    <w:rsid w:val="00904A1C"/>
    <w:rsid w:val="00905030"/>
    <w:rsid w:val="0090579E"/>
    <w:rsid w:val="00906490"/>
    <w:rsid w:val="00906CC5"/>
    <w:rsid w:val="00907772"/>
    <w:rsid w:val="009111B2"/>
    <w:rsid w:val="009151F5"/>
    <w:rsid w:val="00916CD3"/>
    <w:rsid w:val="00920502"/>
    <w:rsid w:val="00920CF1"/>
    <w:rsid w:val="00922307"/>
    <w:rsid w:val="00923FD9"/>
    <w:rsid w:val="00924AE1"/>
    <w:rsid w:val="00924E76"/>
    <w:rsid w:val="009269B1"/>
    <w:rsid w:val="0092724D"/>
    <w:rsid w:val="009272B3"/>
    <w:rsid w:val="009315BE"/>
    <w:rsid w:val="009326DD"/>
    <w:rsid w:val="0093338F"/>
    <w:rsid w:val="00936BFE"/>
    <w:rsid w:val="00937BD9"/>
    <w:rsid w:val="0094242F"/>
    <w:rsid w:val="00950792"/>
    <w:rsid w:val="00950E2C"/>
    <w:rsid w:val="00950F2D"/>
    <w:rsid w:val="00951D50"/>
    <w:rsid w:val="009525EB"/>
    <w:rsid w:val="0095470B"/>
    <w:rsid w:val="00954874"/>
    <w:rsid w:val="0095615A"/>
    <w:rsid w:val="00961400"/>
    <w:rsid w:val="00963646"/>
    <w:rsid w:val="0096632D"/>
    <w:rsid w:val="00967124"/>
    <w:rsid w:val="00967347"/>
    <w:rsid w:val="00967890"/>
    <w:rsid w:val="0097166C"/>
    <w:rsid w:val="009718C7"/>
    <w:rsid w:val="0097559F"/>
    <w:rsid w:val="009761EA"/>
    <w:rsid w:val="0097761E"/>
    <w:rsid w:val="00977D59"/>
    <w:rsid w:val="009803C6"/>
    <w:rsid w:val="00982193"/>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C3E"/>
    <w:rsid w:val="009B0A6F"/>
    <w:rsid w:val="009B0A94"/>
    <w:rsid w:val="009B0C62"/>
    <w:rsid w:val="009B2AE8"/>
    <w:rsid w:val="009B5622"/>
    <w:rsid w:val="009B59E9"/>
    <w:rsid w:val="009B6D7E"/>
    <w:rsid w:val="009B70AA"/>
    <w:rsid w:val="009C245E"/>
    <w:rsid w:val="009C5E77"/>
    <w:rsid w:val="009C7A7E"/>
    <w:rsid w:val="009D02E8"/>
    <w:rsid w:val="009D51D0"/>
    <w:rsid w:val="009D70A4"/>
    <w:rsid w:val="009D7B14"/>
    <w:rsid w:val="009E08D1"/>
    <w:rsid w:val="009E0D96"/>
    <w:rsid w:val="009E1B95"/>
    <w:rsid w:val="009E25B0"/>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3702B"/>
    <w:rsid w:val="00A37F98"/>
    <w:rsid w:val="00A446F5"/>
    <w:rsid w:val="00A44882"/>
    <w:rsid w:val="00A45125"/>
    <w:rsid w:val="00A515CD"/>
    <w:rsid w:val="00A54715"/>
    <w:rsid w:val="00A6061C"/>
    <w:rsid w:val="00A60919"/>
    <w:rsid w:val="00A62D44"/>
    <w:rsid w:val="00A67263"/>
    <w:rsid w:val="00A7161C"/>
    <w:rsid w:val="00A71CE4"/>
    <w:rsid w:val="00A74ADE"/>
    <w:rsid w:val="00A77AA3"/>
    <w:rsid w:val="00A8236D"/>
    <w:rsid w:val="00A854EB"/>
    <w:rsid w:val="00A872E5"/>
    <w:rsid w:val="00A91406"/>
    <w:rsid w:val="00A96E65"/>
    <w:rsid w:val="00A96ECE"/>
    <w:rsid w:val="00A97C72"/>
    <w:rsid w:val="00AA310B"/>
    <w:rsid w:val="00AA63D4"/>
    <w:rsid w:val="00AB06E8"/>
    <w:rsid w:val="00AB1CD3"/>
    <w:rsid w:val="00AB352F"/>
    <w:rsid w:val="00AC155E"/>
    <w:rsid w:val="00AC23D6"/>
    <w:rsid w:val="00AC274B"/>
    <w:rsid w:val="00AC4764"/>
    <w:rsid w:val="00AC6D36"/>
    <w:rsid w:val="00AD0CBA"/>
    <w:rsid w:val="00AD1839"/>
    <w:rsid w:val="00AD26E2"/>
    <w:rsid w:val="00AD784C"/>
    <w:rsid w:val="00AE126A"/>
    <w:rsid w:val="00AE1BAE"/>
    <w:rsid w:val="00AE3005"/>
    <w:rsid w:val="00AE3BD5"/>
    <w:rsid w:val="00AE59A0"/>
    <w:rsid w:val="00AF0C57"/>
    <w:rsid w:val="00AF26F3"/>
    <w:rsid w:val="00AF5F04"/>
    <w:rsid w:val="00AF7B78"/>
    <w:rsid w:val="00B00672"/>
    <w:rsid w:val="00B01B4D"/>
    <w:rsid w:val="00B04489"/>
    <w:rsid w:val="00B06571"/>
    <w:rsid w:val="00B068BA"/>
    <w:rsid w:val="00B07217"/>
    <w:rsid w:val="00B12D54"/>
    <w:rsid w:val="00B13851"/>
    <w:rsid w:val="00B13B1C"/>
    <w:rsid w:val="00B14B5F"/>
    <w:rsid w:val="00B21F90"/>
    <w:rsid w:val="00B22291"/>
    <w:rsid w:val="00B23F9A"/>
    <w:rsid w:val="00B2417B"/>
    <w:rsid w:val="00B24E6F"/>
    <w:rsid w:val="00B26CB5"/>
    <w:rsid w:val="00B26D4A"/>
    <w:rsid w:val="00B2752E"/>
    <w:rsid w:val="00B307CC"/>
    <w:rsid w:val="00B326B7"/>
    <w:rsid w:val="00B3588E"/>
    <w:rsid w:val="00B4198F"/>
    <w:rsid w:val="00B41F3D"/>
    <w:rsid w:val="00B42352"/>
    <w:rsid w:val="00B431E8"/>
    <w:rsid w:val="00B45141"/>
    <w:rsid w:val="00B45187"/>
    <w:rsid w:val="00B519CD"/>
    <w:rsid w:val="00B5273A"/>
    <w:rsid w:val="00B57329"/>
    <w:rsid w:val="00B60E61"/>
    <w:rsid w:val="00B62B50"/>
    <w:rsid w:val="00B635B7"/>
    <w:rsid w:val="00B63AE8"/>
    <w:rsid w:val="00B65950"/>
    <w:rsid w:val="00B66D83"/>
    <w:rsid w:val="00B672C0"/>
    <w:rsid w:val="00B676FD"/>
    <w:rsid w:val="00B678B6"/>
    <w:rsid w:val="00B67B34"/>
    <w:rsid w:val="00B75646"/>
    <w:rsid w:val="00B7629E"/>
    <w:rsid w:val="00B766E5"/>
    <w:rsid w:val="00B77C25"/>
    <w:rsid w:val="00B85AD7"/>
    <w:rsid w:val="00B90729"/>
    <w:rsid w:val="00B907DA"/>
    <w:rsid w:val="00B90B09"/>
    <w:rsid w:val="00B92930"/>
    <w:rsid w:val="00B938D8"/>
    <w:rsid w:val="00B94C5E"/>
    <w:rsid w:val="00B950BC"/>
    <w:rsid w:val="00B9714C"/>
    <w:rsid w:val="00BA037E"/>
    <w:rsid w:val="00BA26F6"/>
    <w:rsid w:val="00BA29AD"/>
    <w:rsid w:val="00BA33CF"/>
    <w:rsid w:val="00BA3F8D"/>
    <w:rsid w:val="00BA467F"/>
    <w:rsid w:val="00BB3447"/>
    <w:rsid w:val="00BB42F3"/>
    <w:rsid w:val="00BB74AC"/>
    <w:rsid w:val="00BB7A10"/>
    <w:rsid w:val="00BC3B4B"/>
    <w:rsid w:val="00BC60BE"/>
    <w:rsid w:val="00BC7468"/>
    <w:rsid w:val="00BC7D4F"/>
    <w:rsid w:val="00BC7ED7"/>
    <w:rsid w:val="00BD2850"/>
    <w:rsid w:val="00BD5AFD"/>
    <w:rsid w:val="00BE07D9"/>
    <w:rsid w:val="00BE28D2"/>
    <w:rsid w:val="00BE4A64"/>
    <w:rsid w:val="00BE5E43"/>
    <w:rsid w:val="00BF557D"/>
    <w:rsid w:val="00BF658D"/>
    <w:rsid w:val="00BF7BEA"/>
    <w:rsid w:val="00BF7F58"/>
    <w:rsid w:val="00C01381"/>
    <w:rsid w:val="00C01AB1"/>
    <w:rsid w:val="00C026A0"/>
    <w:rsid w:val="00C06137"/>
    <w:rsid w:val="00C06929"/>
    <w:rsid w:val="00C079B8"/>
    <w:rsid w:val="00C10037"/>
    <w:rsid w:val="00C115E1"/>
    <w:rsid w:val="00C123EA"/>
    <w:rsid w:val="00C12A49"/>
    <w:rsid w:val="00C133EE"/>
    <w:rsid w:val="00C146E1"/>
    <w:rsid w:val="00C149D0"/>
    <w:rsid w:val="00C1563B"/>
    <w:rsid w:val="00C22CC3"/>
    <w:rsid w:val="00C26588"/>
    <w:rsid w:val="00C27DE9"/>
    <w:rsid w:val="00C32989"/>
    <w:rsid w:val="00C33388"/>
    <w:rsid w:val="00C35484"/>
    <w:rsid w:val="00C35C7D"/>
    <w:rsid w:val="00C4173A"/>
    <w:rsid w:val="00C50DED"/>
    <w:rsid w:val="00C52217"/>
    <w:rsid w:val="00C602FF"/>
    <w:rsid w:val="00C60411"/>
    <w:rsid w:val="00C61174"/>
    <w:rsid w:val="00C6148F"/>
    <w:rsid w:val="00C61F2B"/>
    <w:rsid w:val="00C621B1"/>
    <w:rsid w:val="00C62F7A"/>
    <w:rsid w:val="00C63B9C"/>
    <w:rsid w:val="00C6682F"/>
    <w:rsid w:val="00C67BF4"/>
    <w:rsid w:val="00C71373"/>
    <w:rsid w:val="00C7275E"/>
    <w:rsid w:val="00C731AF"/>
    <w:rsid w:val="00C74C5D"/>
    <w:rsid w:val="00C80439"/>
    <w:rsid w:val="00C83CB7"/>
    <w:rsid w:val="00C84192"/>
    <w:rsid w:val="00C85983"/>
    <w:rsid w:val="00C85ED3"/>
    <w:rsid w:val="00C863C4"/>
    <w:rsid w:val="00C90DAB"/>
    <w:rsid w:val="00C920EA"/>
    <w:rsid w:val="00C93C3E"/>
    <w:rsid w:val="00C948AF"/>
    <w:rsid w:val="00CA12E3"/>
    <w:rsid w:val="00CA1476"/>
    <w:rsid w:val="00CA17FF"/>
    <w:rsid w:val="00CA5467"/>
    <w:rsid w:val="00CA6611"/>
    <w:rsid w:val="00CA6AE6"/>
    <w:rsid w:val="00CA782F"/>
    <w:rsid w:val="00CB187B"/>
    <w:rsid w:val="00CB2835"/>
    <w:rsid w:val="00CB3285"/>
    <w:rsid w:val="00CB4500"/>
    <w:rsid w:val="00CB4757"/>
    <w:rsid w:val="00CB6517"/>
    <w:rsid w:val="00CB86F0"/>
    <w:rsid w:val="00CC0C72"/>
    <w:rsid w:val="00CC1C09"/>
    <w:rsid w:val="00CC2BFD"/>
    <w:rsid w:val="00CC430F"/>
    <w:rsid w:val="00CC6F40"/>
    <w:rsid w:val="00CC70C3"/>
    <w:rsid w:val="00CCC739"/>
    <w:rsid w:val="00CD0CC4"/>
    <w:rsid w:val="00CD3476"/>
    <w:rsid w:val="00CD64DF"/>
    <w:rsid w:val="00CE12E8"/>
    <w:rsid w:val="00CE225F"/>
    <w:rsid w:val="00CE35ED"/>
    <w:rsid w:val="00CE5A7A"/>
    <w:rsid w:val="00CE6447"/>
    <w:rsid w:val="00CF0990"/>
    <w:rsid w:val="00CF2F50"/>
    <w:rsid w:val="00CF3EF6"/>
    <w:rsid w:val="00CF6198"/>
    <w:rsid w:val="00D02919"/>
    <w:rsid w:val="00D02B26"/>
    <w:rsid w:val="00D04C61"/>
    <w:rsid w:val="00D05B8D"/>
    <w:rsid w:val="00D05B9B"/>
    <w:rsid w:val="00D065A2"/>
    <w:rsid w:val="00D079AA"/>
    <w:rsid w:val="00D07F00"/>
    <w:rsid w:val="00D1130F"/>
    <w:rsid w:val="00D171E4"/>
    <w:rsid w:val="00D17B72"/>
    <w:rsid w:val="00D3185C"/>
    <w:rsid w:val="00D3205F"/>
    <w:rsid w:val="00D3318E"/>
    <w:rsid w:val="00D33E72"/>
    <w:rsid w:val="00D34272"/>
    <w:rsid w:val="00D35BD6"/>
    <w:rsid w:val="00D361B5"/>
    <w:rsid w:val="00D411A2"/>
    <w:rsid w:val="00D444C2"/>
    <w:rsid w:val="00D4606D"/>
    <w:rsid w:val="00D50B9C"/>
    <w:rsid w:val="00D513AF"/>
    <w:rsid w:val="00D52D73"/>
    <w:rsid w:val="00D52E58"/>
    <w:rsid w:val="00D5523A"/>
    <w:rsid w:val="00D56B20"/>
    <w:rsid w:val="00D578B3"/>
    <w:rsid w:val="00D6153F"/>
    <w:rsid w:val="00D618F4"/>
    <w:rsid w:val="00D61DF2"/>
    <w:rsid w:val="00D63636"/>
    <w:rsid w:val="00D714CC"/>
    <w:rsid w:val="00D72DA0"/>
    <w:rsid w:val="00D75EA7"/>
    <w:rsid w:val="00D76326"/>
    <w:rsid w:val="00D76ECC"/>
    <w:rsid w:val="00D81ADF"/>
    <w:rsid w:val="00D81F21"/>
    <w:rsid w:val="00D84EF6"/>
    <w:rsid w:val="00D864F2"/>
    <w:rsid w:val="00D904E1"/>
    <w:rsid w:val="00D943F8"/>
    <w:rsid w:val="00D951D2"/>
    <w:rsid w:val="00D95470"/>
    <w:rsid w:val="00D96B55"/>
    <w:rsid w:val="00DA2619"/>
    <w:rsid w:val="00DA4239"/>
    <w:rsid w:val="00DA588C"/>
    <w:rsid w:val="00DA58F7"/>
    <w:rsid w:val="00DA65DE"/>
    <w:rsid w:val="00DB0B61"/>
    <w:rsid w:val="00DB1474"/>
    <w:rsid w:val="00DB2637"/>
    <w:rsid w:val="00DB2962"/>
    <w:rsid w:val="00DB45F1"/>
    <w:rsid w:val="00DB52FB"/>
    <w:rsid w:val="00DB64D3"/>
    <w:rsid w:val="00DC013B"/>
    <w:rsid w:val="00DC090B"/>
    <w:rsid w:val="00DC1679"/>
    <w:rsid w:val="00DC219B"/>
    <w:rsid w:val="00DC2CF1"/>
    <w:rsid w:val="00DC2DC7"/>
    <w:rsid w:val="00DC2EA0"/>
    <w:rsid w:val="00DC3A7C"/>
    <w:rsid w:val="00DC4FCF"/>
    <w:rsid w:val="00DC50E0"/>
    <w:rsid w:val="00DC5410"/>
    <w:rsid w:val="00DC6386"/>
    <w:rsid w:val="00DD1130"/>
    <w:rsid w:val="00DD14C4"/>
    <w:rsid w:val="00DD1951"/>
    <w:rsid w:val="00DD43B6"/>
    <w:rsid w:val="00DD457B"/>
    <w:rsid w:val="00DD487D"/>
    <w:rsid w:val="00DD4E83"/>
    <w:rsid w:val="00DD5427"/>
    <w:rsid w:val="00DD6504"/>
    <w:rsid w:val="00DD6628"/>
    <w:rsid w:val="00DD6945"/>
    <w:rsid w:val="00DE2D04"/>
    <w:rsid w:val="00DE3250"/>
    <w:rsid w:val="00DE56F0"/>
    <w:rsid w:val="00DE58C9"/>
    <w:rsid w:val="00DE6028"/>
    <w:rsid w:val="00DE6C85"/>
    <w:rsid w:val="00DE78A3"/>
    <w:rsid w:val="00DF0A6E"/>
    <w:rsid w:val="00DF1A71"/>
    <w:rsid w:val="00DF50FC"/>
    <w:rsid w:val="00DF57D6"/>
    <w:rsid w:val="00DF68C7"/>
    <w:rsid w:val="00DF731A"/>
    <w:rsid w:val="00E06B75"/>
    <w:rsid w:val="00E07E29"/>
    <w:rsid w:val="00E11332"/>
    <w:rsid w:val="00E11352"/>
    <w:rsid w:val="00E16B0D"/>
    <w:rsid w:val="00E16EA5"/>
    <w:rsid w:val="00E16F8C"/>
    <w:rsid w:val="00E170DC"/>
    <w:rsid w:val="00E17546"/>
    <w:rsid w:val="00E210B5"/>
    <w:rsid w:val="00E24AD2"/>
    <w:rsid w:val="00E260BC"/>
    <w:rsid w:val="00E261B3"/>
    <w:rsid w:val="00E267B2"/>
    <w:rsid w:val="00E26818"/>
    <w:rsid w:val="00E27FFC"/>
    <w:rsid w:val="00E30B15"/>
    <w:rsid w:val="00E33237"/>
    <w:rsid w:val="00E40181"/>
    <w:rsid w:val="00E46C7B"/>
    <w:rsid w:val="00E54950"/>
    <w:rsid w:val="00E5524C"/>
    <w:rsid w:val="00E55FB3"/>
    <w:rsid w:val="00E56A01"/>
    <w:rsid w:val="00E629A1"/>
    <w:rsid w:val="00E6794C"/>
    <w:rsid w:val="00E71591"/>
    <w:rsid w:val="00E71CEB"/>
    <w:rsid w:val="00E7474F"/>
    <w:rsid w:val="00E7585C"/>
    <w:rsid w:val="00E77957"/>
    <w:rsid w:val="00E80DE3"/>
    <w:rsid w:val="00E8145E"/>
    <w:rsid w:val="00E82C55"/>
    <w:rsid w:val="00E830B0"/>
    <w:rsid w:val="00E85330"/>
    <w:rsid w:val="00E87093"/>
    <w:rsid w:val="00E8787E"/>
    <w:rsid w:val="00E9042A"/>
    <w:rsid w:val="00E90448"/>
    <w:rsid w:val="00E92AC3"/>
    <w:rsid w:val="00EA2F6A"/>
    <w:rsid w:val="00EB00E0"/>
    <w:rsid w:val="00EB05D5"/>
    <w:rsid w:val="00EB4BC7"/>
    <w:rsid w:val="00EB56B9"/>
    <w:rsid w:val="00EC059F"/>
    <w:rsid w:val="00EC0AA3"/>
    <w:rsid w:val="00EC1F24"/>
    <w:rsid w:val="00EC22F6"/>
    <w:rsid w:val="00EC34DC"/>
    <w:rsid w:val="00EC3DB9"/>
    <w:rsid w:val="00ED097F"/>
    <w:rsid w:val="00ED5B9B"/>
    <w:rsid w:val="00ED6BAD"/>
    <w:rsid w:val="00ED7447"/>
    <w:rsid w:val="00ED7762"/>
    <w:rsid w:val="00EE00D6"/>
    <w:rsid w:val="00EE11E7"/>
    <w:rsid w:val="00EE1488"/>
    <w:rsid w:val="00EE29AD"/>
    <w:rsid w:val="00EE3961"/>
    <w:rsid w:val="00EE3E24"/>
    <w:rsid w:val="00EE43D6"/>
    <w:rsid w:val="00EE4D5D"/>
    <w:rsid w:val="00EE5131"/>
    <w:rsid w:val="00EF109B"/>
    <w:rsid w:val="00EF201C"/>
    <w:rsid w:val="00EF2C72"/>
    <w:rsid w:val="00EF36AF"/>
    <w:rsid w:val="00EF59A3"/>
    <w:rsid w:val="00EF6675"/>
    <w:rsid w:val="00F0063D"/>
    <w:rsid w:val="00F00B01"/>
    <w:rsid w:val="00F00F9C"/>
    <w:rsid w:val="00F01094"/>
    <w:rsid w:val="00F01E5F"/>
    <w:rsid w:val="00F024F3"/>
    <w:rsid w:val="00F02ABA"/>
    <w:rsid w:val="00F0437A"/>
    <w:rsid w:val="00F06487"/>
    <w:rsid w:val="00F101B8"/>
    <w:rsid w:val="00F10BFD"/>
    <w:rsid w:val="00F11037"/>
    <w:rsid w:val="00F1661E"/>
    <w:rsid w:val="00F16F1B"/>
    <w:rsid w:val="00F250A9"/>
    <w:rsid w:val="00F267AF"/>
    <w:rsid w:val="00F30FF4"/>
    <w:rsid w:val="00F3122E"/>
    <w:rsid w:val="00F31EE0"/>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0909"/>
    <w:rsid w:val="00F61A9F"/>
    <w:rsid w:val="00F61B5F"/>
    <w:rsid w:val="00F64696"/>
    <w:rsid w:val="00F65AA9"/>
    <w:rsid w:val="00F6753E"/>
    <w:rsid w:val="00F6768F"/>
    <w:rsid w:val="00F72C2C"/>
    <w:rsid w:val="00F72E18"/>
    <w:rsid w:val="00F741F2"/>
    <w:rsid w:val="00F76CAB"/>
    <w:rsid w:val="00F772C6"/>
    <w:rsid w:val="00F815B5"/>
    <w:rsid w:val="00F85195"/>
    <w:rsid w:val="00F868E3"/>
    <w:rsid w:val="00F86A7A"/>
    <w:rsid w:val="00F921CF"/>
    <w:rsid w:val="00F938BA"/>
    <w:rsid w:val="00F9541D"/>
    <w:rsid w:val="00F97919"/>
    <w:rsid w:val="00FA1AC5"/>
    <w:rsid w:val="00FA2C46"/>
    <w:rsid w:val="00FA3525"/>
    <w:rsid w:val="00FA5A53"/>
    <w:rsid w:val="00FB1F6E"/>
    <w:rsid w:val="00FB2698"/>
    <w:rsid w:val="00FB27B8"/>
    <w:rsid w:val="00FB4769"/>
    <w:rsid w:val="00FB4CDA"/>
    <w:rsid w:val="00FB6481"/>
    <w:rsid w:val="00FB6D36"/>
    <w:rsid w:val="00FB7BAD"/>
    <w:rsid w:val="00FC0965"/>
    <w:rsid w:val="00FC0F81"/>
    <w:rsid w:val="00FC252F"/>
    <w:rsid w:val="00FC395C"/>
    <w:rsid w:val="00FC5E8E"/>
    <w:rsid w:val="00FD0D95"/>
    <w:rsid w:val="00FD2278"/>
    <w:rsid w:val="00FD3766"/>
    <w:rsid w:val="00FD3D05"/>
    <w:rsid w:val="00FD47C4"/>
    <w:rsid w:val="00FE16AA"/>
    <w:rsid w:val="00FE2DCF"/>
    <w:rsid w:val="00FE3FA7"/>
    <w:rsid w:val="00FE4081"/>
    <w:rsid w:val="00FF0E3B"/>
    <w:rsid w:val="00FF2A4E"/>
    <w:rsid w:val="00FF2FCE"/>
    <w:rsid w:val="00FF4F7D"/>
    <w:rsid w:val="00FF6D9D"/>
    <w:rsid w:val="00FF7620"/>
    <w:rsid w:val="00FF7DD5"/>
    <w:rsid w:val="01342661"/>
    <w:rsid w:val="014BCA73"/>
    <w:rsid w:val="01A71568"/>
    <w:rsid w:val="01D3D793"/>
    <w:rsid w:val="0261B24C"/>
    <w:rsid w:val="02CFF923"/>
    <w:rsid w:val="039C6EE5"/>
    <w:rsid w:val="0491EA31"/>
    <w:rsid w:val="04DB5DB4"/>
    <w:rsid w:val="051DCDCB"/>
    <w:rsid w:val="0606BBE1"/>
    <w:rsid w:val="06206374"/>
    <w:rsid w:val="063CF9C1"/>
    <w:rsid w:val="06497C80"/>
    <w:rsid w:val="06A0560F"/>
    <w:rsid w:val="06C0CE7F"/>
    <w:rsid w:val="06CAE61E"/>
    <w:rsid w:val="07654614"/>
    <w:rsid w:val="07EF3D79"/>
    <w:rsid w:val="0827D28F"/>
    <w:rsid w:val="084B2E5E"/>
    <w:rsid w:val="085D9AB8"/>
    <w:rsid w:val="087C3874"/>
    <w:rsid w:val="08ADF980"/>
    <w:rsid w:val="09855246"/>
    <w:rsid w:val="09A42640"/>
    <w:rsid w:val="09F206BC"/>
    <w:rsid w:val="0A025481"/>
    <w:rsid w:val="0A323D89"/>
    <w:rsid w:val="0A826502"/>
    <w:rsid w:val="0A86BFA8"/>
    <w:rsid w:val="0B14676E"/>
    <w:rsid w:val="0B6EC4D7"/>
    <w:rsid w:val="0BBDA4F1"/>
    <w:rsid w:val="0C65B286"/>
    <w:rsid w:val="0CA60AF8"/>
    <w:rsid w:val="0CAF88BA"/>
    <w:rsid w:val="0D3F2872"/>
    <w:rsid w:val="0D603E1C"/>
    <w:rsid w:val="0D6AE8CD"/>
    <w:rsid w:val="0DB12413"/>
    <w:rsid w:val="0DB4D76C"/>
    <w:rsid w:val="0E2494CE"/>
    <w:rsid w:val="0E37498D"/>
    <w:rsid w:val="0E711DF5"/>
    <w:rsid w:val="0EE82EC4"/>
    <w:rsid w:val="0EF9568E"/>
    <w:rsid w:val="0F376E45"/>
    <w:rsid w:val="0FBFB308"/>
    <w:rsid w:val="1003F8FF"/>
    <w:rsid w:val="112FC69B"/>
    <w:rsid w:val="11E6A69C"/>
    <w:rsid w:val="1222DA6F"/>
    <w:rsid w:val="1298AE25"/>
    <w:rsid w:val="129F4DC7"/>
    <w:rsid w:val="12F911D9"/>
    <w:rsid w:val="138DDF8C"/>
    <w:rsid w:val="13C9FCAF"/>
    <w:rsid w:val="142BCE03"/>
    <w:rsid w:val="14378EB2"/>
    <w:rsid w:val="156EE6FD"/>
    <w:rsid w:val="15CEA364"/>
    <w:rsid w:val="1760B3D2"/>
    <w:rsid w:val="17945F02"/>
    <w:rsid w:val="17C0DDC7"/>
    <w:rsid w:val="180CE743"/>
    <w:rsid w:val="18AA8018"/>
    <w:rsid w:val="18F61E32"/>
    <w:rsid w:val="194FDF02"/>
    <w:rsid w:val="1A2B01BB"/>
    <w:rsid w:val="1A3EC128"/>
    <w:rsid w:val="1A5D2995"/>
    <w:rsid w:val="1A6D0C91"/>
    <w:rsid w:val="1AEB7FF8"/>
    <w:rsid w:val="1B319422"/>
    <w:rsid w:val="1B5AEAE4"/>
    <w:rsid w:val="1B793354"/>
    <w:rsid w:val="1C2A8368"/>
    <w:rsid w:val="1C3D9691"/>
    <w:rsid w:val="1C6F1296"/>
    <w:rsid w:val="1C8E105C"/>
    <w:rsid w:val="1CB1609E"/>
    <w:rsid w:val="1D862400"/>
    <w:rsid w:val="1E10486D"/>
    <w:rsid w:val="1E1A39C9"/>
    <w:rsid w:val="1E284D41"/>
    <w:rsid w:val="1F11CCDC"/>
    <w:rsid w:val="1F3A0F9C"/>
    <w:rsid w:val="1F7A4C21"/>
    <w:rsid w:val="1FD965D6"/>
    <w:rsid w:val="1FE212E3"/>
    <w:rsid w:val="2006B31F"/>
    <w:rsid w:val="215CC592"/>
    <w:rsid w:val="21AF9A7F"/>
    <w:rsid w:val="236DA9A3"/>
    <w:rsid w:val="2445E1AE"/>
    <w:rsid w:val="24CA6255"/>
    <w:rsid w:val="25261191"/>
    <w:rsid w:val="256BC815"/>
    <w:rsid w:val="25806DCA"/>
    <w:rsid w:val="259F7B07"/>
    <w:rsid w:val="25B85EAA"/>
    <w:rsid w:val="25D14FEF"/>
    <w:rsid w:val="261D9AE2"/>
    <w:rsid w:val="27FEA8B2"/>
    <w:rsid w:val="28274FAE"/>
    <w:rsid w:val="28426E3D"/>
    <w:rsid w:val="28D7F175"/>
    <w:rsid w:val="28E6743D"/>
    <w:rsid w:val="2907C373"/>
    <w:rsid w:val="297E24C3"/>
    <w:rsid w:val="29E736D4"/>
    <w:rsid w:val="2B0BDE25"/>
    <w:rsid w:val="2B626E71"/>
    <w:rsid w:val="2B62A01C"/>
    <w:rsid w:val="2BB2C57F"/>
    <w:rsid w:val="2C1DD1ED"/>
    <w:rsid w:val="2C731996"/>
    <w:rsid w:val="2C8A7ACF"/>
    <w:rsid w:val="2D1301BF"/>
    <w:rsid w:val="2E3C65D3"/>
    <w:rsid w:val="2E709E09"/>
    <w:rsid w:val="2EB62CDD"/>
    <w:rsid w:val="2F12386E"/>
    <w:rsid w:val="2F5EB2D3"/>
    <w:rsid w:val="2F6AB1CD"/>
    <w:rsid w:val="2FE508DF"/>
    <w:rsid w:val="303C770A"/>
    <w:rsid w:val="3101D6C5"/>
    <w:rsid w:val="3169B03B"/>
    <w:rsid w:val="318EB97D"/>
    <w:rsid w:val="31E31AF8"/>
    <w:rsid w:val="32632786"/>
    <w:rsid w:val="3263CA28"/>
    <w:rsid w:val="32DE6B55"/>
    <w:rsid w:val="332276C3"/>
    <w:rsid w:val="33C85989"/>
    <w:rsid w:val="33D39BFA"/>
    <w:rsid w:val="342AE02E"/>
    <w:rsid w:val="345146E9"/>
    <w:rsid w:val="346E55E0"/>
    <w:rsid w:val="34F8890A"/>
    <w:rsid w:val="3506A535"/>
    <w:rsid w:val="35A298FB"/>
    <w:rsid w:val="35C9AA90"/>
    <w:rsid w:val="369DD9B4"/>
    <w:rsid w:val="36EFE470"/>
    <w:rsid w:val="36F869AE"/>
    <w:rsid w:val="371372D8"/>
    <w:rsid w:val="37139D61"/>
    <w:rsid w:val="37E0CCC6"/>
    <w:rsid w:val="3808D07C"/>
    <w:rsid w:val="3855A3CE"/>
    <w:rsid w:val="386E410E"/>
    <w:rsid w:val="38776C5C"/>
    <w:rsid w:val="38D1DBE4"/>
    <w:rsid w:val="38D600B8"/>
    <w:rsid w:val="38E17875"/>
    <w:rsid w:val="3A6E438F"/>
    <w:rsid w:val="3AE1A52E"/>
    <w:rsid w:val="3AE3A7EB"/>
    <w:rsid w:val="3B231023"/>
    <w:rsid w:val="3B246A3C"/>
    <w:rsid w:val="3C13B226"/>
    <w:rsid w:val="3C60564C"/>
    <w:rsid w:val="3C630C39"/>
    <w:rsid w:val="3C6A793A"/>
    <w:rsid w:val="3D672A72"/>
    <w:rsid w:val="3D917C5A"/>
    <w:rsid w:val="3E0199F7"/>
    <w:rsid w:val="3E30103D"/>
    <w:rsid w:val="3E4DEED5"/>
    <w:rsid w:val="3FA1167C"/>
    <w:rsid w:val="3FA1970C"/>
    <w:rsid w:val="3FDEE6F6"/>
    <w:rsid w:val="401F634B"/>
    <w:rsid w:val="4035A0A4"/>
    <w:rsid w:val="41345A67"/>
    <w:rsid w:val="4169E580"/>
    <w:rsid w:val="421630F8"/>
    <w:rsid w:val="423E6A11"/>
    <w:rsid w:val="429E8987"/>
    <w:rsid w:val="432CB70F"/>
    <w:rsid w:val="432F7BB6"/>
    <w:rsid w:val="43535CA5"/>
    <w:rsid w:val="437083C1"/>
    <w:rsid w:val="437B3164"/>
    <w:rsid w:val="438DEE18"/>
    <w:rsid w:val="43E37B5C"/>
    <w:rsid w:val="442DF91F"/>
    <w:rsid w:val="443C235C"/>
    <w:rsid w:val="4441851B"/>
    <w:rsid w:val="444378BA"/>
    <w:rsid w:val="444D42EA"/>
    <w:rsid w:val="446848E6"/>
    <w:rsid w:val="448FC5A7"/>
    <w:rsid w:val="449AB4C4"/>
    <w:rsid w:val="44B5FE2A"/>
    <w:rsid w:val="44E270BA"/>
    <w:rsid w:val="44FBD63D"/>
    <w:rsid w:val="450EB1B7"/>
    <w:rsid w:val="45117239"/>
    <w:rsid w:val="46A9C0A8"/>
    <w:rsid w:val="46B68963"/>
    <w:rsid w:val="47008820"/>
    <w:rsid w:val="4729D1C7"/>
    <w:rsid w:val="4782974C"/>
    <w:rsid w:val="47B4C4F3"/>
    <w:rsid w:val="49314449"/>
    <w:rsid w:val="49ADFA55"/>
    <w:rsid w:val="49CE383D"/>
    <w:rsid w:val="4AF86E5C"/>
    <w:rsid w:val="4B104D91"/>
    <w:rsid w:val="4B80CD51"/>
    <w:rsid w:val="4BA378C0"/>
    <w:rsid w:val="4BF7C42E"/>
    <w:rsid w:val="4C7ED839"/>
    <w:rsid w:val="4CEA8611"/>
    <w:rsid w:val="4CF2F04A"/>
    <w:rsid w:val="4D79B74B"/>
    <w:rsid w:val="4D7D9115"/>
    <w:rsid w:val="4DCD0D6D"/>
    <w:rsid w:val="4E0438C8"/>
    <w:rsid w:val="4E19D866"/>
    <w:rsid w:val="4E610130"/>
    <w:rsid w:val="4F0FC097"/>
    <w:rsid w:val="4F3C9CCC"/>
    <w:rsid w:val="4F3DA54F"/>
    <w:rsid w:val="4F6946EF"/>
    <w:rsid w:val="4FAA2089"/>
    <w:rsid w:val="502BEF89"/>
    <w:rsid w:val="505693C8"/>
    <w:rsid w:val="51C5A19D"/>
    <w:rsid w:val="51C7A072"/>
    <w:rsid w:val="51C967C8"/>
    <w:rsid w:val="51CBF8F8"/>
    <w:rsid w:val="520AD7E5"/>
    <w:rsid w:val="523491C5"/>
    <w:rsid w:val="52609D01"/>
    <w:rsid w:val="52E42849"/>
    <w:rsid w:val="53317E53"/>
    <w:rsid w:val="53E22B16"/>
    <w:rsid w:val="5502323B"/>
    <w:rsid w:val="55EEABE4"/>
    <w:rsid w:val="5649794D"/>
    <w:rsid w:val="56855E46"/>
    <w:rsid w:val="56B610E4"/>
    <w:rsid w:val="56BAFA7E"/>
    <w:rsid w:val="577C3533"/>
    <w:rsid w:val="587DCA74"/>
    <w:rsid w:val="5894040D"/>
    <w:rsid w:val="58C95B4F"/>
    <w:rsid w:val="59555443"/>
    <w:rsid w:val="5959F936"/>
    <w:rsid w:val="59DC84D8"/>
    <w:rsid w:val="59EAD6E0"/>
    <w:rsid w:val="5A0D8472"/>
    <w:rsid w:val="5A49CADE"/>
    <w:rsid w:val="5BC5E0A1"/>
    <w:rsid w:val="5C326D63"/>
    <w:rsid w:val="5C35EA64"/>
    <w:rsid w:val="5C8D5C30"/>
    <w:rsid w:val="5D10C71C"/>
    <w:rsid w:val="5D3878FE"/>
    <w:rsid w:val="5DBC5A63"/>
    <w:rsid w:val="5DFAAFA0"/>
    <w:rsid w:val="5E80D43D"/>
    <w:rsid w:val="5F8A4A3D"/>
    <w:rsid w:val="6084A69A"/>
    <w:rsid w:val="60CDC63B"/>
    <w:rsid w:val="60D47EAE"/>
    <w:rsid w:val="60FBB9FB"/>
    <w:rsid w:val="6125CB1C"/>
    <w:rsid w:val="61405135"/>
    <w:rsid w:val="6165FE08"/>
    <w:rsid w:val="619BED45"/>
    <w:rsid w:val="61A529EA"/>
    <w:rsid w:val="61E33BBB"/>
    <w:rsid w:val="630A6DA8"/>
    <w:rsid w:val="63262163"/>
    <w:rsid w:val="63DB3A6D"/>
    <w:rsid w:val="6405D2FC"/>
    <w:rsid w:val="643FB4F0"/>
    <w:rsid w:val="644A4958"/>
    <w:rsid w:val="6474F54B"/>
    <w:rsid w:val="651798C5"/>
    <w:rsid w:val="6542C40F"/>
    <w:rsid w:val="657239F3"/>
    <w:rsid w:val="6574D751"/>
    <w:rsid w:val="6618852A"/>
    <w:rsid w:val="666E27D8"/>
    <w:rsid w:val="66B86C02"/>
    <w:rsid w:val="66E3DF32"/>
    <w:rsid w:val="675C824E"/>
    <w:rsid w:val="679CB3BC"/>
    <w:rsid w:val="67B717D9"/>
    <w:rsid w:val="68906383"/>
    <w:rsid w:val="689A1EDC"/>
    <w:rsid w:val="68A3E866"/>
    <w:rsid w:val="68C02A4A"/>
    <w:rsid w:val="68E6FA0D"/>
    <w:rsid w:val="690D7E5B"/>
    <w:rsid w:val="6966BFE4"/>
    <w:rsid w:val="69DFD65E"/>
    <w:rsid w:val="69F25D05"/>
    <w:rsid w:val="69FA99FA"/>
    <w:rsid w:val="6A0CD128"/>
    <w:rsid w:val="6A40A832"/>
    <w:rsid w:val="6A605477"/>
    <w:rsid w:val="6BBA482A"/>
    <w:rsid w:val="6BE06F4A"/>
    <w:rsid w:val="6CB6829C"/>
    <w:rsid w:val="6CFE1EC2"/>
    <w:rsid w:val="6DF9EE29"/>
    <w:rsid w:val="6E41C54C"/>
    <w:rsid w:val="6E76B25A"/>
    <w:rsid w:val="6EB27572"/>
    <w:rsid w:val="7091910A"/>
    <w:rsid w:val="70BC3330"/>
    <w:rsid w:val="70BFAABA"/>
    <w:rsid w:val="70ECB10F"/>
    <w:rsid w:val="70EDA92F"/>
    <w:rsid w:val="70F7798F"/>
    <w:rsid w:val="7130032C"/>
    <w:rsid w:val="72ECBEC0"/>
    <w:rsid w:val="72FFD28E"/>
    <w:rsid w:val="736B3B0E"/>
    <w:rsid w:val="741E3BCD"/>
    <w:rsid w:val="745B4C0E"/>
    <w:rsid w:val="745D3D1D"/>
    <w:rsid w:val="7483E2FF"/>
    <w:rsid w:val="74ED6F50"/>
    <w:rsid w:val="75051A12"/>
    <w:rsid w:val="76526853"/>
    <w:rsid w:val="76C1754D"/>
    <w:rsid w:val="779AF8E1"/>
    <w:rsid w:val="77E805D5"/>
    <w:rsid w:val="784D1EEA"/>
    <w:rsid w:val="7920845C"/>
    <w:rsid w:val="79681E30"/>
    <w:rsid w:val="79A1712E"/>
    <w:rsid w:val="79A7AB58"/>
    <w:rsid w:val="7A1BF500"/>
    <w:rsid w:val="7A56D78D"/>
    <w:rsid w:val="7A5BC857"/>
    <w:rsid w:val="7A9F5158"/>
    <w:rsid w:val="7AECAE47"/>
    <w:rsid w:val="7C465723"/>
    <w:rsid w:val="7C4E3C36"/>
    <w:rsid w:val="7C83133C"/>
    <w:rsid w:val="7D1FC17C"/>
    <w:rsid w:val="7D2DD67E"/>
    <w:rsid w:val="7D313712"/>
    <w:rsid w:val="7D771905"/>
    <w:rsid w:val="7E60269F"/>
    <w:rsid w:val="7E73D103"/>
    <w:rsid w:val="7EAA8DA0"/>
    <w:rsid w:val="7EBC6DD0"/>
    <w:rsid w:val="7F2F743D"/>
    <w:rsid w:val="7FAEE7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E5676"/>
  <w15:docId w15:val="{4214E1CF-3280-4F20-A893-0BC0552D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C60411"/>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5"/>
      </w:numPr>
    </w:pPr>
  </w:style>
  <w:style w:type="numbering" w:customStyle="1" w:styleId="ZZTablebullets">
    <w:name w:val="ZZ Table bullets"/>
    <w:basedOn w:val="NoList"/>
    <w:rsid w:val="00C60411"/>
    <w:pPr>
      <w:numPr>
        <w:numId w:val="15"/>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8"/>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3"/>
      </w:numPr>
    </w:pPr>
  </w:style>
  <w:style w:type="numbering" w:customStyle="1" w:styleId="ZZNumbersdigit">
    <w:name w:val="ZZ Numbers digit"/>
    <w:rsid w:val="00C60411"/>
    <w:pPr>
      <w:numPr>
        <w:numId w:val="8"/>
      </w:numPr>
    </w:pPr>
  </w:style>
  <w:style w:type="numbering" w:customStyle="1" w:styleId="ZZQuotebullets">
    <w:name w:val="ZZ Quote bullets"/>
    <w:basedOn w:val="ZZNumbersdigit"/>
    <w:rsid w:val="00C60411"/>
    <w:pPr>
      <w:numPr>
        <w:numId w:val="17"/>
      </w:numPr>
    </w:pPr>
  </w:style>
  <w:style w:type="paragraph" w:customStyle="1" w:styleId="Numberdigit">
    <w:name w:val="Number digit"/>
    <w:basedOn w:val="Body"/>
    <w:uiPriority w:val="2"/>
    <w:rsid w:val="00C60411"/>
    <w:pPr>
      <w:numPr>
        <w:numId w:val="8"/>
      </w:numPr>
    </w:pPr>
  </w:style>
  <w:style w:type="paragraph" w:customStyle="1" w:styleId="Numberloweralphaindent">
    <w:name w:val="Number lower alpha indent"/>
    <w:basedOn w:val="Body"/>
    <w:uiPriority w:val="3"/>
    <w:rsid w:val="00C60411"/>
    <w:pPr>
      <w:numPr>
        <w:ilvl w:val="1"/>
        <w:numId w:val="26"/>
      </w:numPr>
    </w:pPr>
  </w:style>
  <w:style w:type="paragraph" w:customStyle="1" w:styleId="Numberdigitindent">
    <w:name w:val="Number digit indent"/>
    <w:basedOn w:val="Numberloweralphaindent"/>
    <w:uiPriority w:val="3"/>
    <w:rsid w:val="00C60411"/>
    <w:pPr>
      <w:numPr>
        <w:numId w:val="8"/>
      </w:numPr>
    </w:pPr>
  </w:style>
  <w:style w:type="paragraph" w:customStyle="1" w:styleId="Numberloweralpha">
    <w:name w:val="Number lower alpha"/>
    <w:basedOn w:val="Body"/>
    <w:uiPriority w:val="3"/>
    <w:rsid w:val="00C60411"/>
    <w:pPr>
      <w:numPr>
        <w:numId w:val="26"/>
      </w:numPr>
    </w:pPr>
  </w:style>
  <w:style w:type="paragraph" w:customStyle="1" w:styleId="Numberlowerroman">
    <w:name w:val="Number lower roman"/>
    <w:basedOn w:val="Body"/>
    <w:uiPriority w:val="3"/>
    <w:rsid w:val="00C60411"/>
    <w:pPr>
      <w:numPr>
        <w:numId w:val="19"/>
      </w:numPr>
    </w:pPr>
  </w:style>
  <w:style w:type="paragraph" w:customStyle="1" w:styleId="Numberlowerromanindent">
    <w:name w:val="Number lower roman indent"/>
    <w:basedOn w:val="Body"/>
    <w:uiPriority w:val="3"/>
    <w:rsid w:val="00C60411"/>
    <w:pPr>
      <w:numPr>
        <w:ilvl w:val="1"/>
        <w:numId w:val="1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8"/>
      </w:numPr>
    </w:pPr>
  </w:style>
  <w:style w:type="numbering" w:customStyle="1" w:styleId="ZZNumberslowerroman">
    <w:name w:val="ZZ Numbers lower roman"/>
    <w:basedOn w:val="ZZQuotebullets"/>
    <w:rsid w:val="00C60411"/>
    <w:pPr>
      <w:numPr>
        <w:numId w:val="19"/>
      </w:numPr>
    </w:pPr>
  </w:style>
  <w:style w:type="numbering" w:customStyle="1" w:styleId="ZZNumbersloweralpha">
    <w:name w:val="ZZ Numbers lower alpha"/>
    <w:basedOn w:val="NoList"/>
    <w:rsid w:val="00C60411"/>
    <w:pPr>
      <w:numPr>
        <w:numId w:val="26"/>
      </w:numPr>
    </w:pPr>
  </w:style>
  <w:style w:type="paragraph" w:customStyle="1" w:styleId="Quotebullet1">
    <w:name w:val="Quote bullet 1"/>
    <w:basedOn w:val="Quotetext"/>
    <w:rsid w:val="00C60411"/>
    <w:pPr>
      <w:numPr>
        <w:numId w:val="17"/>
      </w:numPr>
    </w:pPr>
  </w:style>
  <w:style w:type="paragraph" w:customStyle="1" w:styleId="Quotebullet2">
    <w:name w:val="Quote bullet 2"/>
    <w:basedOn w:val="Quotetext"/>
    <w:rsid w:val="00C60411"/>
    <w:pPr>
      <w:numPr>
        <w:ilvl w:val="1"/>
        <w:numId w:val="1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normaltextrun">
    <w:name w:val="normaltextrun"/>
    <w:basedOn w:val="DefaultParagraphFont"/>
    <w:rsid w:val="00670FDB"/>
  </w:style>
  <w:style w:type="table" w:styleId="PlainTable1">
    <w:name w:val="Plain Table 1"/>
    <w:basedOn w:val="TableNormal"/>
    <w:uiPriority w:val="41"/>
    <w:rsid w:val="00670F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FA1AC5"/>
    <w:rPr>
      <w:color w:val="2B579A"/>
      <w:shd w:val="clear" w:color="auto" w:fill="E1DFDD"/>
    </w:rPr>
  </w:style>
  <w:style w:type="character" w:customStyle="1" w:styleId="Bullet1Char">
    <w:name w:val="Bullet 1 Char"/>
    <w:basedOn w:val="DefaultParagraphFont"/>
    <w:link w:val="Bullet1"/>
    <w:uiPriority w:val="1"/>
    <w:rsid w:val="4E610130"/>
    <w:rPr>
      <w:rFonts w:asciiTheme="minorHAnsi" w:eastAsiaTheme="minorEastAsia" w:hAnsiTheme="minorHAnsi" w:cstheme="minorBidi"/>
      <w:sz w:val="21"/>
      <w:szCs w:val="21"/>
      <w:lang w:eastAsia="en-US"/>
    </w:rPr>
  </w:style>
  <w:style w:type="paragraph" w:styleId="ListParagraph">
    <w:name w:val="List Paragraph"/>
    <w:basedOn w:val="Normal"/>
    <w:uiPriority w:val="34"/>
    <w:qFormat/>
    <w:rsid w:val="4E610130"/>
    <w:pPr>
      <w:ind w:left="720"/>
      <w:contextualSpacing/>
    </w:p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chief-psychiatrist/improving-sexual-safety"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chief-psychiatrist/improving-sexual-safe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cp@health.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cp@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chief-psychiatrist/improving-sexual-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34E99A77-DFA2-495C-9C1B-5892096524EB}">
    <t:Anchor>
      <t:Comment id="1125258974"/>
    </t:Anchor>
    <t:History>
      <t:Event id="{51D69AB6-6951-4931-851C-708C677C702E}" time="2025-11-23T23:10:51.455Z">
        <t:Attribution userId="S::cate.salmon@health.vic.gov.au::e59842c9-8118-4087-b2b8-35bb6d7a2512" userProvider="AD" userName="Cate Salmon (Health)"/>
        <t:Anchor>
          <t:Comment id="1125258974"/>
        </t:Anchor>
        <t:Create/>
      </t:Event>
      <t:Event id="{C1218001-1D89-4860-B44C-158604530662}" time="2025-11-23T23:10:51.455Z">
        <t:Attribution userId="S::cate.salmon@health.vic.gov.au::e59842c9-8118-4087-b2b8-35bb6d7a2512" userProvider="AD" userName="Cate Salmon (Health)"/>
        <t:Anchor>
          <t:Comment id="1125258974"/>
        </t:Anchor>
        <t:Assign userId="S::sophie.adams@health.vic.gov.au::25b6cb48-9db6-4ba0-b49d-146a9271d2f2" userProvider="AD" userName="Sophie Adams (Health)"/>
      </t:Event>
      <t:Event id="{52DC4E41-6DA4-4A90-BF12-C147E3040CDD}" time="2025-11-23T23:10:51.455Z">
        <t:Attribution userId="S::cate.salmon@health.vic.gov.au::e59842c9-8118-4087-b2b8-35bb6d7a2512" userProvider="AD" userName="Cate Salmon (Health)"/>
        <t:Anchor>
          <t:Comment id="1125258974"/>
        </t:Anchor>
        <t:SetTitle title="@Sophie Adams (Health) I think we should remove this and keep ISR1 reporting consist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Victoria Petrolo (Health)</DisplayName>
        <AccountId>139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6" ma:contentTypeDescription="Create a new document." ma:contentTypeScope="" ma:versionID="02858959b7e373211fb5f6d28e1ccd91">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0118a5d8bf21f8a339897943ab7ff536"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238A7325-370D-4B8B-98E5-D357DD406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3688</Words>
  <Characters>19919</Characters>
  <Application>Microsoft Office Word</Application>
  <DocSecurity>0</DocSecurity>
  <Lines>441</Lines>
  <Paragraphs>211</Paragraphs>
  <ScaleCrop>false</ScaleCrop>
  <Manager/>
  <Company>Victoria State Government, Department of Health</Company>
  <LinksUpToDate>false</LinksUpToDate>
  <CharactersWithSpaces>23492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Psychiatrist - Sexual safety - MHWA 2022 - reporting directive</dc:title>
  <dc:subject/>
  <dc:creator>Kate E Day (Health)</dc:creator>
  <cp:keywords/>
  <dc:description/>
  <cp:lastModifiedBy>Luke Pinney (Health)</cp:lastModifiedBy>
  <cp:revision>4</cp:revision>
  <cp:lastPrinted>2025-11-27T02:42:00Z</cp:lastPrinted>
  <dcterms:created xsi:type="dcterms:W3CDTF">2025-12-09T22:48:00Z</dcterms:created>
  <dcterms:modified xsi:type="dcterms:W3CDTF">2025-12-09T23:55:00Z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MediaServiceImageTags">
    <vt:lpwstr/>
  </property>
  <property fmtid="{D5CDD505-2E9C-101B-9397-08002B2CF9AE}" pid="11" name="MSIP_Label_43e64453-338c-4f93-8a4d-0039a0a41f2a_SetDate">
    <vt:lpwstr>2023-10-08T22:57:06Z</vt:lpwstr>
  </property>
  <property fmtid="{D5CDD505-2E9C-101B-9397-08002B2CF9AE}" pid="12" name="MSIP_Label_43e64453-338c-4f93-8a4d-0039a0a41f2a_ActionId">
    <vt:lpwstr>ca14a55e-6cc1-44b2-8212-5f0a88419e80</vt:lpwstr>
  </property>
</Properties>
</file>