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F3D3" w14:textId="77777777" w:rsidR="00693D6F" w:rsidRPr="004C6EEE" w:rsidRDefault="00693D6F" w:rsidP="00693D6F">
      <w:pPr>
        <w:pStyle w:val="Sectionbreakfirstpage"/>
        <w:sectPr w:rsidR="00693D6F" w:rsidRPr="004C6EEE" w:rsidSect="00693D6F">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9264" behindDoc="1" locked="1" layoutInCell="1" allowOverlap="0" wp14:anchorId="083254AC" wp14:editId="0DE70D0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693D6F" w14:paraId="6318DA55" w14:textId="77777777" w:rsidTr="002F3031">
        <w:trPr>
          <w:trHeight w:val="622"/>
        </w:trPr>
        <w:tc>
          <w:tcPr>
            <w:tcW w:w="10348" w:type="dxa"/>
            <w:tcMar>
              <w:top w:w="1531" w:type="dxa"/>
              <w:left w:w="0" w:type="dxa"/>
              <w:right w:w="0" w:type="dxa"/>
            </w:tcMar>
          </w:tcPr>
          <w:p w14:paraId="0F4B9ED4" w14:textId="77777777" w:rsidR="00693D6F" w:rsidRPr="00A86B13" w:rsidRDefault="00693D6F" w:rsidP="00A86B13">
            <w:pPr>
              <w:pStyle w:val="Heading1"/>
            </w:pPr>
            <w:bookmarkStart w:id="0" w:name="_Toc218697112"/>
            <w:r w:rsidRPr="00A86B13">
              <w:t>Factsheet: Advice on co-ordination for mental health patient transport and community crisis responses</w:t>
            </w:r>
            <w:bookmarkEnd w:id="0"/>
          </w:p>
        </w:tc>
      </w:tr>
      <w:tr w:rsidR="00693D6F" w14:paraId="0E5C4EEA" w14:textId="77777777" w:rsidTr="002F3031">
        <w:tc>
          <w:tcPr>
            <w:tcW w:w="10348" w:type="dxa"/>
          </w:tcPr>
          <w:p w14:paraId="4B7CD09F" w14:textId="77777777" w:rsidR="00693D6F" w:rsidRPr="00BD666B" w:rsidRDefault="00693D6F" w:rsidP="002F3031">
            <w:pPr>
              <w:pStyle w:val="Documenttitle"/>
              <w:rPr>
                <w:b w:val="0"/>
                <w:bCs/>
                <w:color w:val="7F7F7F" w:themeColor="text1" w:themeTint="80"/>
                <w:sz w:val="28"/>
                <w:szCs w:val="28"/>
              </w:rPr>
            </w:pPr>
            <w:r w:rsidRPr="00BD666B">
              <w:rPr>
                <w:b w:val="0"/>
                <w:bCs/>
                <w:color w:val="7F7F7F" w:themeColor="text1" w:themeTint="80"/>
                <w:sz w:val="28"/>
                <w:szCs w:val="28"/>
              </w:rPr>
              <w:t>Office of the Chief Psychiatrist</w:t>
            </w:r>
            <w:r w:rsidRPr="00BD666B">
              <w:rPr>
                <w:b w:val="0"/>
                <w:bCs/>
                <w:color w:val="7F7F7F" w:themeColor="text1" w:themeTint="80"/>
                <w:sz w:val="28"/>
                <w:szCs w:val="28"/>
              </w:rPr>
              <w:fldChar w:fldCharType="begin"/>
            </w:r>
            <w:r w:rsidRPr="00BD666B">
              <w:rPr>
                <w:b w:val="0"/>
                <w:bCs/>
                <w:color w:val="7F7F7F" w:themeColor="text1" w:themeTint="80"/>
                <w:sz w:val="28"/>
                <w:szCs w:val="28"/>
              </w:rPr>
              <w:instrText>FILLIN  "Type the protective marking" \d OFFICIAL \o  \* MERGEFORMAT</w:instrText>
            </w:r>
            <w:r w:rsidRPr="00BD666B">
              <w:rPr>
                <w:b w:val="0"/>
                <w:bCs/>
                <w:color w:val="7F7F7F" w:themeColor="text1" w:themeTint="80"/>
                <w:sz w:val="28"/>
                <w:szCs w:val="28"/>
              </w:rPr>
              <w:fldChar w:fldCharType="separate"/>
            </w:r>
            <w:r w:rsidRPr="00BD666B">
              <w:rPr>
                <w:b w:val="0"/>
                <w:bCs/>
                <w:color w:val="7F7F7F" w:themeColor="text1" w:themeTint="80"/>
                <w:sz w:val="28"/>
                <w:szCs w:val="28"/>
              </w:rPr>
              <w:fldChar w:fldCharType="end"/>
            </w:r>
          </w:p>
        </w:tc>
      </w:tr>
      <w:tr w:rsidR="00693D6F" w14:paraId="2F2B2988" w14:textId="77777777" w:rsidTr="002F3031">
        <w:tc>
          <w:tcPr>
            <w:tcW w:w="10348" w:type="dxa"/>
          </w:tcPr>
          <w:p w14:paraId="064C10BF" w14:textId="77777777" w:rsidR="00693D6F" w:rsidRDefault="00693D6F" w:rsidP="002F3031">
            <w:pPr>
              <w:pStyle w:val="Bannermarking"/>
            </w:pPr>
            <w:fldSimple w:instr="FILLIN  &quot;Type the protective marking&quot; \d OFFICIAL \o  \* MERGEFORMAT">
              <w:r>
                <w:t>OFFICIAL</w:t>
              </w:r>
            </w:fldSimple>
          </w:p>
        </w:tc>
      </w:tr>
    </w:tbl>
    <w:p w14:paraId="25E51E73" w14:textId="77777777" w:rsidR="00693D6F" w:rsidRDefault="00693D6F" w:rsidP="00693D6F">
      <w:pPr>
        <w:pStyle w:val="Body"/>
        <w:rPr>
          <w:b/>
          <w:bCs/>
        </w:rPr>
      </w:pPr>
    </w:p>
    <w:sdt>
      <w:sdtPr>
        <w:rPr>
          <w:rFonts w:ascii="Arial" w:eastAsia="Times New Roman" w:hAnsi="Arial" w:cs="Times New Roman"/>
          <w:color w:val="auto"/>
          <w:sz w:val="21"/>
          <w:szCs w:val="20"/>
          <w:lang w:val="en-AU"/>
        </w:rPr>
        <w:id w:val="-655143941"/>
        <w:docPartObj>
          <w:docPartGallery w:val="Table of Contents"/>
          <w:docPartUnique/>
        </w:docPartObj>
      </w:sdtPr>
      <w:sdtEndPr>
        <w:rPr>
          <w:b/>
          <w:bCs/>
          <w:noProof/>
        </w:rPr>
      </w:sdtEndPr>
      <w:sdtContent>
        <w:p w14:paraId="1A1B3EA6" w14:textId="77777777" w:rsidR="00174593" w:rsidRDefault="0037095C" w:rsidP="002B2B98">
          <w:pPr>
            <w:pStyle w:val="TOCHeading"/>
            <w:rPr>
              <w:noProof/>
            </w:rPr>
          </w:pPr>
          <w:r w:rsidRPr="0037095C">
            <w:rPr>
              <w:rFonts w:ascii="Arial" w:eastAsia="Times New Roman" w:hAnsi="Arial" w:cs="Times New Roman"/>
              <w:b/>
              <w:color w:val="53565A"/>
              <w:sz w:val="29"/>
              <w:szCs w:val="28"/>
              <w:lang w:val="en-AU"/>
            </w:rPr>
            <w:t>Contents</w:t>
          </w:r>
          <w:r>
            <w:fldChar w:fldCharType="begin"/>
          </w:r>
          <w:r>
            <w:instrText xml:space="preserve"> TOC \o "1-3" \h \z \u </w:instrText>
          </w:r>
          <w:r>
            <w:fldChar w:fldCharType="separate"/>
          </w:r>
        </w:p>
        <w:p w14:paraId="223F2C24" w14:textId="46D41070" w:rsidR="00174593" w:rsidRDefault="00174593">
          <w:pPr>
            <w:pStyle w:val="TOC1"/>
            <w:rPr>
              <w:rFonts w:asciiTheme="minorHAnsi" w:eastAsiaTheme="minorEastAsia" w:hAnsiTheme="minorHAnsi" w:cstheme="minorBidi"/>
              <w:b w:val="0"/>
              <w:kern w:val="2"/>
              <w:sz w:val="24"/>
              <w:szCs w:val="24"/>
              <w:lang w:eastAsia="en-AU"/>
              <w14:ligatures w14:val="standardContextual"/>
            </w:rPr>
          </w:pPr>
          <w:hyperlink w:anchor="_Toc218697112" w:history="1">
            <w:r w:rsidRPr="009B6100">
              <w:rPr>
                <w:rStyle w:val="Hyperlink"/>
              </w:rPr>
              <w:t>Factsheet: Advice on co-ordination for mental health patient transport and community crisis responses</w:t>
            </w:r>
            <w:r>
              <w:rPr>
                <w:webHidden/>
              </w:rPr>
              <w:tab/>
            </w:r>
            <w:r>
              <w:rPr>
                <w:webHidden/>
              </w:rPr>
              <w:fldChar w:fldCharType="begin"/>
            </w:r>
            <w:r>
              <w:rPr>
                <w:webHidden/>
              </w:rPr>
              <w:instrText xml:space="preserve"> PAGEREF _Toc218697112 \h </w:instrText>
            </w:r>
            <w:r>
              <w:rPr>
                <w:webHidden/>
              </w:rPr>
            </w:r>
            <w:r>
              <w:rPr>
                <w:webHidden/>
              </w:rPr>
              <w:fldChar w:fldCharType="separate"/>
            </w:r>
            <w:r>
              <w:rPr>
                <w:webHidden/>
              </w:rPr>
              <w:t>1</w:t>
            </w:r>
            <w:r>
              <w:rPr>
                <w:webHidden/>
              </w:rPr>
              <w:fldChar w:fldCharType="end"/>
            </w:r>
          </w:hyperlink>
        </w:p>
        <w:p w14:paraId="6C8D1FA4" w14:textId="760544F0"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13" w:history="1">
            <w:r w:rsidRPr="009B6100">
              <w:rPr>
                <w:rStyle w:val="Hyperlink"/>
              </w:rPr>
              <w:t>1. Purpose</w:t>
            </w:r>
            <w:r>
              <w:rPr>
                <w:webHidden/>
              </w:rPr>
              <w:tab/>
            </w:r>
            <w:r>
              <w:rPr>
                <w:webHidden/>
              </w:rPr>
              <w:fldChar w:fldCharType="begin"/>
            </w:r>
            <w:r>
              <w:rPr>
                <w:webHidden/>
              </w:rPr>
              <w:instrText xml:space="preserve"> PAGEREF _Toc218697113 \h </w:instrText>
            </w:r>
            <w:r>
              <w:rPr>
                <w:webHidden/>
              </w:rPr>
            </w:r>
            <w:r>
              <w:rPr>
                <w:webHidden/>
              </w:rPr>
              <w:fldChar w:fldCharType="separate"/>
            </w:r>
            <w:r>
              <w:rPr>
                <w:webHidden/>
              </w:rPr>
              <w:t>1</w:t>
            </w:r>
            <w:r>
              <w:rPr>
                <w:webHidden/>
              </w:rPr>
              <w:fldChar w:fldCharType="end"/>
            </w:r>
          </w:hyperlink>
        </w:p>
        <w:p w14:paraId="7D03CA1D" w14:textId="08C67A03"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14" w:history="1">
            <w:r w:rsidRPr="009B6100">
              <w:rPr>
                <w:rStyle w:val="Hyperlink"/>
              </w:rPr>
              <w:t>2. Key messages</w:t>
            </w:r>
            <w:r>
              <w:rPr>
                <w:webHidden/>
              </w:rPr>
              <w:tab/>
            </w:r>
            <w:r>
              <w:rPr>
                <w:webHidden/>
              </w:rPr>
              <w:fldChar w:fldCharType="begin"/>
            </w:r>
            <w:r>
              <w:rPr>
                <w:webHidden/>
              </w:rPr>
              <w:instrText xml:space="preserve"> PAGEREF _Toc218697114 \h </w:instrText>
            </w:r>
            <w:r>
              <w:rPr>
                <w:webHidden/>
              </w:rPr>
            </w:r>
            <w:r>
              <w:rPr>
                <w:webHidden/>
              </w:rPr>
              <w:fldChar w:fldCharType="separate"/>
            </w:r>
            <w:r>
              <w:rPr>
                <w:webHidden/>
              </w:rPr>
              <w:t>3</w:t>
            </w:r>
            <w:r>
              <w:rPr>
                <w:webHidden/>
              </w:rPr>
              <w:fldChar w:fldCharType="end"/>
            </w:r>
          </w:hyperlink>
        </w:p>
        <w:p w14:paraId="156DBE56" w14:textId="53F3CA2B"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15" w:history="1">
            <w:r w:rsidRPr="009B6100">
              <w:rPr>
                <w:rStyle w:val="Hyperlink"/>
                <w:lang w:val="en-US"/>
              </w:rPr>
              <w:t>3. Legal framework for transporting patients and responding to crises</w:t>
            </w:r>
            <w:r>
              <w:rPr>
                <w:webHidden/>
              </w:rPr>
              <w:tab/>
            </w:r>
            <w:r>
              <w:rPr>
                <w:webHidden/>
              </w:rPr>
              <w:fldChar w:fldCharType="begin"/>
            </w:r>
            <w:r>
              <w:rPr>
                <w:webHidden/>
              </w:rPr>
              <w:instrText xml:space="preserve"> PAGEREF _Toc218697115 \h </w:instrText>
            </w:r>
            <w:r>
              <w:rPr>
                <w:webHidden/>
              </w:rPr>
            </w:r>
            <w:r>
              <w:rPr>
                <w:webHidden/>
              </w:rPr>
              <w:fldChar w:fldCharType="separate"/>
            </w:r>
            <w:r>
              <w:rPr>
                <w:webHidden/>
              </w:rPr>
              <w:t>3</w:t>
            </w:r>
            <w:r>
              <w:rPr>
                <w:webHidden/>
              </w:rPr>
              <w:fldChar w:fldCharType="end"/>
            </w:r>
          </w:hyperlink>
        </w:p>
        <w:p w14:paraId="2E2BB033" w14:textId="69C8C54E"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16" w:history="1">
            <w:r w:rsidRPr="009B6100">
              <w:rPr>
                <w:rStyle w:val="Hyperlink"/>
              </w:rPr>
              <w:t>4. Preferred transport options</w:t>
            </w:r>
            <w:r>
              <w:rPr>
                <w:webHidden/>
              </w:rPr>
              <w:tab/>
            </w:r>
            <w:r>
              <w:rPr>
                <w:webHidden/>
              </w:rPr>
              <w:fldChar w:fldCharType="begin"/>
            </w:r>
            <w:r>
              <w:rPr>
                <w:webHidden/>
              </w:rPr>
              <w:instrText xml:space="preserve"> PAGEREF _Toc218697116 \h </w:instrText>
            </w:r>
            <w:r>
              <w:rPr>
                <w:webHidden/>
              </w:rPr>
            </w:r>
            <w:r>
              <w:rPr>
                <w:webHidden/>
              </w:rPr>
              <w:fldChar w:fldCharType="separate"/>
            </w:r>
            <w:r>
              <w:rPr>
                <w:webHidden/>
              </w:rPr>
              <w:t>4</w:t>
            </w:r>
            <w:r>
              <w:rPr>
                <w:webHidden/>
              </w:rPr>
              <w:fldChar w:fldCharType="end"/>
            </w:r>
          </w:hyperlink>
        </w:p>
        <w:p w14:paraId="4D91FCEA" w14:textId="566C6AC2"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18" w:history="1">
            <w:r w:rsidRPr="009B6100">
              <w:rPr>
                <w:rStyle w:val="Hyperlink"/>
              </w:rPr>
              <w:t>5. Understanding serious and imminent risk of harm</w:t>
            </w:r>
            <w:r>
              <w:rPr>
                <w:webHidden/>
              </w:rPr>
              <w:tab/>
            </w:r>
            <w:r>
              <w:rPr>
                <w:webHidden/>
              </w:rPr>
              <w:fldChar w:fldCharType="begin"/>
            </w:r>
            <w:r>
              <w:rPr>
                <w:webHidden/>
              </w:rPr>
              <w:instrText xml:space="preserve"> PAGEREF _Toc218697118 \h </w:instrText>
            </w:r>
            <w:r>
              <w:rPr>
                <w:webHidden/>
              </w:rPr>
            </w:r>
            <w:r>
              <w:rPr>
                <w:webHidden/>
              </w:rPr>
              <w:fldChar w:fldCharType="separate"/>
            </w:r>
            <w:r>
              <w:rPr>
                <w:webHidden/>
              </w:rPr>
              <w:t>5</w:t>
            </w:r>
            <w:r>
              <w:rPr>
                <w:webHidden/>
              </w:rPr>
              <w:fldChar w:fldCharType="end"/>
            </w:r>
          </w:hyperlink>
        </w:p>
        <w:p w14:paraId="4C5804DB" w14:textId="00846809"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20" w:history="1">
            <w:r w:rsidRPr="009B6100">
              <w:rPr>
                <w:rStyle w:val="Hyperlink"/>
              </w:rPr>
              <w:t>6. Clinical risk assessment</w:t>
            </w:r>
            <w:r>
              <w:rPr>
                <w:webHidden/>
              </w:rPr>
              <w:tab/>
            </w:r>
            <w:r>
              <w:rPr>
                <w:webHidden/>
              </w:rPr>
              <w:fldChar w:fldCharType="begin"/>
            </w:r>
            <w:r>
              <w:rPr>
                <w:webHidden/>
              </w:rPr>
              <w:instrText xml:space="preserve"> PAGEREF _Toc218697120 \h </w:instrText>
            </w:r>
            <w:r>
              <w:rPr>
                <w:webHidden/>
              </w:rPr>
            </w:r>
            <w:r>
              <w:rPr>
                <w:webHidden/>
              </w:rPr>
              <w:fldChar w:fldCharType="separate"/>
            </w:r>
            <w:r>
              <w:rPr>
                <w:webHidden/>
              </w:rPr>
              <w:t>5</w:t>
            </w:r>
            <w:r>
              <w:rPr>
                <w:webHidden/>
              </w:rPr>
              <w:fldChar w:fldCharType="end"/>
            </w:r>
          </w:hyperlink>
        </w:p>
        <w:p w14:paraId="2A18DE3F" w14:textId="755EC6DC"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22" w:history="1">
            <w:r w:rsidRPr="009B6100">
              <w:rPr>
                <w:rStyle w:val="Hyperlink"/>
                <w:lang w:val="en-US"/>
              </w:rPr>
              <w:t>7. Consequences of delayed transport</w:t>
            </w:r>
            <w:r>
              <w:rPr>
                <w:webHidden/>
              </w:rPr>
              <w:tab/>
            </w:r>
            <w:r>
              <w:rPr>
                <w:webHidden/>
              </w:rPr>
              <w:fldChar w:fldCharType="begin"/>
            </w:r>
            <w:r>
              <w:rPr>
                <w:webHidden/>
              </w:rPr>
              <w:instrText xml:space="preserve"> PAGEREF _Toc218697122 \h </w:instrText>
            </w:r>
            <w:r>
              <w:rPr>
                <w:webHidden/>
              </w:rPr>
            </w:r>
            <w:r>
              <w:rPr>
                <w:webHidden/>
              </w:rPr>
              <w:fldChar w:fldCharType="separate"/>
            </w:r>
            <w:r>
              <w:rPr>
                <w:webHidden/>
              </w:rPr>
              <w:t>6</w:t>
            </w:r>
            <w:r>
              <w:rPr>
                <w:webHidden/>
              </w:rPr>
              <w:fldChar w:fldCharType="end"/>
            </w:r>
          </w:hyperlink>
        </w:p>
        <w:p w14:paraId="4E3B9D7F" w14:textId="3F054C01" w:rsidR="00174593" w:rsidRDefault="00174593" w:rsidP="00255094">
          <w:pPr>
            <w:pStyle w:val="TOC2"/>
            <w:rPr>
              <w:rFonts w:asciiTheme="minorHAnsi" w:eastAsiaTheme="minorEastAsia" w:hAnsiTheme="minorHAnsi" w:cstheme="minorBidi"/>
              <w:kern w:val="2"/>
              <w:sz w:val="24"/>
              <w:szCs w:val="24"/>
              <w:lang w:eastAsia="en-AU"/>
              <w14:ligatures w14:val="standardContextual"/>
            </w:rPr>
          </w:pPr>
          <w:hyperlink w:anchor="_Toc218697124" w:history="1">
            <w:r w:rsidRPr="009B6100">
              <w:rPr>
                <w:rStyle w:val="Hyperlink"/>
              </w:rPr>
              <w:t>8. Use of bodily restraint</w:t>
            </w:r>
            <w:r>
              <w:rPr>
                <w:webHidden/>
              </w:rPr>
              <w:tab/>
            </w:r>
            <w:r>
              <w:rPr>
                <w:webHidden/>
              </w:rPr>
              <w:fldChar w:fldCharType="begin"/>
            </w:r>
            <w:r>
              <w:rPr>
                <w:webHidden/>
              </w:rPr>
              <w:instrText xml:space="preserve"> PAGEREF _Toc218697124 \h </w:instrText>
            </w:r>
            <w:r>
              <w:rPr>
                <w:webHidden/>
              </w:rPr>
            </w:r>
            <w:r>
              <w:rPr>
                <w:webHidden/>
              </w:rPr>
              <w:fldChar w:fldCharType="separate"/>
            </w:r>
            <w:r>
              <w:rPr>
                <w:webHidden/>
              </w:rPr>
              <w:t>6</w:t>
            </w:r>
            <w:r>
              <w:rPr>
                <w:webHidden/>
              </w:rPr>
              <w:fldChar w:fldCharType="end"/>
            </w:r>
          </w:hyperlink>
        </w:p>
        <w:p w14:paraId="6015E2CF" w14:textId="42E6BCF2"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26" w:history="1">
            <w:r w:rsidRPr="009B6100">
              <w:rPr>
                <w:rStyle w:val="Hyperlink"/>
              </w:rPr>
              <w:t>Summary: Factors supporting safe and least restrictive transport</w:t>
            </w:r>
            <w:r>
              <w:rPr>
                <w:webHidden/>
              </w:rPr>
              <w:tab/>
            </w:r>
            <w:r>
              <w:rPr>
                <w:webHidden/>
              </w:rPr>
              <w:fldChar w:fldCharType="begin"/>
            </w:r>
            <w:r>
              <w:rPr>
                <w:webHidden/>
              </w:rPr>
              <w:instrText xml:space="preserve"> PAGEREF _Toc218697126 \h </w:instrText>
            </w:r>
            <w:r>
              <w:rPr>
                <w:webHidden/>
              </w:rPr>
            </w:r>
            <w:r>
              <w:rPr>
                <w:webHidden/>
              </w:rPr>
              <w:fldChar w:fldCharType="separate"/>
            </w:r>
            <w:r>
              <w:rPr>
                <w:webHidden/>
              </w:rPr>
              <w:t>7</w:t>
            </w:r>
            <w:r>
              <w:rPr>
                <w:webHidden/>
              </w:rPr>
              <w:fldChar w:fldCharType="end"/>
            </w:r>
          </w:hyperlink>
        </w:p>
        <w:p w14:paraId="42AAF897" w14:textId="6C500B3F" w:rsidR="00174593" w:rsidRDefault="00174593">
          <w:pPr>
            <w:pStyle w:val="TOC2"/>
            <w:rPr>
              <w:rFonts w:asciiTheme="minorHAnsi" w:eastAsiaTheme="minorEastAsia" w:hAnsiTheme="minorHAnsi" w:cstheme="minorBidi"/>
              <w:kern w:val="2"/>
              <w:sz w:val="24"/>
              <w:szCs w:val="24"/>
              <w:lang w:eastAsia="en-AU"/>
              <w14:ligatures w14:val="standardContextual"/>
            </w:rPr>
          </w:pPr>
          <w:hyperlink w:anchor="_Toc218697127" w:history="1">
            <w:r w:rsidRPr="009B6100">
              <w:rPr>
                <w:rStyle w:val="Hyperlink"/>
                <w:lang w:val="en-US"/>
              </w:rPr>
              <w:t>9. References</w:t>
            </w:r>
            <w:r>
              <w:rPr>
                <w:webHidden/>
              </w:rPr>
              <w:tab/>
            </w:r>
            <w:r>
              <w:rPr>
                <w:webHidden/>
              </w:rPr>
              <w:fldChar w:fldCharType="begin"/>
            </w:r>
            <w:r>
              <w:rPr>
                <w:webHidden/>
              </w:rPr>
              <w:instrText xml:space="preserve"> PAGEREF _Toc218697127 \h </w:instrText>
            </w:r>
            <w:r>
              <w:rPr>
                <w:webHidden/>
              </w:rPr>
            </w:r>
            <w:r>
              <w:rPr>
                <w:webHidden/>
              </w:rPr>
              <w:fldChar w:fldCharType="separate"/>
            </w:r>
            <w:r>
              <w:rPr>
                <w:webHidden/>
              </w:rPr>
              <w:t>8</w:t>
            </w:r>
            <w:r>
              <w:rPr>
                <w:webHidden/>
              </w:rPr>
              <w:fldChar w:fldCharType="end"/>
            </w:r>
          </w:hyperlink>
        </w:p>
        <w:p w14:paraId="3DF47A76" w14:textId="5A0F4B32" w:rsidR="0037095C" w:rsidRDefault="0037095C">
          <w:r>
            <w:rPr>
              <w:b/>
              <w:bCs/>
              <w:noProof/>
            </w:rPr>
            <w:fldChar w:fldCharType="end"/>
          </w:r>
        </w:p>
      </w:sdtContent>
    </w:sdt>
    <w:p w14:paraId="26753FFC" w14:textId="77777777" w:rsidR="0037095C" w:rsidRDefault="0037095C" w:rsidP="00693D6F">
      <w:pPr>
        <w:pStyle w:val="Body"/>
        <w:rPr>
          <w:b/>
          <w:bCs/>
        </w:rPr>
      </w:pPr>
    </w:p>
    <w:p w14:paraId="61CDE5A9" w14:textId="77777777" w:rsidR="00693D6F" w:rsidRPr="00865BFC" w:rsidRDefault="00693D6F" w:rsidP="00BD666B">
      <w:pPr>
        <w:pStyle w:val="Heading2"/>
      </w:pPr>
      <w:bookmarkStart w:id="1" w:name="_Toc218697113"/>
      <w:r>
        <w:t xml:space="preserve">1. </w:t>
      </w:r>
      <w:r w:rsidRPr="00865BFC">
        <w:t>Purpose</w:t>
      </w:r>
      <w:bookmarkEnd w:id="1"/>
      <w:r w:rsidRPr="00865BFC">
        <w:t xml:space="preserve"> </w:t>
      </w:r>
    </w:p>
    <w:p w14:paraId="32F073F7" w14:textId="77777777" w:rsidR="00693D6F" w:rsidRDefault="00693D6F" w:rsidP="00693D6F">
      <w:pPr>
        <w:pStyle w:val="Body"/>
      </w:pPr>
      <w:r>
        <w:t xml:space="preserve">This factsheet provides guidance for </w:t>
      </w:r>
      <w:r w:rsidRPr="002053AE">
        <w:rPr>
          <w:b/>
          <w:bCs/>
        </w:rPr>
        <w:t>mental health clinicians in designated mental health services</w:t>
      </w:r>
      <w:r>
        <w:t xml:space="preserve"> (DMHSs) on their role when:</w:t>
      </w:r>
    </w:p>
    <w:p w14:paraId="4D9D8FF7" w14:textId="77777777" w:rsidR="00693D6F" w:rsidRDefault="00693D6F" w:rsidP="00255094">
      <w:pPr>
        <w:pStyle w:val="ListParagraph"/>
        <w:numPr>
          <w:ilvl w:val="0"/>
          <w:numId w:val="11"/>
        </w:numPr>
        <w:ind w:left="714" w:hanging="357"/>
        <w:contextualSpacing w:val="0"/>
      </w:pPr>
      <w:r>
        <w:t xml:space="preserve">arranging transport of a person subject to a compulsory order to or from a DMHS under the </w:t>
      </w:r>
      <w:r w:rsidRPr="00520574">
        <w:rPr>
          <w:i/>
          <w:iCs/>
        </w:rPr>
        <w:t xml:space="preserve">Mental Health and Wellbeing Act 2022 </w:t>
      </w:r>
      <w:r>
        <w:t>(</w:t>
      </w:r>
      <w:r w:rsidRPr="002E62E9">
        <w:t>The Act)</w:t>
      </w:r>
    </w:p>
    <w:p w14:paraId="30A8CA47" w14:textId="77777777" w:rsidR="00693D6F" w:rsidRDefault="00693D6F" w:rsidP="00255094">
      <w:pPr>
        <w:pStyle w:val="ListParagraph"/>
        <w:numPr>
          <w:ilvl w:val="0"/>
          <w:numId w:val="11"/>
        </w:numPr>
        <w:ind w:left="714" w:hanging="357"/>
        <w:contextualSpacing w:val="0"/>
      </w:pPr>
      <w:r>
        <w:t xml:space="preserve">supporting police and Protective Services Officers (PSOs) exercising care and control powers in the community for a person experiencing a mental health crisis. </w:t>
      </w:r>
    </w:p>
    <w:p w14:paraId="5664CD93" w14:textId="77777777" w:rsidR="00693D6F" w:rsidRDefault="00693D6F" w:rsidP="00693D6F">
      <w:pPr>
        <w:pStyle w:val="Body"/>
      </w:pPr>
      <w:r>
        <w:t>It acknowledges the distinct roles, training and perspectives of police, PSOs, paramedics and mental health clinicians, and outlines how mental health clinicians can work to articulate the risks and provide information to Victoria Police and Ambulance Victoria that supports the best outcomes for people experiencing a mental health crisis.</w:t>
      </w:r>
    </w:p>
    <w:p w14:paraId="09C93515" w14:textId="121C6FAC" w:rsidR="006B42F9" w:rsidRDefault="006B42F9">
      <w:pPr>
        <w:spacing w:after="0" w:line="240" w:lineRule="auto"/>
        <w:rPr>
          <w:rFonts w:eastAsia="Times"/>
        </w:rPr>
      </w:pPr>
      <w:r>
        <w:br w:type="page"/>
      </w:r>
    </w:p>
    <w:p w14:paraId="67F4C251" w14:textId="77777777" w:rsidR="006B42F9" w:rsidRDefault="006B42F9" w:rsidP="00693D6F">
      <w:pPr>
        <w:pStyle w:val="Body"/>
      </w:pPr>
    </w:p>
    <w:p w14:paraId="742F5AB0" w14:textId="77777777" w:rsidR="00693D6F" w:rsidRDefault="00693D6F" w:rsidP="00693D6F">
      <w:pPr>
        <w:pStyle w:val="Body"/>
      </w:pPr>
      <w:r>
        <w:t>The fact sheet clarifies</w:t>
      </w:r>
      <w:r w:rsidRPr="00532C43">
        <w:t xml:space="preserve"> your role in:</w:t>
      </w:r>
    </w:p>
    <w:p w14:paraId="57B70D6B" w14:textId="77777777" w:rsidR="00693D6F" w:rsidRDefault="00693D6F" w:rsidP="00255094">
      <w:pPr>
        <w:pStyle w:val="ListParagraph"/>
        <w:numPr>
          <w:ilvl w:val="0"/>
          <w:numId w:val="10"/>
        </w:numPr>
        <w:ind w:left="714" w:hanging="357"/>
        <w:contextualSpacing w:val="0"/>
      </w:pPr>
      <w:r>
        <w:t>providing a health-led response</w:t>
      </w:r>
    </w:p>
    <w:p w14:paraId="248AA8E6" w14:textId="77777777" w:rsidR="00693D6F" w:rsidRPr="006259DF" w:rsidRDefault="00693D6F" w:rsidP="00255094">
      <w:pPr>
        <w:pStyle w:val="ListParagraph"/>
        <w:numPr>
          <w:ilvl w:val="0"/>
          <w:numId w:val="10"/>
        </w:numPr>
        <w:ind w:left="714" w:hanging="357"/>
        <w:contextualSpacing w:val="0"/>
      </w:pPr>
      <w:r w:rsidRPr="006259DF">
        <w:t>providing a</w:t>
      </w:r>
      <w:r w:rsidRPr="00F77B22">
        <w:rPr>
          <w:b/>
          <w:bCs/>
        </w:rPr>
        <w:t xml:space="preserve"> clinical interpretation</w:t>
      </w:r>
      <w:r w:rsidRPr="00F77B22">
        <w:t xml:space="preserve"> </w:t>
      </w:r>
      <w:r w:rsidRPr="006259DF">
        <w:t xml:space="preserve">of serious and imminent risk of harm to assist authorised persons to understand thresholds for care and control </w:t>
      </w:r>
      <w:r>
        <w:t>powers, including for responding to mental health crises and</w:t>
      </w:r>
      <w:r w:rsidRPr="006259DF">
        <w:t xml:space="preserve"> use of bodily restraint during transport </w:t>
      </w:r>
    </w:p>
    <w:p w14:paraId="767E5006" w14:textId="77777777" w:rsidR="00693D6F" w:rsidRDefault="00693D6F" w:rsidP="00255094">
      <w:pPr>
        <w:pStyle w:val="ListParagraph"/>
        <w:numPr>
          <w:ilvl w:val="0"/>
          <w:numId w:val="10"/>
        </w:numPr>
        <w:ind w:left="714" w:hanging="357"/>
        <w:contextualSpacing w:val="0"/>
      </w:pPr>
      <w:r>
        <w:t>promoting patient safety, dignity and least restrictive practice in line with the principles of the Act.</w:t>
      </w:r>
    </w:p>
    <w:p w14:paraId="66D0F987" w14:textId="33CF9D68" w:rsidR="00C270BA" w:rsidRDefault="00C270BA">
      <w:pPr>
        <w:spacing w:after="0" w:line="240" w:lineRule="auto"/>
      </w:pPr>
    </w:p>
    <w:p w14:paraId="6D66026A" w14:textId="77777777" w:rsidR="00693D6F" w:rsidRDefault="00693D6F" w:rsidP="00693D6F">
      <w:pPr>
        <w:pStyle w:val="ListParagraph"/>
        <w:ind w:left="714"/>
        <w:contextualSpacing w:val="0"/>
      </w:pPr>
    </w:p>
    <w:p w14:paraId="7A0199EA" w14:textId="77777777" w:rsidR="00693D6F" w:rsidRPr="00BF30D5" w:rsidRDefault="00693D6F" w:rsidP="00BD666B">
      <w:pPr>
        <w:pStyle w:val="Heading2"/>
      </w:pPr>
      <w:bookmarkStart w:id="2" w:name="_Toc218697114"/>
      <w:r>
        <w:t xml:space="preserve">2. </w:t>
      </w:r>
      <w:r w:rsidRPr="001B006E">
        <w:t>Key messages</w:t>
      </w:r>
      <w:bookmarkEnd w:id="2"/>
    </w:p>
    <w:p w14:paraId="2A7A9919" w14:textId="77777777" w:rsidR="00693D6F" w:rsidRPr="000E6740" w:rsidRDefault="00693D6F" w:rsidP="00255094">
      <w:pPr>
        <w:numPr>
          <w:ilvl w:val="0"/>
          <w:numId w:val="12"/>
        </w:numPr>
      </w:pPr>
      <w:r w:rsidRPr="008F18FF">
        <w:rPr>
          <w:lang w:val="en-US"/>
        </w:rPr>
        <w:t xml:space="preserve">Responses </w:t>
      </w:r>
      <w:r w:rsidRPr="7551CD8A">
        <w:rPr>
          <w:lang w:val="en-US"/>
        </w:rPr>
        <w:t xml:space="preserve">must be </w:t>
      </w:r>
      <w:r w:rsidRPr="6B99D2B2">
        <w:rPr>
          <w:b/>
          <w:bCs/>
          <w:lang w:val="en-US"/>
        </w:rPr>
        <w:t>health</w:t>
      </w:r>
      <w:r>
        <w:rPr>
          <w:b/>
          <w:bCs/>
          <w:lang w:val="en-US"/>
        </w:rPr>
        <w:t>-</w:t>
      </w:r>
      <w:r w:rsidRPr="6B99D2B2">
        <w:rPr>
          <w:b/>
          <w:bCs/>
          <w:lang w:val="en-US"/>
        </w:rPr>
        <w:t>led</w:t>
      </w:r>
      <w:r w:rsidRPr="008F18FF">
        <w:rPr>
          <w:lang w:val="en-US"/>
        </w:rPr>
        <w:t xml:space="preserve"> whereve</w:t>
      </w:r>
      <w:r>
        <w:rPr>
          <w:lang w:val="en-US"/>
        </w:rPr>
        <w:t>r possible</w:t>
      </w:r>
      <w:r w:rsidRPr="008F18FF">
        <w:rPr>
          <w:lang w:val="en-US"/>
        </w:rPr>
        <w:t xml:space="preserve">, or </w:t>
      </w:r>
      <w:r w:rsidRPr="00310079">
        <w:rPr>
          <w:b/>
          <w:bCs/>
          <w:lang w:val="en-US"/>
        </w:rPr>
        <w:t>health</w:t>
      </w:r>
      <w:r w:rsidRPr="4A3C3CF6">
        <w:rPr>
          <w:b/>
          <w:bCs/>
          <w:lang w:val="en-US"/>
        </w:rPr>
        <w:t xml:space="preserve"> </w:t>
      </w:r>
      <w:r w:rsidRPr="00310079">
        <w:rPr>
          <w:b/>
          <w:bCs/>
          <w:lang w:val="en-US"/>
        </w:rPr>
        <w:t>informed</w:t>
      </w:r>
      <w:r w:rsidRPr="008F18FF">
        <w:rPr>
          <w:lang w:val="en-US"/>
        </w:rPr>
        <w:t xml:space="preserve"> if police or PSOs must lead.</w:t>
      </w:r>
      <w:r w:rsidRPr="008F18FF">
        <w:t> </w:t>
      </w:r>
      <w:r>
        <w:t>This supports culturally safe, person-centred care and reduces unnecessary police involvement.</w:t>
      </w:r>
    </w:p>
    <w:p w14:paraId="3C502DEC" w14:textId="77777777" w:rsidR="00693D6F" w:rsidRPr="008F18FF" w:rsidRDefault="00693D6F" w:rsidP="00255094">
      <w:pPr>
        <w:numPr>
          <w:ilvl w:val="0"/>
          <w:numId w:val="12"/>
        </w:numPr>
        <w:rPr>
          <w:lang w:val="en-US"/>
        </w:rPr>
      </w:pPr>
      <w:r>
        <w:rPr>
          <w:lang w:val="en-US"/>
        </w:rPr>
        <w:t>C</w:t>
      </w:r>
      <w:r w:rsidRPr="008F18FF">
        <w:rPr>
          <w:lang w:val="en-US"/>
        </w:rPr>
        <w:t xml:space="preserve">linical assessment of </w:t>
      </w:r>
      <w:r w:rsidRPr="00310079">
        <w:rPr>
          <w:b/>
          <w:bCs/>
          <w:lang w:val="en-US"/>
        </w:rPr>
        <w:t>serious and imminent risk of harm</w:t>
      </w:r>
      <w:r w:rsidRPr="008F18FF">
        <w:rPr>
          <w:lang w:val="en-US"/>
        </w:rPr>
        <w:t xml:space="preserve"> is broader than immediate physical violence and </w:t>
      </w:r>
      <w:r w:rsidRPr="42C7E63F">
        <w:rPr>
          <w:lang w:val="en-US"/>
        </w:rPr>
        <w:t>may include</w:t>
      </w:r>
      <w:r>
        <w:rPr>
          <w:lang w:val="en-US"/>
        </w:rPr>
        <w:t xml:space="preserve"> </w:t>
      </w:r>
      <w:r w:rsidRPr="008F18FF">
        <w:rPr>
          <w:lang w:val="en-US"/>
        </w:rPr>
        <w:t>psychological</w:t>
      </w:r>
      <w:r w:rsidRPr="4481040C">
        <w:rPr>
          <w:lang w:val="en-US"/>
        </w:rPr>
        <w:t xml:space="preserve"> </w:t>
      </w:r>
      <w:r w:rsidRPr="008F18FF">
        <w:rPr>
          <w:lang w:val="en-US"/>
        </w:rPr>
        <w:t xml:space="preserve">and medical </w:t>
      </w:r>
      <w:r w:rsidRPr="6715C6AC">
        <w:rPr>
          <w:lang w:val="en-US"/>
        </w:rPr>
        <w:t>risk</w:t>
      </w:r>
      <w:r w:rsidRPr="7917781D">
        <w:rPr>
          <w:lang w:val="en-US"/>
        </w:rPr>
        <w:t xml:space="preserve"> (see </w:t>
      </w:r>
      <w:r>
        <w:rPr>
          <w:lang w:val="en-US"/>
        </w:rPr>
        <w:t>Clinical Risk Assessment)</w:t>
      </w:r>
      <w:r w:rsidRPr="7C6A0034">
        <w:rPr>
          <w:lang w:val="en-US"/>
        </w:rPr>
        <w:t>.</w:t>
      </w:r>
    </w:p>
    <w:p w14:paraId="6AFE8867" w14:textId="77777777" w:rsidR="00693D6F" w:rsidRDefault="00693D6F" w:rsidP="00255094">
      <w:pPr>
        <w:numPr>
          <w:ilvl w:val="0"/>
          <w:numId w:val="13"/>
        </w:numPr>
      </w:pPr>
      <w:r w:rsidRPr="000E6740">
        <w:rPr>
          <w:b/>
          <w:bCs/>
          <w:lang w:val="en-US"/>
        </w:rPr>
        <w:t xml:space="preserve">Clear, </w:t>
      </w:r>
      <w:r w:rsidRPr="7100BBBA">
        <w:rPr>
          <w:b/>
          <w:bCs/>
          <w:lang w:val="en-US"/>
        </w:rPr>
        <w:t>plain</w:t>
      </w:r>
      <w:r>
        <w:rPr>
          <w:b/>
          <w:bCs/>
          <w:lang w:val="en-US"/>
        </w:rPr>
        <w:t xml:space="preserve"> </w:t>
      </w:r>
      <w:r w:rsidRPr="7100BBBA">
        <w:rPr>
          <w:b/>
          <w:bCs/>
          <w:lang w:val="en-US"/>
        </w:rPr>
        <w:t>language</w:t>
      </w:r>
      <w:r w:rsidRPr="000E6740">
        <w:rPr>
          <w:b/>
          <w:bCs/>
          <w:lang w:val="en-US"/>
        </w:rPr>
        <w:t xml:space="preserve"> communication</w:t>
      </w:r>
      <w:r>
        <w:rPr>
          <w:b/>
          <w:bCs/>
          <w:lang w:val="en-US"/>
        </w:rPr>
        <w:t xml:space="preserve"> of risks and least restrictive options</w:t>
      </w:r>
      <w:r w:rsidRPr="008F18FF">
        <w:rPr>
          <w:lang w:val="en-US"/>
        </w:rPr>
        <w:t xml:space="preserve"> between </w:t>
      </w:r>
      <w:r>
        <w:rPr>
          <w:lang w:val="en-US"/>
        </w:rPr>
        <w:t xml:space="preserve">mental health </w:t>
      </w:r>
      <w:r w:rsidRPr="008F18FF">
        <w:rPr>
          <w:lang w:val="en-US"/>
        </w:rPr>
        <w:t xml:space="preserve">clinicians, police and paramedics </w:t>
      </w:r>
      <w:proofErr w:type="gramStart"/>
      <w:r w:rsidRPr="008F18FF">
        <w:rPr>
          <w:lang w:val="en-US"/>
        </w:rPr>
        <w:t>reduces</w:t>
      </w:r>
      <w:proofErr w:type="gramEnd"/>
      <w:r w:rsidRPr="008F18FF">
        <w:rPr>
          <w:lang w:val="en-US"/>
        </w:rPr>
        <w:t xml:space="preserve"> delays and </w:t>
      </w:r>
      <w:proofErr w:type="gramStart"/>
      <w:r w:rsidRPr="008F18FF">
        <w:rPr>
          <w:lang w:val="en-US"/>
        </w:rPr>
        <w:t>supports</w:t>
      </w:r>
      <w:proofErr w:type="gramEnd"/>
      <w:r w:rsidRPr="008F18FF">
        <w:rPr>
          <w:lang w:val="en-US"/>
        </w:rPr>
        <w:t xml:space="preserve"> safe transport.</w:t>
      </w:r>
      <w:r w:rsidRPr="008F18FF">
        <w:t> </w:t>
      </w:r>
    </w:p>
    <w:p w14:paraId="41C3D72C" w14:textId="3ED65B8C" w:rsidR="00693D6F" w:rsidRDefault="00693D6F" w:rsidP="00693D6F">
      <w:pPr>
        <w:spacing w:after="160" w:line="259" w:lineRule="auto"/>
      </w:pPr>
    </w:p>
    <w:p w14:paraId="1122814A" w14:textId="77777777" w:rsidR="00693D6F" w:rsidRPr="00BF30D5" w:rsidRDefault="00693D6F" w:rsidP="00BD666B">
      <w:pPr>
        <w:pStyle w:val="Heading2"/>
      </w:pPr>
      <w:bookmarkStart w:id="3" w:name="_Toc218697115"/>
      <w:r>
        <w:rPr>
          <w:lang w:val="en-US"/>
        </w:rPr>
        <w:t xml:space="preserve">3. </w:t>
      </w:r>
      <w:r w:rsidRPr="00BF30D5">
        <w:rPr>
          <w:lang w:val="en-US"/>
        </w:rPr>
        <w:t>Legal framework for transporting patients and responding to crises</w:t>
      </w:r>
      <w:bookmarkEnd w:id="3"/>
      <w:r w:rsidRPr="00BF30D5">
        <w:t> </w:t>
      </w:r>
    </w:p>
    <w:p w14:paraId="73C6A03D" w14:textId="77777777" w:rsidR="00693D6F" w:rsidRPr="003B2C10" w:rsidRDefault="00693D6F" w:rsidP="00693D6F">
      <w:pPr>
        <w:pStyle w:val="Body"/>
        <w:rPr>
          <w:b/>
          <w:bCs/>
          <w:szCs w:val="21"/>
        </w:rPr>
      </w:pPr>
      <w:r w:rsidRPr="00DB50F1">
        <w:rPr>
          <w:szCs w:val="21"/>
        </w:rPr>
        <w:t xml:space="preserve">If </w:t>
      </w:r>
      <w:r>
        <w:rPr>
          <w:szCs w:val="21"/>
        </w:rPr>
        <w:t>a person cannot safely attend hospital voluntarily</w:t>
      </w:r>
      <w:r w:rsidRPr="00DB50F1">
        <w:rPr>
          <w:szCs w:val="21"/>
        </w:rPr>
        <w:t>,</w:t>
      </w:r>
      <w:r>
        <w:rPr>
          <w:szCs w:val="21"/>
        </w:rPr>
        <w:t xml:space="preserve"> the Act provides two ways to arrange transport for assessment or treatment:</w:t>
      </w:r>
    </w:p>
    <w:p w14:paraId="25FE3262" w14:textId="77777777" w:rsidR="00693D6F" w:rsidRPr="00366CCF" w:rsidRDefault="00693D6F" w:rsidP="00255094">
      <w:pPr>
        <w:pStyle w:val="ListParagraph"/>
        <w:numPr>
          <w:ilvl w:val="0"/>
          <w:numId w:val="14"/>
        </w:numPr>
        <w:contextualSpacing w:val="0"/>
        <w:rPr>
          <w:b/>
        </w:rPr>
      </w:pPr>
      <w:r w:rsidRPr="2D223FAC">
        <w:rPr>
          <w:b/>
        </w:rPr>
        <w:t>Inpatient Orders (Section 241)</w:t>
      </w:r>
    </w:p>
    <w:p w14:paraId="23DF9492" w14:textId="77777777" w:rsidR="00693D6F" w:rsidRDefault="00693D6F" w:rsidP="00693D6F">
      <w:pPr>
        <w:pStyle w:val="ListParagraph"/>
        <w:contextualSpacing w:val="0"/>
        <w:rPr>
          <w:szCs w:val="21"/>
        </w:rPr>
      </w:pPr>
      <w:proofErr w:type="spellStart"/>
      <w:r w:rsidRPr="00FE7838">
        <w:rPr>
          <w:szCs w:val="21"/>
          <w:lang w:val="en-US"/>
        </w:rPr>
        <w:t>Authorised</w:t>
      </w:r>
      <w:proofErr w:type="spellEnd"/>
      <w:r w:rsidRPr="00FE7838">
        <w:rPr>
          <w:szCs w:val="21"/>
          <w:lang w:val="en-US"/>
        </w:rPr>
        <w:t> persons may take a person</w:t>
      </w:r>
      <w:r>
        <w:rPr>
          <w:szCs w:val="21"/>
          <w:lang w:val="en-US"/>
        </w:rPr>
        <w:t xml:space="preserve"> under the Act</w:t>
      </w:r>
      <w:r w:rsidRPr="00FE7838">
        <w:rPr>
          <w:szCs w:val="21"/>
          <w:lang w:val="en-US"/>
        </w:rPr>
        <w:t xml:space="preserve"> into care and control </w:t>
      </w:r>
      <w:r>
        <w:rPr>
          <w:szCs w:val="21"/>
          <w:lang w:val="en-US"/>
        </w:rPr>
        <w:t xml:space="preserve">to transport them </w:t>
      </w:r>
      <w:r w:rsidRPr="00FE7838">
        <w:rPr>
          <w:szCs w:val="21"/>
          <w:lang w:val="en-US"/>
        </w:rPr>
        <w:t xml:space="preserve">to or from a DMHS or another place. </w:t>
      </w:r>
      <w:r>
        <w:rPr>
          <w:szCs w:val="21"/>
          <w:lang w:val="en-US"/>
        </w:rPr>
        <w:t>T</w:t>
      </w:r>
      <w:r w:rsidRPr="00FE7838">
        <w:rPr>
          <w:szCs w:val="21"/>
          <w:lang w:val="en-US"/>
        </w:rPr>
        <w:t>he</w:t>
      </w:r>
      <w:r>
        <w:rPr>
          <w:szCs w:val="21"/>
          <w:lang w:val="en-US"/>
        </w:rPr>
        <w:t xml:space="preserve">y must arrange transport and handover care to clinicians as soon as possible and </w:t>
      </w:r>
      <w:proofErr w:type="gramStart"/>
      <w:r>
        <w:rPr>
          <w:szCs w:val="21"/>
          <w:lang w:val="en-US"/>
        </w:rPr>
        <w:t>safe</w:t>
      </w:r>
      <w:proofErr w:type="gramEnd"/>
      <w:r>
        <w:rPr>
          <w:szCs w:val="21"/>
          <w:lang w:val="en-US"/>
        </w:rPr>
        <w:t xml:space="preserve"> to do so</w:t>
      </w:r>
      <w:r w:rsidRPr="00FE7838">
        <w:rPr>
          <w:szCs w:val="21"/>
          <w:lang w:val="en-US"/>
        </w:rPr>
        <w:t>.</w:t>
      </w:r>
      <w:r>
        <w:rPr>
          <w:szCs w:val="21"/>
          <w:lang w:val="en-US"/>
        </w:rPr>
        <w:t xml:space="preserve"> The threshold to transport requires only that they are under the Act. The threshold to restrain </w:t>
      </w:r>
      <w:proofErr w:type="gramStart"/>
      <w:r>
        <w:rPr>
          <w:szCs w:val="21"/>
          <w:lang w:val="en-US"/>
        </w:rPr>
        <w:t>in order to</w:t>
      </w:r>
      <w:proofErr w:type="gramEnd"/>
      <w:r>
        <w:rPr>
          <w:szCs w:val="21"/>
          <w:lang w:val="en-US"/>
        </w:rPr>
        <w:t xml:space="preserve"> </w:t>
      </w:r>
      <w:proofErr w:type="gramStart"/>
      <w:r>
        <w:rPr>
          <w:szCs w:val="21"/>
          <w:lang w:val="en-US"/>
        </w:rPr>
        <w:t xml:space="preserve">transport is where </w:t>
      </w:r>
      <w:r w:rsidRPr="00EE4A0B">
        <w:rPr>
          <w:lang w:val="en-US"/>
        </w:rPr>
        <w:t>it</w:t>
      </w:r>
      <w:proofErr w:type="gramEnd"/>
      <w:r w:rsidRPr="00EE4A0B">
        <w:rPr>
          <w:lang w:val="en-US"/>
        </w:rPr>
        <w:t xml:space="preserve"> is necessary </w:t>
      </w:r>
      <w:r w:rsidRPr="006259DF">
        <w:rPr>
          <w:b/>
          <w:bCs/>
          <w:lang w:val="en-US"/>
        </w:rPr>
        <w:t>to prevent imminent and serious harm</w:t>
      </w:r>
      <w:r w:rsidRPr="00EE4A0B">
        <w:rPr>
          <w:lang w:val="en-US"/>
        </w:rPr>
        <w:t xml:space="preserve"> to the person or another person</w:t>
      </w:r>
      <w:r>
        <w:rPr>
          <w:lang w:val="en-US"/>
        </w:rPr>
        <w:t xml:space="preserve"> if not transported.</w:t>
      </w:r>
    </w:p>
    <w:p w14:paraId="53537D01" w14:textId="77777777" w:rsidR="00693D6F" w:rsidRPr="00AD43B9" w:rsidRDefault="00693D6F" w:rsidP="00255094">
      <w:pPr>
        <w:pStyle w:val="ListParagraph"/>
        <w:numPr>
          <w:ilvl w:val="0"/>
          <w:numId w:val="14"/>
        </w:numPr>
        <w:spacing w:line="259" w:lineRule="auto"/>
        <w:ind w:left="714" w:hanging="357"/>
        <w:contextualSpacing w:val="0"/>
        <w:rPr>
          <w:b/>
          <w:bCs/>
          <w:lang w:val="en-US"/>
        </w:rPr>
      </w:pPr>
      <w:r w:rsidRPr="00AD43B9">
        <w:rPr>
          <w:b/>
          <w:bCs/>
          <w:lang w:val="en-US"/>
        </w:rPr>
        <w:t>Care and control in a community mental health crisis (Section 232)</w:t>
      </w:r>
    </w:p>
    <w:p w14:paraId="44EF72A5" w14:textId="77777777" w:rsidR="00693D6F" w:rsidRDefault="00693D6F" w:rsidP="00693D6F">
      <w:pPr>
        <w:pStyle w:val="ListParagraph"/>
        <w:contextualSpacing w:val="0"/>
        <w:rPr>
          <w:lang w:val="en-US"/>
        </w:rPr>
      </w:pPr>
      <w:r w:rsidRPr="00EE4A0B">
        <w:rPr>
          <w:lang w:val="en-US"/>
        </w:rPr>
        <w:t xml:space="preserve">Police or PSOs may take a person into care and control in the community if satisfied the person appears to have mental illness and, because of the apparent illness, it is necessary </w:t>
      </w:r>
      <w:r w:rsidRPr="006259DF">
        <w:rPr>
          <w:b/>
          <w:bCs/>
          <w:lang w:val="en-US"/>
        </w:rPr>
        <w:t>to prevent imminent and serious harm</w:t>
      </w:r>
      <w:r w:rsidRPr="00EE4A0B">
        <w:rPr>
          <w:lang w:val="en-US"/>
        </w:rPr>
        <w:t xml:space="preserve"> to the person or another person.</w:t>
      </w:r>
      <w:r>
        <w:rPr>
          <w:lang w:val="en-US"/>
        </w:rPr>
        <w:t xml:space="preserve"> </w:t>
      </w:r>
    </w:p>
    <w:p w14:paraId="7A2F2722" w14:textId="7DFD4007" w:rsidR="006B42F9" w:rsidRDefault="006B42F9">
      <w:pPr>
        <w:spacing w:after="0" w:line="240" w:lineRule="auto"/>
        <w:rPr>
          <w:lang w:val="en-US"/>
        </w:rPr>
      </w:pPr>
      <w:r>
        <w:rPr>
          <w:lang w:val="en-US"/>
        </w:rPr>
        <w:br w:type="page"/>
      </w:r>
    </w:p>
    <w:p w14:paraId="7EEDA8EC" w14:textId="77777777" w:rsidR="00693D6F" w:rsidRPr="001640D5" w:rsidRDefault="00693D6F" w:rsidP="00BD666B">
      <w:pPr>
        <w:pStyle w:val="Heading2"/>
      </w:pPr>
      <w:bookmarkStart w:id="4" w:name="_Toc218697116"/>
      <w:r>
        <w:lastRenderedPageBreak/>
        <w:t xml:space="preserve">4. </w:t>
      </w:r>
      <w:r w:rsidRPr="001640D5">
        <w:t>Preferred transport options</w:t>
      </w:r>
      <w:bookmarkEnd w:id="4"/>
    </w:p>
    <w:p w14:paraId="7E766329" w14:textId="77777777" w:rsidR="00693D6F" w:rsidRDefault="00693D6F" w:rsidP="00693D6F">
      <w:pPr>
        <w:pStyle w:val="Body"/>
      </w:pPr>
      <w:r>
        <w:t xml:space="preserve">Transport options should </w:t>
      </w:r>
      <w:r w:rsidRPr="008502CA">
        <w:rPr>
          <w:b/>
          <w:bCs/>
        </w:rPr>
        <w:t>consider the person’s preference and supports.</w:t>
      </w:r>
      <w:r>
        <w:t xml:space="preserve"> To ensure</w:t>
      </w:r>
      <w:r w:rsidRPr="006E62B8">
        <w:t xml:space="preserve"> a health</w:t>
      </w:r>
      <w:r>
        <w:t>-</w:t>
      </w:r>
      <w:r w:rsidRPr="006E62B8">
        <w:t xml:space="preserve">led </w:t>
      </w:r>
      <w:r>
        <w:t xml:space="preserve">and </w:t>
      </w:r>
      <w:r w:rsidRPr="006E62B8">
        <w:t xml:space="preserve">least restrictive </w:t>
      </w:r>
      <w:r>
        <w:t>response, all available transport options should be considered. These may include the person’s support network involving clinicians, family members, carers or friends, or support workers. The choice of transport should be based on a risk assessment, the person’s preferences and supports, and the views and preferences of those supporting the person.</w:t>
      </w:r>
    </w:p>
    <w:p w14:paraId="1EC71ECC" w14:textId="77777777" w:rsidR="00693D6F" w:rsidRDefault="00693D6F" w:rsidP="00693D6F">
      <w:pPr>
        <w:pStyle w:val="Body"/>
      </w:pPr>
      <w:r w:rsidRPr="00BD38B9">
        <w:t>If none of these options are suitable or available,</w:t>
      </w:r>
      <w:r>
        <w:rPr>
          <w:b/>
          <w:bCs/>
        </w:rPr>
        <w:t xml:space="preserve"> </w:t>
      </w:r>
      <w:r w:rsidRPr="00333678">
        <w:t>Ambulance Victoria should be the primary contact for providing transport of p</w:t>
      </w:r>
      <w:r w:rsidRPr="006E62B8">
        <w:t xml:space="preserve">atients to or from a </w:t>
      </w:r>
      <w:r>
        <w:t xml:space="preserve">DMHS. </w:t>
      </w:r>
      <w:r w:rsidRPr="00A16911">
        <w:t>An ambulance must</w:t>
      </w:r>
      <w:r>
        <w:t xml:space="preserve"> also </w:t>
      </w:r>
      <w:r w:rsidRPr="00A16911">
        <w:t>be used to transport a person who requires urgent medical attention and/or where sedation or chemical restraint has been administered.</w:t>
      </w:r>
    </w:p>
    <w:p w14:paraId="57F5382C" w14:textId="77777777" w:rsidR="00693D6F" w:rsidRDefault="00693D6F" w:rsidP="00693D6F">
      <w:pPr>
        <w:pStyle w:val="Body"/>
        <w:spacing w:before="120"/>
      </w:pPr>
      <w:r w:rsidRPr="00A16911">
        <w:t xml:space="preserve">An ambulance should </w:t>
      </w:r>
      <w:r>
        <w:t xml:space="preserve">also </w:t>
      </w:r>
      <w:r w:rsidRPr="00A16911">
        <w:t>be used where a person requires bodily restraint (mechanical and physical) for safe transport. A</w:t>
      </w:r>
      <w:r>
        <w:t xml:space="preserve"> Non-Emergency Patient Transport (</w:t>
      </w:r>
      <w:r w:rsidRPr="00A16911">
        <w:t>NEPT</w:t>
      </w:r>
      <w:r>
        <w:t>) vehicle</w:t>
      </w:r>
      <w:r w:rsidRPr="00A16911">
        <w:t xml:space="preserve"> may be used where </w:t>
      </w:r>
      <w:r>
        <w:t>one</w:t>
      </w:r>
      <w:r w:rsidRPr="00A16911">
        <w:t xml:space="preserve"> is available with a registered paramedic employed by Ambulance Victoria on board to monitor and provide care for the perso</w:t>
      </w:r>
      <w:r>
        <w:t>n</w:t>
      </w:r>
      <w:r w:rsidRPr="00A16911">
        <w:t>.</w:t>
      </w:r>
    </w:p>
    <w:p w14:paraId="7578D56F" w14:textId="77777777" w:rsidR="00693D6F" w:rsidRDefault="00693D6F" w:rsidP="00693D6F">
      <w:pPr>
        <w:pStyle w:val="Body"/>
      </w:pPr>
      <w:r>
        <w:t xml:space="preserve">If safe transport cannot be achieved through one of these options, police assistance should be requested. Police should only be involved when necessary to ensure the safety of the person or others. </w:t>
      </w:r>
    </w:p>
    <w:p w14:paraId="37A10148" w14:textId="77777777" w:rsidR="00693D6F" w:rsidRDefault="00693D6F" w:rsidP="00693D6F">
      <w:pPr>
        <w:pStyle w:val="Body"/>
      </w:pPr>
      <w:r>
        <w:t>Clinicians need to provide a rationale to clearly explain what alternatives have been considered or attempted, and why police involvement is required, including an explanation of why the risk is serious and imminent and why using police is least restrictive. If an alternative is considered and found to not be suitable in the circumstances, it does not need to be tried, but clinicians should explain to police why it was not suitable.</w:t>
      </w:r>
    </w:p>
    <w:tbl>
      <w:tblPr>
        <w:tblStyle w:val="TableGrid"/>
        <w:tblW w:w="0" w:type="auto"/>
        <w:shd w:val="clear" w:color="auto" w:fill="FFEFF7"/>
        <w:tblLook w:val="04A0" w:firstRow="1" w:lastRow="0" w:firstColumn="1" w:lastColumn="0" w:noHBand="0" w:noVBand="1"/>
      </w:tblPr>
      <w:tblGrid>
        <w:gridCol w:w="10194"/>
      </w:tblGrid>
      <w:tr w:rsidR="00693D6F" w14:paraId="7EADC90B" w14:textId="77777777" w:rsidTr="002F3031">
        <w:trPr>
          <w:trHeight w:val="1329"/>
        </w:trPr>
        <w:tc>
          <w:tcPr>
            <w:tcW w:w="10194" w:type="dxa"/>
            <w:shd w:val="clear" w:color="auto" w:fill="FFEFF7"/>
          </w:tcPr>
          <w:p w14:paraId="36BAE7AC" w14:textId="77777777" w:rsidR="00693D6F" w:rsidRDefault="00693D6F" w:rsidP="002F3031">
            <w:pPr>
              <w:pStyle w:val="Body"/>
            </w:pPr>
            <w:r w:rsidRPr="0019657D">
              <w:rPr>
                <w:b/>
                <w:bCs/>
              </w:rPr>
              <w:t>Police assistance</w:t>
            </w:r>
            <w:r>
              <w:t xml:space="preserve"> – any involvement of police to support another authorised person(s) which may </w:t>
            </w:r>
            <w:proofErr w:type="gramStart"/>
            <w:r>
              <w:t>include:</w:t>
            </w:r>
            <w:proofErr w:type="gramEnd"/>
            <w:r>
              <w:t xml:space="preserve"> accompanying clinicians and/ or paramedics to a person’s home to assist transporting a person subject to an inpatient order to a DMHS, using force to enter a premises, searching a person, or travelling with paramedics.</w:t>
            </w:r>
          </w:p>
          <w:p w14:paraId="3B567405" w14:textId="77777777" w:rsidR="00693D6F" w:rsidRDefault="00693D6F" w:rsidP="002F3031">
            <w:pPr>
              <w:pStyle w:val="Body"/>
            </w:pPr>
            <w:r w:rsidRPr="0019657D">
              <w:rPr>
                <w:b/>
                <w:bCs/>
              </w:rPr>
              <w:t>Police transport</w:t>
            </w:r>
            <w:r>
              <w:t xml:space="preserve"> – </w:t>
            </w:r>
            <w:r w:rsidRPr="00EC67FB">
              <w:t>a</w:t>
            </w:r>
            <w:r w:rsidRPr="00D70037">
              <w:t>ny transport provided by police in a police vehicle either in response to a mental health crisis or transport of a person who is subject to an inpatient order, including a person who is absent without leave from a designated mental health service.</w:t>
            </w:r>
          </w:p>
        </w:tc>
      </w:tr>
    </w:tbl>
    <w:p w14:paraId="6C06940B" w14:textId="77777777" w:rsidR="00693D6F" w:rsidRDefault="00693D6F" w:rsidP="00693D6F">
      <w:pPr>
        <w:pStyle w:val="Body"/>
        <w:spacing w:before="120"/>
      </w:pPr>
      <w:r>
        <w:t xml:space="preserve">Where </w:t>
      </w:r>
      <w:r w:rsidRPr="003D7728">
        <w:t>police retain care and control and A</w:t>
      </w:r>
      <w:r>
        <w:t xml:space="preserve">mbulance </w:t>
      </w:r>
      <w:r w:rsidRPr="003D7728">
        <w:t>V</w:t>
      </w:r>
      <w:r>
        <w:t xml:space="preserve">ictoria </w:t>
      </w:r>
      <w:r w:rsidRPr="003D7728">
        <w:t xml:space="preserve">transports, police </w:t>
      </w:r>
      <w:r>
        <w:t xml:space="preserve">will </w:t>
      </w:r>
      <w:r w:rsidRPr="003D7728">
        <w:t>ride in</w:t>
      </w:r>
      <w:r w:rsidRPr="003D7728">
        <w:rPr>
          <w:rFonts w:ascii="Cambria Math" w:hAnsi="Cambria Math" w:cs="Cambria Math"/>
        </w:rPr>
        <w:t>‑</w:t>
      </w:r>
      <w:r w:rsidRPr="003D7728">
        <w:t>vehicle until clinical handover at the DMHS.</w:t>
      </w:r>
      <w:r>
        <w:t xml:space="preserve"> </w:t>
      </w:r>
      <w:r w:rsidRPr="00A16911">
        <w:t>Police can also remain in an ambulance if this is required to manage safety risks, even if the person is being transported under s 241 by paramedics.</w:t>
      </w:r>
    </w:p>
    <w:p w14:paraId="328A8E85" w14:textId="77777777" w:rsidR="00693D6F" w:rsidRPr="00B1795A" w:rsidRDefault="00693D6F" w:rsidP="00F059D9">
      <w:pPr>
        <w:pStyle w:val="Heading3"/>
      </w:pPr>
      <w:bookmarkStart w:id="5" w:name="_Toc218592730"/>
      <w:bookmarkStart w:id="6" w:name="_Toc218697117"/>
      <w:r w:rsidRPr="00B1795A">
        <w:rPr>
          <w:lang w:val="en-US"/>
        </w:rPr>
        <w:t>Your role</w:t>
      </w:r>
      <w:bookmarkEnd w:id="5"/>
      <w:bookmarkEnd w:id="6"/>
    </w:p>
    <w:p w14:paraId="088A5099" w14:textId="77777777" w:rsidR="00693D6F" w:rsidRDefault="00693D6F" w:rsidP="00255094">
      <w:pPr>
        <w:pStyle w:val="Body"/>
        <w:numPr>
          <w:ilvl w:val="0"/>
          <w:numId w:val="15"/>
        </w:numPr>
      </w:pPr>
      <w:r>
        <w:t>Advocate for least restrictive, health-led transport options.</w:t>
      </w:r>
      <w:r w:rsidRPr="00991371">
        <w:t xml:space="preserve"> </w:t>
      </w:r>
      <w:r>
        <w:t>If the person agrees to attend, arrange for a family member, carer or support person to bring them to a DMHS if possible.</w:t>
      </w:r>
    </w:p>
    <w:p w14:paraId="3D42AD9D" w14:textId="77777777" w:rsidR="00693D6F" w:rsidRDefault="00693D6F" w:rsidP="00255094">
      <w:pPr>
        <w:pStyle w:val="Body"/>
        <w:numPr>
          <w:ilvl w:val="0"/>
          <w:numId w:val="15"/>
        </w:numPr>
      </w:pPr>
      <w:r>
        <w:t>When an inpatient Assessment or Treatment Order is in place, ensure that transport intent is clear: admission is required to support treatment, consistent with least-restrictive, health-led principles. You need to consider if the risk of not transporting will be serious and imminent and communicate this clearly to police so they have advice on whether restrictive practises may be justified.</w:t>
      </w:r>
    </w:p>
    <w:p w14:paraId="420B2412" w14:textId="77777777" w:rsidR="00693D6F" w:rsidRDefault="00693D6F" w:rsidP="00255094">
      <w:pPr>
        <w:pStyle w:val="Body"/>
        <w:numPr>
          <w:ilvl w:val="0"/>
          <w:numId w:val="15"/>
        </w:numPr>
      </w:pPr>
      <w:r>
        <w:t>If police are requested, document alternatives attempted, rationale for police involvement, and the specific risks that are serious and imminent requiring their presence.</w:t>
      </w:r>
    </w:p>
    <w:p w14:paraId="40739DAE" w14:textId="77777777" w:rsidR="00693D6F" w:rsidRPr="005D0F91" w:rsidRDefault="00693D6F" w:rsidP="00255094">
      <w:pPr>
        <w:pStyle w:val="Body"/>
        <w:numPr>
          <w:ilvl w:val="0"/>
          <w:numId w:val="15"/>
        </w:numPr>
        <w:spacing w:before="120"/>
        <w:jc w:val="both"/>
        <w:rPr>
          <w:rFonts w:cs="Arial"/>
          <w:szCs w:val="21"/>
        </w:rPr>
      </w:pPr>
      <w:r w:rsidRPr="005D0F91">
        <w:rPr>
          <w:rFonts w:cs="Arial"/>
          <w:szCs w:val="21"/>
        </w:rPr>
        <w:t>Provide police/PSOs with a concise, plain</w:t>
      </w:r>
      <w:r w:rsidRPr="005D0F91">
        <w:rPr>
          <w:rFonts w:ascii="Cambria Math" w:hAnsi="Cambria Math" w:cs="Cambria Math"/>
          <w:szCs w:val="21"/>
        </w:rPr>
        <w:t>‑</w:t>
      </w:r>
      <w:r w:rsidRPr="005D0F91">
        <w:rPr>
          <w:rFonts w:cs="Arial"/>
          <w:szCs w:val="21"/>
        </w:rPr>
        <w:t>language rationale addressing risks, alternatives attempted, and why transport is required now.</w:t>
      </w:r>
    </w:p>
    <w:p w14:paraId="2E74FF91" w14:textId="77777777" w:rsidR="00693D6F" w:rsidRPr="005D0F91" w:rsidRDefault="00693D6F" w:rsidP="00255094">
      <w:pPr>
        <w:pStyle w:val="Body"/>
        <w:numPr>
          <w:ilvl w:val="0"/>
          <w:numId w:val="15"/>
        </w:numPr>
        <w:spacing w:before="120"/>
        <w:jc w:val="both"/>
        <w:rPr>
          <w:rFonts w:cs="Arial"/>
          <w:szCs w:val="21"/>
        </w:rPr>
      </w:pPr>
      <w:r w:rsidRPr="005D0F91">
        <w:rPr>
          <w:rFonts w:cs="Arial"/>
          <w:szCs w:val="21"/>
        </w:rPr>
        <w:t xml:space="preserve">If police/PSOs lead, provide clear clinical advice: explain the risks, timeframe of potential harm, and consequences of not acting.  </w:t>
      </w:r>
    </w:p>
    <w:p w14:paraId="597D31F8" w14:textId="77777777" w:rsidR="00693D6F" w:rsidRPr="005D0F91" w:rsidRDefault="00693D6F" w:rsidP="00255094">
      <w:pPr>
        <w:pStyle w:val="Body"/>
        <w:numPr>
          <w:ilvl w:val="0"/>
          <w:numId w:val="15"/>
        </w:numPr>
        <w:spacing w:before="120"/>
        <w:jc w:val="both"/>
        <w:rPr>
          <w:rFonts w:cs="Arial"/>
        </w:rPr>
      </w:pPr>
      <w:r w:rsidRPr="005D0F91">
        <w:rPr>
          <w:rFonts w:cs="Arial"/>
        </w:rPr>
        <w:lastRenderedPageBreak/>
        <w:t>Avoid jargon and specify how examination by a medical practitioner or authorised mental health clinician will occur (including Assessment Order pathway).</w:t>
      </w:r>
    </w:p>
    <w:p w14:paraId="32F2DE32" w14:textId="77777777" w:rsidR="00693D6F" w:rsidRPr="004F1445" w:rsidRDefault="00693D6F" w:rsidP="00693D6F">
      <w:pPr>
        <w:pStyle w:val="Body"/>
        <w:spacing w:before="120"/>
        <w:ind w:left="720"/>
        <w:jc w:val="both"/>
        <w:rPr>
          <w:rFonts w:cs="Arial"/>
        </w:rPr>
      </w:pPr>
    </w:p>
    <w:p w14:paraId="2A42FB9B" w14:textId="77777777" w:rsidR="00693D6F" w:rsidRPr="000048AE" w:rsidRDefault="00693D6F" w:rsidP="00BD666B">
      <w:pPr>
        <w:pStyle w:val="Heading2"/>
      </w:pPr>
      <w:bookmarkStart w:id="7" w:name="_Toc218697118"/>
      <w:r w:rsidRPr="000048AE">
        <w:t>5. Understanding serious and imminent risk of harm</w:t>
      </w:r>
      <w:bookmarkEnd w:id="7"/>
    </w:p>
    <w:p w14:paraId="66BB422C" w14:textId="77777777" w:rsidR="00693D6F" w:rsidRDefault="00693D6F" w:rsidP="00693D6F">
      <w:pPr>
        <w:pStyle w:val="Body"/>
      </w:pPr>
      <w:r>
        <w:t>Clinicians have specialised skills and expertise in evaluating clinical risk, whereas police bring a focus on community safety and physical threats and aggression. Because of this, they may see risk differently.</w:t>
      </w:r>
    </w:p>
    <w:p w14:paraId="38E67C29" w14:textId="77777777" w:rsidR="00693D6F" w:rsidRDefault="00693D6F" w:rsidP="00693D6F">
      <w:pPr>
        <w:pStyle w:val="Body"/>
      </w:pPr>
      <w:r w:rsidRPr="00AF2D79">
        <w:t xml:space="preserve">Police and PSOs are not required to make clinical judgements under the Act. </w:t>
      </w:r>
      <w:r>
        <w:t>T</w:t>
      </w:r>
      <w:r w:rsidRPr="00AF2D79">
        <w:t xml:space="preserve">hey </w:t>
      </w:r>
      <w:r>
        <w:t>rely on</w:t>
      </w:r>
      <w:r w:rsidRPr="00AF2D79">
        <w:t xml:space="preserve"> </w:t>
      </w:r>
      <w:r w:rsidRPr="00073028">
        <w:t xml:space="preserve">timely clinical advice </w:t>
      </w:r>
      <w:r w:rsidRPr="00AF2D79">
        <w:t xml:space="preserve">when exercising care and control and when assessing </w:t>
      </w:r>
      <w:r>
        <w:t xml:space="preserve">this aspect of </w:t>
      </w:r>
      <w:r w:rsidRPr="00AF2D79">
        <w:rPr>
          <w:b/>
          <w:bCs/>
        </w:rPr>
        <w:t>serious and imminent risk of harm</w:t>
      </w:r>
      <w:r w:rsidRPr="00AF2D79">
        <w:t xml:space="preserve">. </w:t>
      </w:r>
    </w:p>
    <w:p w14:paraId="7D35F321" w14:textId="77777777" w:rsidR="00693D6F" w:rsidRDefault="00693D6F" w:rsidP="00693D6F">
      <w:pPr>
        <w:pStyle w:val="Body"/>
      </w:pPr>
      <w:bookmarkStart w:id="8" w:name="_Hlk216422877"/>
      <w:r w:rsidRPr="00D174B4">
        <w:rPr>
          <w:rFonts w:eastAsia="MS Gothic" w:cs="Arial"/>
        </w:rPr>
        <w:t xml:space="preserve">From a clinical perspective, imminent and serious harm does not have to mean physical violence </w:t>
      </w:r>
      <w:r>
        <w:rPr>
          <w:rFonts w:eastAsia="MS Gothic" w:cs="Arial"/>
        </w:rPr>
        <w:t xml:space="preserve">or aggression </w:t>
      </w:r>
      <w:r w:rsidRPr="00D174B4">
        <w:rPr>
          <w:rFonts w:eastAsia="MS Gothic" w:cs="Arial"/>
        </w:rPr>
        <w:t xml:space="preserve">but </w:t>
      </w:r>
      <w:r>
        <w:rPr>
          <w:rFonts w:eastAsia="MS Gothic" w:cs="Arial"/>
        </w:rPr>
        <w:t xml:space="preserve">may be internalised and not outwardly violent yet serious and impending. It </w:t>
      </w:r>
      <w:r w:rsidRPr="00D174B4">
        <w:rPr>
          <w:rFonts w:eastAsia="MS Gothic" w:cs="Arial"/>
        </w:rPr>
        <w:t xml:space="preserve">is more broadly defined </w:t>
      </w:r>
      <w:r>
        <w:rPr>
          <w:rFonts w:eastAsia="MS Gothic" w:cs="Arial"/>
        </w:rPr>
        <w:t>to include</w:t>
      </w:r>
      <w:r w:rsidRPr="00D174B4">
        <w:rPr>
          <w:rFonts w:eastAsia="MS Gothic" w:cs="Arial"/>
        </w:rPr>
        <w:t xml:space="preserve"> psychological and/or medical harm</w:t>
      </w:r>
      <w:r>
        <w:rPr>
          <w:rFonts w:eastAsia="MS Gothic" w:cs="Arial"/>
        </w:rPr>
        <w:t xml:space="preserve"> (i.e. refusal of essential care) which may occur due to conditions including psychosis, catatonia, or severe cognitive impairment</w:t>
      </w:r>
      <w:r w:rsidRPr="00D174B4">
        <w:rPr>
          <w:rFonts w:eastAsia="MS Gothic" w:cs="Arial"/>
        </w:rPr>
        <w:t>.</w:t>
      </w:r>
      <w:r w:rsidRPr="00CA1BA4">
        <w:t xml:space="preserve"> </w:t>
      </w:r>
      <w:r>
        <w:t>C</w:t>
      </w:r>
      <w:r w:rsidRPr="00AF2D79">
        <w:t xml:space="preserve">linicians should </w:t>
      </w:r>
      <w:r>
        <w:t>clearly explain when harm includes clinical risks – such as deterioration, suicidality or self-neglect – that may not be immediately visible but are likely without timely intervention.</w:t>
      </w:r>
      <w:r w:rsidRPr="00AF2D79">
        <w:t xml:space="preserve"> </w:t>
      </w:r>
    </w:p>
    <w:p w14:paraId="19BD28B6" w14:textId="77777777" w:rsidR="00693D6F" w:rsidRPr="00401E10" w:rsidRDefault="00693D6F" w:rsidP="00693D6F">
      <w:pPr>
        <w:pStyle w:val="Body"/>
        <w:rPr>
          <w:rFonts w:eastAsia="MS Gothic" w:cs="Arial"/>
        </w:rPr>
      </w:pPr>
      <w:r w:rsidRPr="00401E10">
        <w:rPr>
          <w:rFonts w:eastAsia="MS Gothic" w:cs="Arial"/>
        </w:rPr>
        <w:t>When something is imminent, it means it</w:t>
      </w:r>
      <w:r>
        <w:rPr>
          <w:rFonts w:eastAsia="MS Gothic" w:cs="Arial"/>
        </w:rPr>
        <w:t xml:space="preserve"> i</w:t>
      </w:r>
      <w:r w:rsidRPr="00401E10">
        <w:rPr>
          <w:rFonts w:eastAsia="MS Gothic" w:cs="Arial"/>
        </w:rPr>
        <w:t>s expected to happen soon. This does</w:t>
      </w:r>
      <w:r>
        <w:rPr>
          <w:rFonts w:eastAsia="MS Gothic" w:cs="Arial"/>
        </w:rPr>
        <w:t xml:space="preserve"> </w:t>
      </w:r>
      <w:r w:rsidRPr="00401E10">
        <w:rPr>
          <w:rFonts w:eastAsia="MS Gothic" w:cs="Arial"/>
        </w:rPr>
        <w:t>n</w:t>
      </w:r>
      <w:r>
        <w:rPr>
          <w:rFonts w:eastAsia="MS Gothic" w:cs="Arial"/>
        </w:rPr>
        <w:t>o</w:t>
      </w:r>
      <w:r w:rsidRPr="00401E10">
        <w:rPr>
          <w:rFonts w:eastAsia="MS Gothic" w:cs="Arial"/>
        </w:rPr>
        <w:t>t mean the harm will happen right away. The test in the Act does not require that harm will happen immediately if no action is taken</w:t>
      </w:r>
      <w:r>
        <w:rPr>
          <w:rFonts w:eastAsia="MS Gothic" w:cs="Arial"/>
        </w:rPr>
        <w:t xml:space="preserve"> but that it is assessed to be likely </w:t>
      </w:r>
      <w:proofErr w:type="gramStart"/>
      <w:r>
        <w:rPr>
          <w:rFonts w:eastAsia="MS Gothic" w:cs="Arial"/>
        </w:rPr>
        <w:t>in the near future</w:t>
      </w:r>
      <w:proofErr w:type="gramEnd"/>
      <w:r w:rsidRPr="00401E10">
        <w:rPr>
          <w:rFonts w:eastAsia="MS Gothic" w:cs="Arial"/>
        </w:rPr>
        <w:t xml:space="preserve">. </w:t>
      </w:r>
    </w:p>
    <w:p w14:paraId="08CF7B01" w14:textId="77777777" w:rsidR="00693D6F" w:rsidRDefault="00693D6F" w:rsidP="00693D6F">
      <w:pPr>
        <w:pStyle w:val="Body"/>
      </w:pPr>
      <w:r>
        <w:t>P</w:t>
      </w:r>
      <w:r w:rsidRPr="00335D03">
        <w:t xml:space="preserve">aramedics </w:t>
      </w:r>
      <w:r>
        <w:t xml:space="preserve">can </w:t>
      </w:r>
      <w:r w:rsidRPr="00335D03">
        <w:t>provide</w:t>
      </w:r>
      <w:r>
        <w:t xml:space="preserve"> clinical</w:t>
      </w:r>
      <w:r w:rsidRPr="00335D03">
        <w:t xml:space="preserve"> health advice </w:t>
      </w:r>
      <w:r>
        <w:t>to</w:t>
      </w:r>
      <w:r w:rsidRPr="00335D03">
        <w:t xml:space="preserve"> police which is particularly important for cases where a mental health clinician is not on scene or is </w:t>
      </w:r>
      <w:proofErr w:type="spellStart"/>
      <w:r w:rsidRPr="00335D03">
        <w:t>en</w:t>
      </w:r>
      <w:proofErr w:type="spellEnd"/>
      <w:r w:rsidRPr="00335D03">
        <w:t xml:space="preserve"> route. Paramedics also have access to </w:t>
      </w:r>
      <w:proofErr w:type="spellStart"/>
      <w:r w:rsidRPr="00335D03">
        <w:t>TelePROMPT</w:t>
      </w:r>
      <w:proofErr w:type="spellEnd"/>
      <w:r w:rsidRPr="00335D03">
        <w:t>, which is staffed by mental health clinicians, who can offer advice/support.</w:t>
      </w:r>
    </w:p>
    <w:p w14:paraId="1AAE8146" w14:textId="77777777" w:rsidR="00693D6F" w:rsidRPr="00E01786" w:rsidRDefault="00693D6F" w:rsidP="00F059D9">
      <w:pPr>
        <w:pStyle w:val="Heading3"/>
        <w:rPr>
          <w:lang w:val="en-US"/>
        </w:rPr>
      </w:pPr>
      <w:bookmarkStart w:id="9" w:name="_Toc218592732"/>
      <w:bookmarkStart w:id="10" w:name="_Toc218697119"/>
      <w:bookmarkEnd w:id="8"/>
      <w:r w:rsidRPr="00E01786">
        <w:rPr>
          <w:lang w:val="en-US"/>
        </w:rPr>
        <w:t>Your role</w:t>
      </w:r>
      <w:bookmarkEnd w:id="9"/>
      <w:bookmarkEnd w:id="10"/>
    </w:p>
    <w:p w14:paraId="33A21ED7" w14:textId="77777777" w:rsidR="00693D6F" w:rsidRDefault="00693D6F" w:rsidP="00255094">
      <w:pPr>
        <w:pStyle w:val="Body"/>
        <w:numPr>
          <w:ilvl w:val="0"/>
          <w:numId w:val="17"/>
        </w:numPr>
      </w:pPr>
      <w:r>
        <w:rPr>
          <w:lang w:val="en-US"/>
        </w:rPr>
        <w:t xml:space="preserve">Explain </w:t>
      </w:r>
      <w:r w:rsidRPr="0085790F">
        <w:rPr>
          <w:lang w:val="en-US"/>
        </w:rPr>
        <w:t xml:space="preserve">clinical risk in plain language for </w:t>
      </w:r>
      <w:r w:rsidRPr="7100BBBA">
        <w:rPr>
          <w:lang w:val="en-US"/>
        </w:rPr>
        <w:t>non</w:t>
      </w:r>
      <w:r>
        <w:rPr>
          <w:lang w:val="en-US"/>
        </w:rPr>
        <w:t>-</w:t>
      </w:r>
      <w:r w:rsidRPr="7100BBBA">
        <w:rPr>
          <w:lang w:val="en-US"/>
        </w:rPr>
        <w:t>clinical</w:t>
      </w:r>
      <w:r w:rsidRPr="0085790F">
        <w:rPr>
          <w:lang w:val="en-US"/>
        </w:rPr>
        <w:t xml:space="preserve"> responders. Describe the nature of </w:t>
      </w:r>
      <w:r>
        <w:rPr>
          <w:lang w:val="en-US"/>
        </w:rPr>
        <w:t xml:space="preserve">the </w:t>
      </w:r>
      <w:r w:rsidRPr="0085790F">
        <w:rPr>
          <w:lang w:val="en-US"/>
        </w:rPr>
        <w:t>harm (</w:t>
      </w:r>
      <w:r>
        <w:rPr>
          <w:lang w:val="en-US"/>
        </w:rPr>
        <w:t xml:space="preserve">which may include </w:t>
      </w:r>
      <w:r w:rsidRPr="0085790F">
        <w:rPr>
          <w:lang w:val="en-US"/>
        </w:rPr>
        <w:t xml:space="preserve">psychological, social, medical), </w:t>
      </w:r>
      <w:r>
        <w:rPr>
          <w:lang w:val="en-US"/>
        </w:rPr>
        <w:t>how soon it could happen without help</w:t>
      </w:r>
      <w:r w:rsidRPr="0085790F">
        <w:rPr>
          <w:lang w:val="en-US"/>
        </w:rPr>
        <w:t xml:space="preserve">, and why </w:t>
      </w:r>
      <w:r>
        <w:rPr>
          <w:lang w:val="en-US"/>
        </w:rPr>
        <w:t xml:space="preserve">hospital </w:t>
      </w:r>
      <w:r w:rsidRPr="0085790F">
        <w:rPr>
          <w:lang w:val="en-US"/>
        </w:rPr>
        <w:t>care</w:t>
      </w:r>
      <w:r>
        <w:rPr>
          <w:lang w:val="en-US"/>
        </w:rPr>
        <w:t xml:space="preserve"> or </w:t>
      </w:r>
      <w:r w:rsidRPr="0085790F">
        <w:rPr>
          <w:lang w:val="en-US"/>
        </w:rPr>
        <w:t>assessment is </w:t>
      </w:r>
      <w:r>
        <w:rPr>
          <w:lang w:val="en-US"/>
        </w:rPr>
        <w:t>needed</w:t>
      </w:r>
      <w:r w:rsidRPr="0085790F">
        <w:rPr>
          <w:lang w:val="en-US"/>
        </w:rPr>
        <w:t> to prevent</w:t>
      </w:r>
      <w:r>
        <w:rPr>
          <w:lang w:val="en-US"/>
        </w:rPr>
        <w:t xml:space="preserve"> </w:t>
      </w:r>
      <w:r w:rsidRPr="0085790F">
        <w:rPr>
          <w:lang w:val="en-US"/>
        </w:rPr>
        <w:t>serious harm</w:t>
      </w:r>
      <w:r w:rsidRPr="7100BBBA">
        <w:rPr>
          <w:lang w:val="en-US"/>
        </w:rPr>
        <w:t xml:space="preserve"> </w:t>
      </w:r>
      <w:r w:rsidRPr="00A810F7">
        <w:rPr>
          <w:lang w:val="en-US"/>
        </w:rPr>
        <w:t>now</w:t>
      </w:r>
      <w:r>
        <w:rPr>
          <w:lang w:val="en-US"/>
        </w:rPr>
        <w:t>,</w:t>
      </w:r>
      <w:r w:rsidRPr="00A810F7">
        <w:rPr>
          <w:lang w:val="en-US"/>
        </w:rPr>
        <w:t xml:space="preserve"> rather than waiting for a future review.</w:t>
      </w:r>
      <w:r w:rsidRPr="00A810F7">
        <w:t> </w:t>
      </w:r>
      <w:r w:rsidRPr="00B14438">
        <w:t>These are important steps for conveying the significant risk of harm to the person or others if they are left in the environment without treatment or care.</w:t>
      </w:r>
    </w:p>
    <w:p w14:paraId="6D85F1B9" w14:textId="1A212FC7" w:rsidR="00693D6F" w:rsidRDefault="00693D6F" w:rsidP="00693D6F">
      <w:pPr>
        <w:spacing w:after="160" w:line="259" w:lineRule="auto"/>
        <w:rPr>
          <w:rFonts w:eastAsia="Times"/>
        </w:rPr>
      </w:pPr>
    </w:p>
    <w:p w14:paraId="46973B52" w14:textId="77777777" w:rsidR="00693D6F" w:rsidRPr="000048AE" w:rsidRDefault="00693D6F" w:rsidP="00BD666B">
      <w:pPr>
        <w:pStyle w:val="Heading2"/>
      </w:pPr>
      <w:bookmarkStart w:id="11" w:name="_Toc218697120"/>
      <w:r w:rsidRPr="000048AE">
        <w:t>6. Clinical risk assessment</w:t>
      </w:r>
      <w:bookmarkEnd w:id="11"/>
    </w:p>
    <w:p w14:paraId="32CB8F08" w14:textId="77777777" w:rsidR="00693D6F" w:rsidRDefault="00693D6F" w:rsidP="00693D6F">
      <w:pPr>
        <w:pStyle w:val="Body"/>
        <w:rPr>
          <w:lang w:val="en-US"/>
        </w:rPr>
      </w:pPr>
      <w:r>
        <w:rPr>
          <w:lang w:val="en-US"/>
        </w:rPr>
        <w:t xml:space="preserve">Risk assessment is a foundation clinical skill. It involves identifying risk factors and </w:t>
      </w:r>
      <w:proofErr w:type="spellStart"/>
      <w:r>
        <w:rPr>
          <w:lang w:val="en-US"/>
        </w:rPr>
        <w:t>synthesising</w:t>
      </w:r>
      <w:proofErr w:type="spellEnd"/>
      <w:r>
        <w:rPr>
          <w:lang w:val="en-US"/>
        </w:rPr>
        <w:t>, integrating, and formulating risk to adequately understand the person at risk.</w:t>
      </w:r>
    </w:p>
    <w:p w14:paraId="463B025E" w14:textId="77777777" w:rsidR="00693D6F" w:rsidRDefault="00693D6F" w:rsidP="00693D6F">
      <w:pPr>
        <w:pStyle w:val="Body"/>
      </w:pPr>
      <w:r w:rsidRPr="00852901">
        <w:t xml:space="preserve">Risk </w:t>
      </w:r>
      <w:r>
        <w:t xml:space="preserve">can </w:t>
      </w:r>
      <w:r w:rsidRPr="00852901">
        <w:t xml:space="preserve">change rapidly with shifts in mental and physical state, environmental conditions and personal crises, and it can be exacerbated or reduced through relationships with important others (family, friends, carers) and </w:t>
      </w:r>
      <w:r>
        <w:t>how their crisis is responded to.</w:t>
      </w:r>
    </w:p>
    <w:p w14:paraId="60D6AF88" w14:textId="77777777" w:rsidR="00693D6F" w:rsidRDefault="00693D6F" w:rsidP="00693D6F">
      <w:pPr>
        <w:pStyle w:val="Body"/>
      </w:pPr>
      <w:r w:rsidRPr="00852901">
        <w:t>Decisions should balance short</w:t>
      </w:r>
      <w:r>
        <w:t xml:space="preserve"> </w:t>
      </w:r>
      <w:r w:rsidRPr="00852901">
        <w:t>and long-term risks against the likelihood and consequences of outcomes, alongside the person’s values, needs and context, and be readily escalated within clinical governance where required.</w:t>
      </w:r>
    </w:p>
    <w:p w14:paraId="2718D704" w14:textId="77777777" w:rsidR="00693D6F" w:rsidRDefault="00693D6F" w:rsidP="00693D6F">
      <w:pPr>
        <w:pStyle w:val="Body"/>
      </w:pPr>
      <w:r>
        <w:rPr>
          <w:lang w:val="en-US"/>
        </w:rPr>
        <w:t>A comprehensive risk assessment will also consider s</w:t>
      </w:r>
      <w:r w:rsidRPr="1C9874C2">
        <w:rPr>
          <w:lang w:val="en-US"/>
        </w:rPr>
        <w:t>ocial and economic impacts</w:t>
      </w:r>
      <w:r>
        <w:rPr>
          <w:lang w:val="en-US"/>
        </w:rPr>
        <w:t>, which may include risk of</w:t>
      </w:r>
      <w:r w:rsidRPr="1C9874C2">
        <w:rPr>
          <w:lang w:val="en-US"/>
        </w:rPr>
        <w:t xml:space="preserve"> avoidable involvement with the criminal justice system, severe damage to relationships with family and friends (including children), loss of secure housing, disrupted education and employment, and increased vulnerability to exploitation.</w:t>
      </w:r>
    </w:p>
    <w:p w14:paraId="7EFD696D" w14:textId="77777777" w:rsidR="00693D6F" w:rsidRPr="00F912B5" w:rsidRDefault="00693D6F" w:rsidP="00F059D9">
      <w:pPr>
        <w:pStyle w:val="Heading3"/>
      </w:pPr>
      <w:bookmarkStart w:id="12" w:name="_Toc218592734"/>
      <w:bookmarkStart w:id="13" w:name="_Toc218697121"/>
      <w:r w:rsidRPr="00F912B5">
        <w:lastRenderedPageBreak/>
        <w:t>Your role</w:t>
      </w:r>
      <w:bookmarkEnd w:id="12"/>
      <w:bookmarkEnd w:id="13"/>
    </w:p>
    <w:p w14:paraId="5AC2648C" w14:textId="77777777" w:rsidR="00693D6F" w:rsidRDefault="00693D6F" w:rsidP="00255094">
      <w:pPr>
        <w:pStyle w:val="Body"/>
        <w:numPr>
          <w:ilvl w:val="0"/>
          <w:numId w:val="17"/>
        </w:numPr>
      </w:pPr>
      <w:r>
        <w:t xml:space="preserve">Police and PSOs are not required to use clinical judgement. That responsibility lies with clinicians, who should communicate the clinical risks </w:t>
      </w:r>
      <w:r w:rsidRPr="00991371">
        <w:t>clearly</w:t>
      </w:r>
      <w:r>
        <w:t xml:space="preserve"> including</w:t>
      </w:r>
      <w:r w:rsidRPr="00991371">
        <w:t xml:space="preserve"> what the risks are, why they are likely to escalate and in what time frame, and the benefits of timely assessment or treatment. </w:t>
      </w:r>
    </w:p>
    <w:p w14:paraId="6E9822B4" w14:textId="77777777" w:rsidR="00693D6F" w:rsidRDefault="00693D6F" w:rsidP="00693D6F">
      <w:pPr>
        <w:pStyle w:val="Body"/>
        <w:ind w:left="720"/>
      </w:pPr>
    </w:p>
    <w:p w14:paraId="5D78370B" w14:textId="77777777" w:rsidR="00693D6F" w:rsidRPr="000048AE" w:rsidRDefault="00693D6F" w:rsidP="00BD666B">
      <w:pPr>
        <w:pStyle w:val="Heading2"/>
        <w:rPr>
          <w:lang w:val="en-US"/>
        </w:rPr>
      </w:pPr>
      <w:bookmarkStart w:id="14" w:name="_Toc218697122"/>
      <w:r w:rsidRPr="000048AE">
        <w:rPr>
          <w:lang w:val="en-US"/>
        </w:rPr>
        <w:t>7. Consequences of delayed transport</w:t>
      </w:r>
      <w:bookmarkEnd w:id="14"/>
    </w:p>
    <w:p w14:paraId="67E49150" w14:textId="77777777" w:rsidR="00693D6F" w:rsidRPr="00857EA9" w:rsidRDefault="00693D6F" w:rsidP="00693D6F">
      <w:pPr>
        <w:pStyle w:val="Body"/>
      </w:pPr>
      <w:r w:rsidRPr="00E53D4A">
        <w:t>Police typically see imminent harm as an immediate physical threat, while clinicians</w:t>
      </w:r>
      <w:r>
        <w:t xml:space="preserve"> </w:t>
      </w:r>
      <w:r w:rsidRPr="00E53D4A">
        <w:t xml:space="preserve">consider a broader range of risks that may escalate without intervention. </w:t>
      </w:r>
      <w:r>
        <w:t xml:space="preserve">Without clinical advice, police can feel </w:t>
      </w:r>
      <w:r w:rsidRPr="00E53D4A">
        <w:t xml:space="preserve">uncertain </w:t>
      </w:r>
      <w:r>
        <w:t xml:space="preserve">about </w:t>
      </w:r>
      <w:r w:rsidRPr="00E53D4A">
        <w:t>transport</w:t>
      </w:r>
      <w:r>
        <w:t>ing</w:t>
      </w:r>
      <w:r w:rsidRPr="00E53D4A">
        <w:t xml:space="preserve"> </w:t>
      </w:r>
      <w:r>
        <w:t>consumers</w:t>
      </w:r>
      <w:r w:rsidRPr="00E53D4A">
        <w:t xml:space="preserve"> who do not show obvious risks, resulting in potential delays or refusals even when urgent clinical treatment is needed. Such delays can be impractical, resource-intensive, and unsafe.</w:t>
      </w:r>
    </w:p>
    <w:p w14:paraId="46A78E9E" w14:textId="77777777" w:rsidR="00693D6F" w:rsidRPr="00D3169C" w:rsidRDefault="00693D6F" w:rsidP="00693D6F">
      <w:pPr>
        <w:pStyle w:val="Body"/>
        <w:rPr>
          <w:lang w:val="en-US"/>
        </w:rPr>
      </w:pPr>
      <w:r>
        <w:rPr>
          <w:lang w:val="en-US"/>
        </w:rPr>
        <w:t xml:space="preserve">Delays in transport can </w:t>
      </w:r>
      <w:r w:rsidRPr="244CA793">
        <w:rPr>
          <w:lang w:val="en-US"/>
        </w:rPr>
        <w:t xml:space="preserve">cause </w:t>
      </w:r>
      <w:r w:rsidRPr="173944C8">
        <w:rPr>
          <w:lang w:val="en-US"/>
        </w:rPr>
        <w:t xml:space="preserve">a </w:t>
      </w:r>
      <w:r w:rsidRPr="49F45593">
        <w:rPr>
          <w:lang w:val="en-US"/>
        </w:rPr>
        <w:t xml:space="preserve">delay to </w:t>
      </w:r>
      <w:r w:rsidRPr="5774725B">
        <w:rPr>
          <w:lang w:val="en-US"/>
        </w:rPr>
        <w:t xml:space="preserve">timely </w:t>
      </w:r>
      <w:r w:rsidRPr="6A0FE298">
        <w:rPr>
          <w:lang w:val="en-US"/>
        </w:rPr>
        <w:t xml:space="preserve">treatment, which can </w:t>
      </w:r>
      <w:r w:rsidRPr="202FBD46">
        <w:rPr>
          <w:lang w:val="en-US"/>
        </w:rPr>
        <w:t>have</w:t>
      </w:r>
      <w:r>
        <w:rPr>
          <w:lang w:val="en-US"/>
        </w:rPr>
        <w:t xml:space="preserve"> serious and wide-ranging consequences</w:t>
      </w:r>
      <w:r w:rsidRPr="34D8BF41">
        <w:rPr>
          <w:lang w:val="en-US"/>
        </w:rPr>
        <w:t>.</w:t>
      </w:r>
      <w:r>
        <w:rPr>
          <w:lang w:val="en-US"/>
        </w:rPr>
        <w:t xml:space="preserve"> These include:</w:t>
      </w:r>
    </w:p>
    <w:p w14:paraId="25171419" w14:textId="77777777" w:rsidR="00693D6F" w:rsidRPr="00EB0A8F" w:rsidRDefault="00693D6F" w:rsidP="00255094">
      <w:pPr>
        <w:pStyle w:val="Body"/>
        <w:numPr>
          <w:ilvl w:val="0"/>
          <w:numId w:val="7"/>
        </w:numPr>
        <w:rPr>
          <w:lang w:val="en-US"/>
        </w:rPr>
      </w:pPr>
      <w:r>
        <w:rPr>
          <w:lang w:val="en-US"/>
        </w:rPr>
        <w:t xml:space="preserve">Escalation of symptoms: Untreated mental illness can lead to rapid deterioration in the person’s mental state with heightened risk to self or </w:t>
      </w:r>
      <w:r w:rsidRPr="00EB0A8F">
        <w:rPr>
          <w:lang w:val="en-US"/>
        </w:rPr>
        <w:t xml:space="preserve">others </w:t>
      </w:r>
      <w:proofErr w:type="gramStart"/>
      <w:r w:rsidRPr="00EB0A8F">
        <w:rPr>
          <w:lang w:val="en-US"/>
        </w:rPr>
        <w:t xml:space="preserve">in </w:t>
      </w:r>
      <w:r>
        <w:rPr>
          <w:lang w:val="en-US"/>
        </w:rPr>
        <w:t xml:space="preserve">the </w:t>
      </w:r>
      <w:r w:rsidRPr="00EB0A8F">
        <w:rPr>
          <w:lang w:val="en-US"/>
        </w:rPr>
        <w:t>near future</w:t>
      </w:r>
      <w:proofErr w:type="gramEnd"/>
      <w:r w:rsidRPr="00EB0A8F">
        <w:rPr>
          <w:lang w:val="en-US"/>
        </w:rPr>
        <w:t>.</w:t>
      </w:r>
    </w:p>
    <w:p w14:paraId="016ACE9D" w14:textId="77777777" w:rsidR="00693D6F" w:rsidRDefault="00693D6F" w:rsidP="00255094">
      <w:pPr>
        <w:pStyle w:val="Body"/>
        <w:numPr>
          <w:ilvl w:val="0"/>
          <w:numId w:val="7"/>
        </w:numPr>
        <w:rPr>
          <w:lang w:val="en-US"/>
        </w:rPr>
      </w:pPr>
      <w:r>
        <w:rPr>
          <w:lang w:val="en-US"/>
        </w:rPr>
        <w:t>Prolonged recovery: Longer episodes of untreated illness often result in extended recovery times. The longer severe mental illness remains untreated, the greater the likelihood of developing severe, enduring, or permanent impairments, such as cognitive decline or persistent psychotic symptoms.</w:t>
      </w:r>
    </w:p>
    <w:p w14:paraId="7985141B" w14:textId="77777777" w:rsidR="00693D6F" w:rsidRPr="00EB0A8F" w:rsidRDefault="00693D6F" w:rsidP="00255094">
      <w:pPr>
        <w:pStyle w:val="Body"/>
        <w:numPr>
          <w:ilvl w:val="0"/>
          <w:numId w:val="7"/>
        </w:numPr>
        <w:rPr>
          <w:lang w:val="en-US"/>
        </w:rPr>
      </w:pPr>
      <w:r>
        <w:rPr>
          <w:lang w:val="en-US"/>
        </w:rPr>
        <w:t>Physical health decline: Delays may contribute to deterioration in physical health, including neglect of medical conditions</w:t>
      </w:r>
      <w:r w:rsidRPr="7100BBBA">
        <w:rPr>
          <w:lang w:val="en-US"/>
        </w:rPr>
        <w:t>,</w:t>
      </w:r>
      <w:r>
        <w:rPr>
          <w:lang w:val="en-US"/>
        </w:rPr>
        <w:t xml:space="preserve"> increased substance </w:t>
      </w:r>
      <w:proofErr w:type="gramStart"/>
      <w:r>
        <w:rPr>
          <w:lang w:val="en-US"/>
        </w:rPr>
        <w:t>use</w:t>
      </w:r>
      <w:proofErr w:type="gramEnd"/>
      <w:r w:rsidRPr="7100BBBA">
        <w:rPr>
          <w:lang w:val="en-US"/>
        </w:rPr>
        <w:t xml:space="preserve"> </w:t>
      </w:r>
      <w:r w:rsidRPr="00EB0A8F">
        <w:rPr>
          <w:lang w:val="en-US"/>
        </w:rPr>
        <w:t>or death due to escalating medical illness.</w:t>
      </w:r>
    </w:p>
    <w:p w14:paraId="01613D0F" w14:textId="77777777" w:rsidR="00693D6F" w:rsidRDefault="00693D6F" w:rsidP="00255094">
      <w:pPr>
        <w:pStyle w:val="Body"/>
        <w:numPr>
          <w:ilvl w:val="0"/>
          <w:numId w:val="7"/>
        </w:numPr>
        <w:rPr>
          <w:lang w:val="en-US"/>
        </w:rPr>
      </w:pPr>
      <w:r>
        <w:rPr>
          <w:lang w:val="en-US"/>
        </w:rPr>
        <w:t>Social and economic impacts</w:t>
      </w:r>
      <w:r w:rsidRPr="11F8E624">
        <w:rPr>
          <w:lang w:val="en-US"/>
        </w:rPr>
        <w:t xml:space="preserve"> </w:t>
      </w:r>
      <w:r w:rsidRPr="7A6152D8">
        <w:rPr>
          <w:lang w:val="en-US"/>
        </w:rPr>
        <w:t xml:space="preserve">determined </w:t>
      </w:r>
      <w:r w:rsidRPr="19BB2FE9">
        <w:rPr>
          <w:lang w:val="en-US"/>
        </w:rPr>
        <w:t xml:space="preserve">by </w:t>
      </w:r>
      <w:r>
        <w:rPr>
          <w:lang w:val="en-US"/>
        </w:rPr>
        <w:t>clinical</w:t>
      </w:r>
      <w:r w:rsidRPr="19BB2FE9">
        <w:rPr>
          <w:lang w:val="en-US"/>
        </w:rPr>
        <w:t xml:space="preserve"> </w:t>
      </w:r>
      <w:r w:rsidRPr="6DEAD2F8">
        <w:rPr>
          <w:lang w:val="en-US"/>
        </w:rPr>
        <w:t>risk assessment</w:t>
      </w:r>
      <w:r w:rsidRPr="3A36FDBD">
        <w:rPr>
          <w:lang w:val="en-US"/>
        </w:rPr>
        <w:t xml:space="preserve">. </w:t>
      </w:r>
    </w:p>
    <w:p w14:paraId="0A702106" w14:textId="77777777" w:rsidR="00693D6F" w:rsidRDefault="00693D6F" w:rsidP="00255094">
      <w:pPr>
        <w:pStyle w:val="Body"/>
        <w:numPr>
          <w:ilvl w:val="0"/>
          <w:numId w:val="7"/>
        </w:numPr>
        <w:rPr>
          <w:lang w:val="en-US"/>
        </w:rPr>
      </w:pPr>
      <w:r>
        <w:rPr>
          <w:lang w:val="en-US"/>
        </w:rPr>
        <w:t>Elevated risk: The overall risk to the individual and others is often heightened, potentially leading to preventable harm and a serious adverse event.</w:t>
      </w:r>
    </w:p>
    <w:p w14:paraId="0AAF9BFB" w14:textId="77777777" w:rsidR="00693D6F" w:rsidRPr="001B3D96" w:rsidRDefault="00693D6F" w:rsidP="00F059D9">
      <w:pPr>
        <w:pStyle w:val="Heading3"/>
        <w:rPr>
          <w:lang w:val="en-US"/>
        </w:rPr>
      </w:pPr>
      <w:bookmarkStart w:id="15" w:name="_Toc218592736"/>
      <w:bookmarkStart w:id="16" w:name="_Toc218697123"/>
      <w:r w:rsidRPr="001B3D96">
        <w:rPr>
          <w:lang w:val="en-US"/>
        </w:rPr>
        <w:t>Your role</w:t>
      </w:r>
      <w:bookmarkEnd w:id="15"/>
      <w:bookmarkEnd w:id="16"/>
    </w:p>
    <w:p w14:paraId="0DFF9F07" w14:textId="77777777" w:rsidR="00693D6F" w:rsidRDefault="00693D6F" w:rsidP="00255094">
      <w:pPr>
        <w:pStyle w:val="Body"/>
        <w:numPr>
          <w:ilvl w:val="0"/>
          <w:numId w:val="17"/>
        </w:numPr>
      </w:pPr>
      <w:r w:rsidRPr="00991371">
        <w:t>Explain, in lay terms, the consequences of delay: why timely transport prevents deterioration and reduces risks</w:t>
      </w:r>
      <w:r>
        <w:t>,</w:t>
      </w:r>
      <w:r w:rsidRPr="00991371">
        <w:t xml:space="preserve"> what has been tried</w:t>
      </w:r>
      <w:r>
        <w:t>,</w:t>
      </w:r>
      <w:r w:rsidRPr="00991371">
        <w:t xml:space="preserve"> and why inpatient assessment</w:t>
      </w:r>
      <w:r>
        <w:t xml:space="preserve"> and </w:t>
      </w:r>
      <w:r w:rsidRPr="00991371">
        <w:t>treatment is now the least restrictive option.</w:t>
      </w:r>
      <w:r w:rsidRPr="00401245">
        <w:t> </w:t>
      </w:r>
    </w:p>
    <w:p w14:paraId="2284792B" w14:textId="77777777" w:rsidR="00693D6F" w:rsidRDefault="00693D6F" w:rsidP="00693D6F">
      <w:pPr>
        <w:pStyle w:val="Body"/>
        <w:ind w:left="720"/>
      </w:pPr>
    </w:p>
    <w:p w14:paraId="4F29297E" w14:textId="7CE15381" w:rsidR="00693D6F" w:rsidRPr="000048AE" w:rsidRDefault="005E4A38" w:rsidP="00BD666B">
      <w:pPr>
        <w:pStyle w:val="Heading2"/>
      </w:pPr>
      <w:bookmarkStart w:id="17" w:name="_Toc218697124"/>
      <w:r>
        <w:t>8</w:t>
      </w:r>
      <w:r w:rsidR="00693D6F" w:rsidRPr="000048AE">
        <w:t>. Use of bodily restraint</w:t>
      </w:r>
      <w:bookmarkEnd w:id="17"/>
    </w:p>
    <w:p w14:paraId="7929B82D" w14:textId="77777777" w:rsidR="00693D6F" w:rsidRPr="002C10A0" w:rsidRDefault="00693D6F" w:rsidP="00693D6F">
      <w:pPr>
        <w:pStyle w:val="Body"/>
        <w:rPr>
          <w:rFonts w:cs="Arial"/>
        </w:rPr>
      </w:pPr>
      <w:r w:rsidRPr="002C10A0">
        <w:rPr>
          <w:rFonts w:cs="Arial"/>
        </w:rPr>
        <w:t>An authorised person may use bodily restraint only after</w:t>
      </w:r>
      <w:r w:rsidRPr="002C10A0">
        <w:rPr>
          <w:rFonts w:cs="Arial"/>
          <w:b/>
          <w:bCs/>
        </w:rPr>
        <w:t xml:space="preserve"> </w:t>
      </w:r>
      <w:r w:rsidRPr="002C10A0">
        <w:rPr>
          <w:rFonts w:cs="Arial"/>
        </w:rPr>
        <w:t>all reasonable and less</w:t>
      </w:r>
      <w:r w:rsidRPr="002C10A0">
        <w:rPr>
          <w:rFonts w:ascii="Cambria Math" w:hAnsi="Cambria Math" w:cs="Cambria Math"/>
        </w:rPr>
        <w:t>‑</w:t>
      </w:r>
      <w:r w:rsidRPr="002C10A0">
        <w:rPr>
          <w:rFonts w:cs="Arial"/>
        </w:rPr>
        <w:t>restrictive options have</w:t>
      </w:r>
      <w:r w:rsidRPr="002C10A0">
        <w:rPr>
          <w:rFonts w:cs="Arial"/>
          <w:b/>
          <w:bCs/>
        </w:rPr>
        <w:t xml:space="preserve"> been tried or considered</w:t>
      </w:r>
      <w:r w:rsidRPr="002C10A0">
        <w:rPr>
          <w:rFonts w:cs="Arial"/>
        </w:rPr>
        <w:t xml:space="preserve"> </w:t>
      </w:r>
      <w:r w:rsidRPr="002C10A0">
        <w:rPr>
          <w:rFonts w:cs="Arial"/>
          <w:b/>
          <w:bCs/>
        </w:rPr>
        <w:t>and found unsuitable</w:t>
      </w:r>
      <w:r w:rsidRPr="002C10A0">
        <w:rPr>
          <w:rFonts w:cs="Arial"/>
        </w:rPr>
        <w:t xml:space="preserve">, and where restraint is </w:t>
      </w:r>
      <w:r w:rsidRPr="002C10A0">
        <w:rPr>
          <w:rFonts w:cs="Arial"/>
          <w:b/>
          <w:bCs/>
        </w:rPr>
        <w:t>necessary to prevent imminent and serious harm</w:t>
      </w:r>
      <w:r w:rsidRPr="002C10A0">
        <w:rPr>
          <w:rFonts w:cs="Arial"/>
        </w:rPr>
        <w:t xml:space="preserve"> to the person or another person. </w:t>
      </w:r>
    </w:p>
    <w:p w14:paraId="508B7FFF" w14:textId="77777777" w:rsidR="00693D6F" w:rsidRPr="002C10A0" w:rsidRDefault="00693D6F" w:rsidP="00693D6F">
      <w:pPr>
        <w:pStyle w:val="Body"/>
        <w:rPr>
          <w:rFonts w:cs="Arial"/>
        </w:rPr>
      </w:pPr>
      <w:r w:rsidRPr="002C10A0">
        <w:rPr>
          <w:rFonts w:cs="Arial"/>
        </w:rPr>
        <w:t xml:space="preserve">This threshold applies during transport both for a person on an order, and for a person taken into care and control due to a mental health crisis. </w:t>
      </w:r>
    </w:p>
    <w:p w14:paraId="12BA37F9" w14:textId="77777777" w:rsidR="00693D6F" w:rsidRDefault="00693D6F" w:rsidP="00F059D9">
      <w:pPr>
        <w:pStyle w:val="Heading3"/>
      </w:pPr>
      <w:bookmarkStart w:id="18" w:name="_Toc218592738"/>
      <w:bookmarkStart w:id="19" w:name="_Toc218697125"/>
      <w:r w:rsidRPr="0047798E">
        <w:t>Your role</w:t>
      </w:r>
      <w:bookmarkEnd w:id="18"/>
      <w:bookmarkEnd w:id="19"/>
      <w:r w:rsidRPr="0047798E">
        <w:t xml:space="preserve"> </w:t>
      </w:r>
    </w:p>
    <w:p w14:paraId="0D02193C" w14:textId="77777777" w:rsidR="00693D6F" w:rsidRPr="009B48A4" w:rsidRDefault="00693D6F" w:rsidP="00255094">
      <w:pPr>
        <w:pStyle w:val="ListParagraph"/>
        <w:numPr>
          <w:ilvl w:val="0"/>
          <w:numId w:val="16"/>
        </w:numPr>
        <w:contextualSpacing w:val="0"/>
        <w:jc w:val="both"/>
        <w:rPr>
          <w:szCs w:val="21"/>
        </w:rPr>
      </w:pPr>
      <w:r w:rsidRPr="009B48A4">
        <w:rPr>
          <w:szCs w:val="21"/>
        </w:rPr>
        <w:t xml:space="preserve">If concerns arise about restraint thresholds, explain the Act’s requirements and the clinical basis for </w:t>
      </w:r>
      <w:r w:rsidRPr="0016457B">
        <w:rPr>
          <w:b/>
          <w:bCs/>
          <w:szCs w:val="21"/>
        </w:rPr>
        <w:t>imminent and serious harm</w:t>
      </w:r>
      <w:r w:rsidRPr="009B48A4">
        <w:rPr>
          <w:szCs w:val="21"/>
        </w:rPr>
        <w:t>.</w:t>
      </w:r>
    </w:p>
    <w:p w14:paraId="248EDB1B" w14:textId="77777777" w:rsidR="00693D6F" w:rsidRPr="009B48A4" w:rsidRDefault="00693D6F" w:rsidP="00255094">
      <w:pPr>
        <w:pStyle w:val="ListParagraph"/>
        <w:numPr>
          <w:ilvl w:val="0"/>
          <w:numId w:val="16"/>
        </w:numPr>
        <w:contextualSpacing w:val="0"/>
        <w:jc w:val="both"/>
        <w:rPr>
          <w:szCs w:val="21"/>
        </w:rPr>
      </w:pPr>
      <w:r w:rsidRPr="009B48A4">
        <w:rPr>
          <w:szCs w:val="21"/>
        </w:rPr>
        <w:t>Clarify the distinction between criteria for restraint and criteria for inpatient orders, and that restraint may be necessary to safely effect transport when risks are imminent (as clinically determined).</w:t>
      </w:r>
    </w:p>
    <w:p w14:paraId="17785927" w14:textId="77777777" w:rsidR="00693D6F" w:rsidRDefault="00693D6F" w:rsidP="00693D6F">
      <w:pPr>
        <w:pStyle w:val="Body"/>
        <w:rPr>
          <w:b/>
          <w:bCs/>
        </w:rPr>
      </w:pPr>
      <w:r w:rsidRPr="008E5789">
        <w:rPr>
          <w:b/>
          <w:bCs/>
        </w:rPr>
        <w:lastRenderedPageBreak/>
        <w:t>Note: The Act gives immunity to authorised persons exercising their powers under the Act for anything done or omitted to be done in good faith.</w:t>
      </w:r>
    </w:p>
    <w:p w14:paraId="7F00E570" w14:textId="77777777" w:rsidR="00693D6F" w:rsidRPr="008E5789" w:rsidRDefault="00693D6F" w:rsidP="00693D6F">
      <w:pPr>
        <w:pStyle w:val="Body"/>
        <w:rPr>
          <w:b/>
          <w:bCs/>
        </w:rPr>
      </w:pPr>
    </w:p>
    <w:tbl>
      <w:tblPr>
        <w:tblStyle w:val="TableGrid"/>
        <w:tblW w:w="0" w:type="auto"/>
        <w:tblLook w:val="04A0" w:firstRow="1" w:lastRow="0" w:firstColumn="1" w:lastColumn="0" w:noHBand="0" w:noVBand="1"/>
      </w:tblPr>
      <w:tblGrid>
        <w:gridCol w:w="10194"/>
      </w:tblGrid>
      <w:tr w:rsidR="00693D6F" w14:paraId="1BC41981" w14:textId="77777777" w:rsidTr="002F3031">
        <w:trPr>
          <w:trHeight w:val="1691"/>
        </w:trPr>
        <w:tc>
          <w:tcPr>
            <w:tcW w:w="10194" w:type="dxa"/>
            <w:shd w:val="clear" w:color="auto" w:fill="FFEFF7"/>
          </w:tcPr>
          <w:p w14:paraId="606EE356" w14:textId="77777777" w:rsidR="00693D6F" w:rsidRPr="007445ED" w:rsidRDefault="00693D6F" w:rsidP="00A7488D">
            <w:pPr>
              <w:pStyle w:val="Heading2"/>
            </w:pPr>
            <w:bookmarkStart w:id="20" w:name="_Toc218697126"/>
            <w:r>
              <w:t>Summary: F</w:t>
            </w:r>
            <w:r w:rsidRPr="007445ED">
              <w:t xml:space="preserve">actors </w:t>
            </w:r>
            <w:r>
              <w:t>s</w:t>
            </w:r>
            <w:r w:rsidRPr="007445ED">
              <w:t xml:space="preserve">upporting </w:t>
            </w:r>
            <w:r>
              <w:t>s</w:t>
            </w:r>
            <w:r w:rsidRPr="007445ED">
              <w:t xml:space="preserve">afe and </w:t>
            </w:r>
            <w:r>
              <w:t>l</w:t>
            </w:r>
            <w:r w:rsidRPr="007445ED">
              <w:t xml:space="preserve">east </w:t>
            </w:r>
            <w:r>
              <w:t>r</w:t>
            </w:r>
            <w:r w:rsidRPr="007445ED">
              <w:t xml:space="preserve">estrictive </w:t>
            </w:r>
            <w:r>
              <w:t>t</w:t>
            </w:r>
            <w:r w:rsidRPr="007445ED">
              <w:t>ransport</w:t>
            </w:r>
            <w:bookmarkEnd w:id="20"/>
          </w:p>
          <w:p w14:paraId="19143894" w14:textId="77777777" w:rsidR="00693D6F" w:rsidRPr="00BB1592" w:rsidRDefault="00693D6F" w:rsidP="00255094">
            <w:pPr>
              <w:pStyle w:val="Body"/>
              <w:numPr>
                <w:ilvl w:val="0"/>
                <w:numId w:val="8"/>
              </w:numPr>
              <w:ind w:left="452"/>
            </w:pPr>
            <w:r w:rsidRPr="00BB1592">
              <w:t xml:space="preserve">Effective communication </w:t>
            </w:r>
            <w:r>
              <w:t>with</w:t>
            </w:r>
            <w:r w:rsidRPr="00BB1592">
              <w:t xml:space="preserve"> all emergency responders; using clear and commonly understood language to describe risks and the consequences of not transporting.</w:t>
            </w:r>
          </w:p>
          <w:p w14:paraId="37CB538B" w14:textId="77777777" w:rsidR="00693D6F" w:rsidRDefault="00693D6F" w:rsidP="00255094">
            <w:pPr>
              <w:pStyle w:val="Body"/>
              <w:numPr>
                <w:ilvl w:val="0"/>
                <w:numId w:val="8"/>
              </w:numPr>
              <w:ind w:left="452"/>
            </w:pPr>
            <w:r w:rsidRPr="00BB1592">
              <w:t>Clinicians attending in person whenever possible</w:t>
            </w:r>
            <w:r>
              <w:t xml:space="preserve">, if delayed or not possible clear communication helps all agencies plan a response based on risks and available resources. </w:t>
            </w:r>
          </w:p>
          <w:p w14:paraId="0E50C3CE" w14:textId="77777777" w:rsidR="00693D6F" w:rsidRDefault="00693D6F" w:rsidP="00255094">
            <w:pPr>
              <w:pStyle w:val="Body"/>
              <w:numPr>
                <w:ilvl w:val="0"/>
                <w:numId w:val="8"/>
              </w:numPr>
              <w:ind w:left="452"/>
            </w:pPr>
            <w:r>
              <w:t xml:space="preserve">Involving the person’s family, carer or supporter whenever possible and taking proper consideration of their views and preferences. </w:t>
            </w:r>
          </w:p>
          <w:p w14:paraId="4B74742D" w14:textId="77777777" w:rsidR="00693D6F" w:rsidRDefault="00693D6F" w:rsidP="00255094">
            <w:pPr>
              <w:pStyle w:val="Body"/>
              <w:numPr>
                <w:ilvl w:val="0"/>
                <w:numId w:val="8"/>
              </w:numPr>
              <w:ind w:left="452"/>
            </w:pPr>
            <w:r w:rsidRPr="00BB1592">
              <w:t xml:space="preserve">Completion of </w:t>
            </w:r>
            <w:hyperlink r:id="rId15" w:history="1">
              <w:r w:rsidRPr="00E53979">
                <w:rPr>
                  <w:rStyle w:val="Hyperlink"/>
                </w:rPr>
                <w:t>Mental Health and Wellbeing Act 2022 forms (MHWA forms)</w:t>
              </w:r>
            </w:hyperlink>
            <w:r>
              <w:t xml:space="preserve"> &lt;</w:t>
            </w:r>
            <w:r w:rsidRPr="00D265F2">
              <w:t>https://www.health.vic.gov.au/mental-health-and-wellbeing-act-handbook/forms</w:t>
            </w:r>
            <w:r>
              <w:t xml:space="preserve">&gt; </w:t>
            </w:r>
            <w:r w:rsidRPr="00BB1592">
              <w:t>to a high standard to assist communication of the need for transport.</w:t>
            </w:r>
            <w:r>
              <w:t xml:space="preserve"> </w:t>
            </w:r>
            <w:r w:rsidRPr="00BB1592">
              <w:t xml:space="preserve">This includes legal forms such as Assessment Orders and Treatment Orders, and administrative forms designed to assist authorised persons to safely transport to hospital including the </w:t>
            </w:r>
            <w:r w:rsidRPr="00BB1592">
              <w:rPr>
                <w:i/>
                <w:iCs/>
              </w:rPr>
              <w:t>MHWA 124 Taking care and control of patient without leave</w:t>
            </w:r>
            <w:r w:rsidRPr="00BB1592">
              <w:t xml:space="preserve"> and </w:t>
            </w:r>
            <w:r w:rsidRPr="00BB1592">
              <w:rPr>
                <w:i/>
                <w:iCs/>
              </w:rPr>
              <w:t>MHWA 12</w:t>
            </w:r>
            <w:r>
              <w:rPr>
                <w:i/>
                <w:iCs/>
              </w:rPr>
              <w:t>6</w:t>
            </w:r>
            <w:r w:rsidRPr="00BB1592">
              <w:rPr>
                <w:i/>
                <w:iCs/>
              </w:rPr>
              <w:t xml:space="preserve"> Taking care and control of a patient on a varied order MHWA</w:t>
            </w:r>
            <w:r>
              <w:t xml:space="preserve">. Please note that administrative forms are not legal documents but serve as tools to facilitate the transport process. </w:t>
            </w:r>
          </w:p>
          <w:p w14:paraId="4D99C0FB" w14:textId="77777777" w:rsidR="00693D6F" w:rsidRDefault="00693D6F" w:rsidP="00255094">
            <w:pPr>
              <w:pStyle w:val="Body"/>
              <w:numPr>
                <w:ilvl w:val="0"/>
                <w:numId w:val="9"/>
              </w:numPr>
              <w:ind w:left="452"/>
            </w:pPr>
            <w:r>
              <w:t xml:space="preserve">It is preferable but not always possible, or legally required, for the person to be taken to the DMHS specified on the order. When this occurs the authorised person providing transport needs to assess what is in the best interests of the person, including considering health advice. </w:t>
            </w:r>
          </w:p>
          <w:p w14:paraId="1E8D46D6" w14:textId="77777777" w:rsidR="00693D6F" w:rsidRDefault="00693D6F" w:rsidP="00255094">
            <w:pPr>
              <w:pStyle w:val="Body"/>
              <w:numPr>
                <w:ilvl w:val="0"/>
                <w:numId w:val="9"/>
              </w:numPr>
              <w:ind w:left="452"/>
            </w:pPr>
            <w:r>
              <w:t>Clear escalation pathways for resolving local issues for all agencies. Mental health clinicians should escalate through their clinical governance structure up to the Authorised Psychiatrists, who can in turn escalate to the Office of the Chief Psychiatrist. Paramedics and police have their own escalation pathways.</w:t>
            </w:r>
          </w:p>
          <w:p w14:paraId="2CE33791" w14:textId="77777777" w:rsidR="00693D6F" w:rsidRPr="00CF5FA3" w:rsidRDefault="00693D6F" w:rsidP="00255094">
            <w:pPr>
              <w:pStyle w:val="Body"/>
              <w:numPr>
                <w:ilvl w:val="0"/>
                <w:numId w:val="9"/>
              </w:numPr>
              <w:ind w:left="452"/>
            </w:pPr>
            <w:r w:rsidRPr="00CF5FA3">
              <w:t xml:space="preserve">Regular participation in local Emergency Services Liaison Committees for collaborative and consistent responses and to resolve local issues.  </w:t>
            </w:r>
          </w:p>
          <w:p w14:paraId="23D77584" w14:textId="77777777" w:rsidR="00693D6F" w:rsidRDefault="00693D6F" w:rsidP="00255094">
            <w:pPr>
              <w:pStyle w:val="Body"/>
              <w:numPr>
                <w:ilvl w:val="0"/>
                <w:numId w:val="9"/>
              </w:numPr>
              <w:ind w:left="452"/>
            </w:pPr>
            <w:r>
              <w:t>Escalation to the Statewide Emergency Services Liaison Committee for issues that cannot be resolved locally or issues that are relevant across regions or statewide.</w:t>
            </w:r>
          </w:p>
        </w:tc>
      </w:tr>
    </w:tbl>
    <w:p w14:paraId="4D132774" w14:textId="77777777" w:rsidR="00693D6F" w:rsidRDefault="00693D6F" w:rsidP="00693D6F">
      <w:pPr>
        <w:pStyle w:val="Body"/>
        <w:rPr>
          <w:color w:val="C63663"/>
          <w:sz w:val="28"/>
          <w:szCs w:val="28"/>
          <w:lang w:val="en-US"/>
        </w:rPr>
      </w:pPr>
    </w:p>
    <w:p w14:paraId="72DD72D1" w14:textId="77777777" w:rsidR="00693D6F" w:rsidRDefault="00693D6F" w:rsidP="00693D6F">
      <w:pPr>
        <w:spacing w:after="160" w:line="259" w:lineRule="auto"/>
        <w:rPr>
          <w:rFonts w:eastAsia="Times"/>
          <w:color w:val="C63663"/>
          <w:sz w:val="28"/>
          <w:szCs w:val="28"/>
          <w:lang w:val="en-US"/>
        </w:rPr>
      </w:pPr>
      <w:r>
        <w:rPr>
          <w:color w:val="C63663"/>
          <w:sz w:val="28"/>
          <w:szCs w:val="28"/>
          <w:lang w:val="en-US"/>
        </w:rPr>
        <w:br w:type="page"/>
      </w:r>
    </w:p>
    <w:p w14:paraId="348AA86C" w14:textId="1538F9F6" w:rsidR="00693D6F" w:rsidRPr="00174593" w:rsidRDefault="005E4A38" w:rsidP="00467D7A">
      <w:pPr>
        <w:pStyle w:val="Heading2"/>
      </w:pPr>
      <w:bookmarkStart w:id="21" w:name="_Toc218697127"/>
      <w:r w:rsidRPr="00174593">
        <w:rPr>
          <w:lang w:val="en-US"/>
        </w:rPr>
        <w:lastRenderedPageBreak/>
        <w:t>9</w:t>
      </w:r>
      <w:r w:rsidR="00693D6F" w:rsidRPr="00174593">
        <w:rPr>
          <w:lang w:val="en-US"/>
        </w:rPr>
        <w:t>. References</w:t>
      </w:r>
      <w:bookmarkEnd w:id="21"/>
    </w:p>
    <w:p w14:paraId="466C11AC" w14:textId="77777777" w:rsidR="00693D6F" w:rsidRPr="004E3699" w:rsidRDefault="00693D6F" w:rsidP="00693D6F">
      <w:pPr>
        <w:pStyle w:val="Body"/>
        <w:rPr>
          <w:sz w:val="18"/>
          <w:szCs w:val="18"/>
        </w:rPr>
      </w:pPr>
      <w:r w:rsidRPr="00480F28">
        <w:rPr>
          <w:i/>
          <w:iCs/>
          <w:sz w:val="18"/>
          <w:szCs w:val="18"/>
          <w:lang w:val="en-US"/>
        </w:rPr>
        <w:t>Mental Health and Wellbeing Act 2022</w:t>
      </w:r>
      <w:r>
        <w:rPr>
          <w:i/>
          <w:iCs/>
          <w:sz w:val="18"/>
          <w:szCs w:val="18"/>
          <w:lang w:val="en-US"/>
        </w:rPr>
        <w:t xml:space="preserve"> </w:t>
      </w:r>
      <w:r w:rsidRPr="004E3699">
        <w:rPr>
          <w:sz w:val="18"/>
          <w:szCs w:val="18"/>
        </w:rPr>
        <w:t> </w:t>
      </w:r>
      <w:hyperlink r:id="rId16" w:history="1">
        <w:r w:rsidRPr="00001685">
          <w:rPr>
            <w:rStyle w:val="Hyperlink"/>
            <w:sz w:val="18"/>
            <w:szCs w:val="18"/>
          </w:rPr>
          <w:t>&lt;https://www.legislation.vic.gov.au/in-force/acts/mental-health-and-wellbeing-act-2022/001&gt;</w:t>
        </w:r>
      </w:hyperlink>
    </w:p>
    <w:p w14:paraId="3AEED68A" w14:textId="77777777" w:rsidR="00693D6F" w:rsidRDefault="00693D6F" w:rsidP="00693D6F">
      <w:pPr>
        <w:pStyle w:val="Body"/>
        <w:rPr>
          <w:sz w:val="18"/>
          <w:szCs w:val="18"/>
        </w:rPr>
      </w:pPr>
      <w:r w:rsidRPr="00FB3F8D">
        <w:rPr>
          <w:i/>
          <w:iCs/>
          <w:sz w:val="18"/>
          <w:szCs w:val="18"/>
        </w:rPr>
        <w:t>Mental Health and Wellbeing Act 2022</w:t>
      </w:r>
      <w:r w:rsidRPr="004C14A9">
        <w:rPr>
          <w:sz w:val="18"/>
          <w:szCs w:val="18"/>
        </w:rPr>
        <w:t xml:space="preserve"> forms</w:t>
      </w:r>
      <w:r w:rsidRPr="004E3699">
        <w:rPr>
          <w:sz w:val="18"/>
          <w:szCs w:val="18"/>
        </w:rPr>
        <w:t xml:space="preserve"> &lt;</w:t>
      </w:r>
      <w:hyperlink r:id="rId17" w:history="1">
        <w:r w:rsidRPr="004E3699">
          <w:rPr>
            <w:rStyle w:val="Hyperlink"/>
            <w:sz w:val="18"/>
            <w:szCs w:val="18"/>
          </w:rPr>
          <w:t>https://www.health.vic.gov.au/mental-health-and-wellbeing-act-handbook/forms</w:t>
        </w:r>
      </w:hyperlink>
      <w:r w:rsidRPr="004E3699">
        <w:rPr>
          <w:sz w:val="18"/>
          <w:szCs w:val="18"/>
        </w:rPr>
        <w:t>&gt;</w:t>
      </w:r>
    </w:p>
    <w:p w14:paraId="77A94AEA" w14:textId="77777777" w:rsidR="00693D6F" w:rsidRDefault="00693D6F" w:rsidP="00693D6F">
      <w:pPr>
        <w:pStyle w:val="Body"/>
      </w:pPr>
      <w:r w:rsidRPr="00AB23CE">
        <w:rPr>
          <w:sz w:val="18"/>
          <w:szCs w:val="18"/>
          <w:lang w:val="en-US"/>
        </w:rPr>
        <w:t>White Paper: On the principles of mental health risk assessment</w:t>
      </w:r>
      <w:r>
        <w:rPr>
          <w:sz w:val="18"/>
          <w:szCs w:val="18"/>
          <w:lang w:val="en-US"/>
        </w:rPr>
        <w:t xml:space="preserve"> </w:t>
      </w:r>
      <w:r w:rsidRPr="004E3699">
        <w:rPr>
          <w:i/>
          <w:iCs/>
          <w:sz w:val="18"/>
          <w:szCs w:val="18"/>
          <w:lang w:val="en-US"/>
        </w:rPr>
        <w:t xml:space="preserve"> &lt;</w:t>
      </w:r>
      <w:hyperlink r:id="rId18">
        <w:r w:rsidRPr="004E3699">
          <w:rPr>
            <w:rStyle w:val="Hyperlink"/>
            <w:i/>
            <w:iCs/>
            <w:sz w:val="18"/>
            <w:szCs w:val="18"/>
            <w:lang w:val="en-US"/>
          </w:rPr>
          <w:t>https://www.health.vic.gov.au/chief-psychiatrist/chief-psychiatrist-guidelines&gt;</w:t>
        </w:r>
      </w:hyperlink>
    </w:p>
    <w:p w14:paraId="34ABEA98" w14:textId="676762B2" w:rsidR="00693D6F" w:rsidRPr="004E3699" w:rsidRDefault="00693D6F" w:rsidP="00693D6F">
      <w:pPr>
        <w:spacing w:after="160" w:line="259" w:lineRule="auto"/>
        <w:rPr>
          <w:rFonts w:eastAsia="Times"/>
          <w:sz w:val="18"/>
          <w:szCs w:val="18"/>
        </w:rPr>
      </w:pPr>
    </w:p>
    <w:p w14:paraId="42539F29" w14:textId="77777777" w:rsidR="00693D6F" w:rsidRDefault="00693D6F" w:rsidP="00693D6F">
      <w:pPr>
        <w:pStyle w:val="Body"/>
        <w:rPr>
          <w:sz w:val="18"/>
          <w:szCs w:val="18"/>
        </w:rPr>
      </w:pPr>
    </w:p>
    <w:p w14:paraId="1D0DCED9" w14:textId="77777777" w:rsidR="00693D6F" w:rsidRDefault="00693D6F" w:rsidP="00693D6F">
      <w:pPr>
        <w:pStyle w:val="Body"/>
        <w:rPr>
          <w:sz w:val="18"/>
          <w:szCs w:val="18"/>
        </w:rPr>
      </w:pPr>
    </w:p>
    <w:p w14:paraId="35C52456" w14:textId="77777777" w:rsidR="00693D6F" w:rsidRDefault="00693D6F" w:rsidP="00693D6F">
      <w:pPr>
        <w:pStyle w:val="Body"/>
        <w:rPr>
          <w:sz w:val="18"/>
          <w:szCs w:val="18"/>
        </w:rPr>
      </w:pPr>
    </w:p>
    <w:tbl>
      <w:tblPr>
        <w:tblStyle w:val="TableGrid"/>
        <w:tblW w:w="0" w:type="auto"/>
        <w:tblCellMar>
          <w:bottom w:w="108" w:type="dxa"/>
        </w:tblCellMar>
        <w:tblLook w:val="0600" w:firstRow="0" w:lastRow="0" w:firstColumn="0" w:lastColumn="0" w:noHBand="1" w:noVBand="1"/>
      </w:tblPr>
      <w:tblGrid>
        <w:gridCol w:w="10194"/>
      </w:tblGrid>
      <w:tr w:rsidR="00693D6F" w14:paraId="44914B5F" w14:textId="77777777" w:rsidTr="002F3031">
        <w:tc>
          <w:tcPr>
            <w:tcW w:w="10194" w:type="dxa"/>
          </w:tcPr>
          <w:p w14:paraId="670FD859" w14:textId="77777777" w:rsidR="00693D6F" w:rsidRPr="0055119B" w:rsidRDefault="00693D6F" w:rsidP="002F3031">
            <w:pPr>
              <w:pStyle w:val="Accessibilitypara"/>
            </w:pPr>
            <w:bookmarkStart w:id="22" w:name="_Hlk37240926"/>
            <w:r w:rsidRPr="0055119B">
              <w:t>To receive this document in another format</w:t>
            </w:r>
            <w:r>
              <w:t>,</w:t>
            </w:r>
            <w:r w:rsidRPr="0055119B">
              <w:t xml:space="preserve"> phone </w:t>
            </w:r>
            <w:r>
              <w:t>1300 767 299</w:t>
            </w:r>
            <w:r w:rsidRPr="0055119B">
              <w:t>, using the National Relay Service 13 36 77 if required, or email</w:t>
            </w:r>
            <w:r>
              <w:t xml:space="preserve"> </w:t>
            </w:r>
            <w:hyperlink>
              <w:r w:rsidRPr="12EDD411">
                <w:rPr>
                  <w:rStyle w:val="Hyperlink"/>
                </w:rPr>
                <w:t>the Office of the Chief Psychiatrist</w:t>
              </w:r>
            </w:hyperlink>
            <w:r>
              <w:t xml:space="preserve"> &lt;ocp@health.vic.gov.au&gt;.</w:t>
            </w:r>
          </w:p>
          <w:p w14:paraId="65EBB7C1" w14:textId="77777777" w:rsidR="00693D6F" w:rsidRPr="0055119B" w:rsidRDefault="00693D6F" w:rsidP="002F3031">
            <w:pPr>
              <w:pStyle w:val="Imprint"/>
            </w:pPr>
            <w:r w:rsidRPr="0055119B">
              <w:t>Authorised and published by the Victorian Government, 1 Treasury Place, Melbourne.</w:t>
            </w:r>
          </w:p>
          <w:p w14:paraId="1EF556C2" w14:textId="77777777" w:rsidR="00693D6F" w:rsidRPr="0055119B" w:rsidRDefault="00693D6F" w:rsidP="002F3031">
            <w:pPr>
              <w:pStyle w:val="Imprint"/>
            </w:pPr>
            <w:r>
              <w:t>© State of Victoria, Australia, Department of Health, December 2025.</w:t>
            </w:r>
          </w:p>
          <w:p w14:paraId="450E1CAE" w14:textId="77777777" w:rsidR="00693D6F" w:rsidRPr="0055119B" w:rsidRDefault="00693D6F" w:rsidP="002F3031">
            <w:pPr>
              <w:pStyle w:val="Imprint"/>
            </w:pPr>
            <w:r w:rsidRPr="000D52D0">
              <w:t>ISBN 978-1-76131-</w:t>
            </w:r>
            <w:r w:rsidRPr="00176437">
              <w:t>954-9 (pdf/</w:t>
            </w:r>
            <w:r w:rsidRPr="0055119B">
              <w:t>online/</w:t>
            </w:r>
            <w:r w:rsidRPr="00176437">
              <w:t>MS word</w:t>
            </w:r>
            <w:r w:rsidRPr="0055119B">
              <w:t>)</w:t>
            </w:r>
          </w:p>
          <w:p w14:paraId="496F0EA2" w14:textId="77777777" w:rsidR="00693D6F" w:rsidRDefault="00693D6F" w:rsidP="002F3031">
            <w:pPr>
              <w:pStyle w:val="Imprint"/>
              <w:rPr>
                <w:highlight w:val="yellow"/>
              </w:rPr>
            </w:pPr>
            <w:r>
              <w:t xml:space="preserve">Available at </w:t>
            </w:r>
            <w:hyperlink r:id="rId19">
              <w:r w:rsidRPr="1681C8B8">
                <w:rPr>
                  <w:rStyle w:val="Hyperlink"/>
                </w:rPr>
                <w:t>Chief Psychiatrist guidelines</w:t>
              </w:r>
            </w:hyperlink>
            <w:r>
              <w:t xml:space="preserve"> &lt;https://www.health.vic.gov.au/chief-psychiatrist/chief-psychiatrist-guidelines&gt;</w:t>
            </w:r>
          </w:p>
        </w:tc>
      </w:tr>
      <w:bookmarkEnd w:id="22"/>
    </w:tbl>
    <w:p w14:paraId="15055248" w14:textId="77777777" w:rsidR="00693D6F" w:rsidRPr="004E3699" w:rsidRDefault="00693D6F" w:rsidP="00693D6F">
      <w:pPr>
        <w:pStyle w:val="Body"/>
        <w:rPr>
          <w:sz w:val="18"/>
          <w:szCs w:val="18"/>
        </w:rPr>
      </w:pPr>
    </w:p>
    <w:p w14:paraId="5872C207" w14:textId="77777777" w:rsidR="00162CA9" w:rsidRPr="00693D6F" w:rsidRDefault="00162CA9" w:rsidP="00693D6F"/>
    <w:sectPr w:rsidR="00162CA9" w:rsidRPr="00693D6F"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C06B" w14:textId="77777777" w:rsidR="001E511B" w:rsidRDefault="001E511B">
      <w:r>
        <w:separator/>
      </w:r>
    </w:p>
  </w:endnote>
  <w:endnote w:type="continuationSeparator" w:id="0">
    <w:p w14:paraId="66589369" w14:textId="77777777" w:rsidR="001E511B" w:rsidRDefault="001E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4816" w14:textId="1BBACB2A" w:rsidR="00693D6F" w:rsidRDefault="00765554">
    <w:pPr>
      <w:pStyle w:val="Footer"/>
    </w:pPr>
    <w:r>
      <w:rPr>
        <w:noProof/>
      </w:rPr>
      <mc:AlternateContent>
        <mc:Choice Requires="wps">
          <w:drawing>
            <wp:anchor distT="0" distB="0" distL="0" distR="0" simplePos="0" relativeHeight="251662336" behindDoc="0" locked="0" layoutInCell="1" allowOverlap="1" wp14:anchorId="6810D5C9" wp14:editId="122ED1DD">
              <wp:simplePos x="635" y="635"/>
              <wp:positionH relativeFrom="page">
                <wp:align>center</wp:align>
              </wp:positionH>
              <wp:positionV relativeFrom="page">
                <wp:align>bottom</wp:align>
              </wp:positionV>
              <wp:extent cx="656590" cy="369570"/>
              <wp:effectExtent l="0" t="0" r="10160" b="0"/>
              <wp:wrapNone/>
              <wp:docPr id="30479082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89C1862" w14:textId="4760615C"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0D5C9" id="_x0000_t202" coordsize="21600,21600" o:spt="202" path="m,l,21600r21600,l21600,xe">
              <v:stroke joinstyle="miter"/>
              <v:path gradientshapeok="t" o:connecttype="rect"/>
            </v:shapetype>
            <v:shape id="_x0000_s1028"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89C1862" w14:textId="4760615C"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CF84" w14:textId="0FEC591B" w:rsidR="00693D6F" w:rsidRPr="00F65AA9" w:rsidRDefault="00765554">
    <w:pPr>
      <w:pStyle w:val="Footer"/>
    </w:pPr>
    <w:r>
      <w:rPr>
        <w:noProof/>
        <w:lang w:eastAsia="en-AU"/>
      </w:rPr>
      <mc:AlternateContent>
        <mc:Choice Requires="wps">
          <w:drawing>
            <wp:anchor distT="0" distB="0" distL="0" distR="0" simplePos="0" relativeHeight="251663360" behindDoc="0" locked="0" layoutInCell="1" allowOverlap="1" wp14:anchorId="79232930" wp14:editId="623B922E">
              <wp:simplePos x="542925" y="9820275"/>
              <wp:positionH relativeFrom="page">
                <wp:align>center</wp:align>
              </wp:positionH>
              <wp:positionV relativeFrom="page">
                <wp:align>bottom</wp:align>
              </wp:positionV>
              <wp:extent cx="656590" cy="369570"/>
              <wp:effectExtent l="0" t="0" r="10160" b="0"/>
              <wp:wrapNone/>
              <wp:docPr id="19454693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8DC6C3" w14:textId="580EF178"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32930" id="_x0000_t202" coordsize="21600,21600" o:spt="202" path="m,l,21600r21600,l21600,xe">
              <v:stroke joinstyle="miter"/>
              <v:path gradientshapeok="t" o:connecttype="rect"/>
            </v:shapetype>
            <v:shape id="_x0000_s1029"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68DC6C3" w14:textId="580EF178"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v:textbox>
              <w10:wrap anchorx="page" anchory="page"/>
            </v:shape>
          </w:pict>
        </mc:Fallback>
      </mc:AlternateContent>
    </w:r>
    <w:r w:rsidR="00693D6F">
      <w:rPr>
        <w:noProof/>
        <w:lang w:eastAsia="en-AU"/>
      </w:rPr>
      <w:drawing>
        <wp:anchor distT="0" distB="0" distL="114300" distR="114300" simplePos="0" relativeHeight="251655168" behindDoc="1" locked="1" layoutInCell="1" allowOverlap="1" wp14:anchorId="34E82828" wp14:editId="49595475">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2F52" w14:textId="4A6A2F2F" w:rsidR="00693D6F" w:rsidRDefault="00765554">
    <w:pPr>
      <w:pStyle w:val="Footer"/>
    </w:pPr>
    <w:r>
      <w:rPr>
        <w:noProof/>
      </w:rPr>
      <mc:AlternateContent>
        <mc:Choice Requires="wps">
          <w:drawing>
            <wp:anchor distT="0" distB="0" distL="0" distR="0" simplePos="0" relativeHeight="251661312" behindDoc="0" locked="0" layoutInCell="1" allowOverlap="1" wp14:anchorId="66A0EA20" wp14:editId="36C3C45A">
              <wp:simplePos x="635" y="635"/>
              <wp:positionH relativeFrom="page">
                <wp:align>center</wp:align>
              </wp:positionH>
              <wp:positionV relativeFrom="page">
                <wp:align>bottom</wp:align>
              </wp:positionV>
              <wp:extent cx="656590" cy="369570"/>
              <wp:effectExtent l="0" t="0" r="10160" b="0"/>
              <wp:wrapNone/>
              <wp:docPr id="80648543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838D9B9" w14:textId="08053DDD"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0EA20" id="_x0000_t202" coordsize="21600,21600" o:spt="202" path="m,l,21600r21600,l21600,xe">
              <v:stroke joinstyle="miter"/>
              <v:path gradientshapeok="t" o:connecttype="rect"/>
            </v:shapetype>
            <v:shape 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838D9B9" w14:textId="08053DDD"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6964F724" w:rsidR="00373890" w:rsidRPr="00F65AA9" w:rsidRDefault="00765554" w:rsidP="00F84FA0">
    <w:pPr>
      <w:pStyle w:val="Footer"/>
    </w:pPr>
    <w:r>
      <w:rPr>
        <w:noProof/>
      </w:rPr>
      <mc:AlternateContent>
        <mc:Choice Requires="wps">
          <w:drawing>
            <wp:anchor distT="0" distB="0" distL="0" distR="0" simplePos="0" relativeHeight="251664384" behindDoc="0" locked="0" layoutInCell="1" allowOverlap="1" wp14:anchorId="616A1B69" wp14:editId="4863ECEE">
              <wp:simplePos x="542925" y="9820275"/>
              <wp:positionH relativeFrom="page">
                <wp:align>center</wp:align>
              </wp:positionH>
              <wp:positionV relativeFrom="page">
                <wp:align>bottom</wp:align>
              </wp:positionV>
              <wp:extent cx="656590" cy="369570"/>
              <wp:effectExtent l="0" t="0" r="10160" b="0"/>
              <wp:wrapNone/>
              <wp:docPr id="6951961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D42A83" w14:textId="4B6FBFD4"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A1B69" id="_x0000_t202" coordsize="21600,21600" o:spt="202" path="m,l,21600r21600,l21600,xe">
              <v:stroke joinstyle="miter"/>
              <v:path gradientshapeok="t" o:connecttype="rect"/>
            </v:shapetype>
            <v:shape id="Text Box 4" o:spid="_x0000_s1032"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9D42A83" w14:textId="4B6FBFD4" w:rsidR="00765554" w:rsidRPr="00765554" w:rsidRDefault="00765554" w:rsidP="00765554">
                    <w:pPr>
                      <w:spacing w:after="0"/>
                      <w:rPr>
                        <w:rFonts w:ascii="Arial Black" w:eastAsia="Arial Black" w:hAnsi="Arial Black" w:cs="Arial Black"/>
                        <w:noProof/>
                        <w:color w:val="000000"/>
                        <w:sz w:val="20"/>
                      </w:rPr>
                    </w:pPr>
                    <w:r w:rsidRPr="00765554">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FFD3" w14:textId="77777777" w:rsidR="001E511B" w:rsidRDefault="001E511B" w:rsidP="002862F1">
      <w:pPr>
        <w:spacing w:before="120"/>
      </w:pPr>
      <w:r>
        <w:separator/>
      </w:r>
    </w:p>
  </w:footnote>
  <w:footnote w:type="continuationSeparator" w:id="0">
    <w:p w14:paraId="617C7B34" w14:textId="77777777" w:rsidR="001E511B" w:rsidRDefault="001E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B50C" w14:textId="77777777" w:rsidR="00693D6F" w:rsidRDefault="00693D6F">
    <w:pPr>
      <w:pStyle w:val="Header"/>
    </w:pPr>
    <w:r>
      <w:rPr>
        <w:noProof/>
        <w14:ligatures w14:val="standardContextual"/>
      </w:rPr>
      <mc:AlternateContent>
        <mc:Choice Requires="wps">
          <w:drawing>
            <wp:anchor distT="0" distB="0" distL="0" distR="0" simplePos="0" relativeHeight="251658240" behindDoc="0" locked="0" layoutInCell="1" allowOverlap="1" wp14:anchorId="68267771" wp14:editId="26C115BA">
              <wp:simplePos x="635" y="635"/>
              <wp:positionH relativeFrom="page">
                <wp:align>center</wp:align>
              </wp:positionH>
              <wp:positionV relativeFrom="page">
                <wp:align>top</wp:align>
              </wp:positionV>
              <wp:extent cx="622300" cy="376555"/>
              <wp:effectExtent l="0" t="0" r="6350" b="4445"/>
              <wp:wrapNone/>
              <wp:docPr id="11361695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EB5E0B" w14:textId="77777777" w:rsidR="00693D6F" w:rsidRPr="00034755" w:rsidRDefault="00693D6F" w:rsidP="00034755">
                          <w:pPr>
                            <w:spacing w:after="0"/>
                            <w:rPr>
                              <w:rFonts w:ascii="Aptos" w:eastAsia="Aptos" w:hAnsi="Aptos" w:cs="Aptos"/>
                              <w:noProof/>
                              <w:color w:val="000000"/>
                              <w:sz w:val="24"/>
                              <w:szCs w:val="24"/>
                            </w:rPr>
                          </w:pPr>
                          <w:r w:rsidRPr="00034755">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6777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3EB5E0B" w14:textId="77777777" w:rsidR="00693D6F" w:rsidRPr="00034755" w:rsidRDefault="00693D6F" w:rsidP="00034755">
                    <w:pPr>
                      <w:spacing w:after="0"/>
                      <w:rPr>
                        <w:rFonts w:ascii="Aptos" w:eastAsia="Aptos" w:hAnsi="Aptos" w:cs="Aptos"/>
                        <w:noProof/>
                        <w:color w:val="000000"/>
                        <w:sz w:val="24"/>
                        <w:szCs w:val="24"/>
                      </w:rPr>
                    </w:pPr>
                    <w:r w:rsidRPr="00034755">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D92B" w14:textId="77777777" w:rsidR="00693D6F" w:rsidRDefault="00693D6F">
    <w:pPr>
      <w:pStyle w:val="Header"/>
      <w:spacing w:after="0"/>
    </w:pPr>
    <w:r>
      <w:rPr>
        <w:noProof/>
        <w14:ligatures w14:val="standardContextual"/>
      </w:rPr>
      <mc:AlternateContent>
        <mc:Choice Requires="wps">
          <w:drawing>
            <wp:anchor distT="0" distB="0" distL="0" distR="0" simplePos="0" relativeHeight="251660288" behindDoc="0" locked="0" layoutInCell="1" allowOverlap="1" wp14:anchorId="47D47919" wp14:editId="3D368A8D">
              <wp:simplePos x="542925" y="219075"/>
              <wp:positionH relativeFrom="page">
                <wp:align>center</wp:align>
              </wp:positionH>
              <wp:positionV relativeFrom="page">
                <wp:align>top</wp:align>
              </wp:positionV>
              <wp:extent cx="622300" cy="376555"/>
              <wp:effectExtent l="0" t="0" r="6350" b="4445"/>
              <wp:wrapNone/>
              <wp:docPr id="1641117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6B4BB9" w14:textId="77777777" w:rsidR="00693D6F" w:rsidRPr="00034755" w:rsidRDefault="00693D6F" w:rsidP="00034755">
                          <w:pPr>
                            <w:spacing w:after="0"/>
                            <w:rPr>
                              <w:rFonts w:ascii="Aptos" w:eastAsia="Aptos" w:hAnsi="Aptos" w:cs="Aptos"/>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4791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86B4BB9" w14:textId="77777777" w:rsidR="00693D6F" w:rsidRPr="00034755" w:rsidRDefault="00693D6F" w:rsidP="00034755">
                    <w:pPr>
                      <w:spacing w:after="0"/>
                      <w:rPr>
                        <w:rFonts w:ascii="Aptos" w:eastAsia="Aptos" w:hAnsi="Aptos" w:cs="Aptos"/>
                        <w:noProof/>
                        <w:color w:val="000000"/>
                        <w:sz w:val="24"/>
                        <w:szCs w:val="24"/>
                      </w:rPr>
                    </w:pPr>
                  </w:p>
                </w:txbxContent>
              </v:textbox>
              <w10:wrap anchorx="page" anchory="page"/>
            </v:shape>
          </w:pict>
        </mc:Fallback>
      </mc:AlternateContent>
    </w:r>
  </w:p>
  <w:p w14:paraId="174BFBC0" w14:textId="77777777" w:rsidR="00693D6F" w:rsidRDefault="00693D6F">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8537" w14:textId="77777777" w:rsidR="00693D6F" w:rsidRDefault="00693D6F">
    <w:pPr>
      <w:pStyle w:val="Header"/>
    </w:pPr>
    <w:r>
      <w:rPr>
        <w:noProof/>
        <w14:ligatures w14:val="standardContextual"/>
      </w:rPr>
      <mc:AlternateContent>
        <mc:Choice Requires="wps">
          <w:drawing>
            <wp:anchor distT="0" distB="0" distL="0" distR="0" simplePos="0" relativeHeight="251659264" behindDoc="0" locked="0" layoutInCell="1" allowOverlap="1" wp14:anchorId="1360DB34" wp14:editId="05C62559">
              <wp:simplePos x="635" y="635"/>
              <wp:positionH relativeFrom="page">
                <wp:align>center</wp:align>
              </wp:positionH>
              <wp:positionV relativeFrom="page">
                <wp:align>top</wp:align>
              </wp:positionV>
              <wp:extent cx="622300" cy="376555"/>
              <wp:effectExtent l="0" t="0" r="6350" b="4445"/>
              <wp:wrapNone/>
              <wp:docPr id="15902127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09E2C0" w14:textId="77777777" w:rsidR="00693D6F" w:rsidRPr="00034755" w:rsidRDefault="00693D6F" w:rsidP="00034755">
                          <w:pPr>
                            <w:spacing w:after="0"/>
                            <w:rPr>
                              <w:rFonts w:ascii="Aptos" w:eastAsia="Aptos" w:hAnsi="Aptos" w:cs="Aptos"/>
                              <w:noProof/>
                              <w:color w:val="000000"/>
                              <w:sz w:val="24"/>
                              <w:szCs w:val="24"/>
                            </w:rPr>
                          </w:pPr>
                          <w:r w:rsidRPr="00034755">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0DB3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309E2C0" w14:textId="77777777" w:rsidR="00693D6F" w:rsidRPr="00034755" w:rsidRDefault="00693D6F" w:rsidP="00034755">
                    <w:pPr>
                      <w:spacing w:after="0"/>
                      <w:rPr>
                        <w:rFonts w:ascii="Aptos" w:eastAsia="Aptos" w:hAnsi="Aptos" w:cs="Aptos"/>
                        <w:noProof/>
                        <w:color w:val="000000"/>
                        <w:sz w:val="24"/>
                        <w:szCs w:val="24"/>
                      </w:rPr>
                    </w:pPr>
                    <w:r w:rsidRPr="00034755">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3A3"/>
    <w:multiLevelType w:val="hybridMultilevel"/>
    <w:tmpl w:val="F00213C4"/>
    <w:lvl w:ilvl="0" w:tplc="0C090001">
      <w:start w:val="1"/>
      <w:numFmt w:val="bullet"/>
      <w:lvlText w:val=""/>
      <w:lvlJc w:val="left"/>
      <w:pPr>
        <w:ind w:left="1740" w:hanging="360"/>
      </w:pPr>
      <w:rPr>
        <w:rFonts w:ascii="Symbol" w:hAnsi="Symbol" w:hint="default"/>
      </w:rPr>
    </w:lvl>
    <w:lvl w:ilvl="1" w:tplc="0C090003" w:tentative="1">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 w15:restartNumberingAfterBreak="0">
    <w:nsid w:val="00F441EC"/>
    <w:multiLevelType w:val="multilevel"/>
    <w:tmpl w:val="798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64BE4E"/>
    <w:multiLevelType w:val="hybridMultilevel"/>
    <w:tmpl w:val="0B6459B0"/>
    <w:lvl w:ilvl="0" w:tplc="B6020A08">
      <w:start w:val="1"/>
      <w:numFmt w:val="bullet"/>
      <w:lvlText w:val=""/>
      <w:lvlJc w:val="left"/>
      <w:pPr>
        <w:ind w:left="720" w:hanging="360"/>
      </w:pPr>
      <w:rPr>
        <w:rFonts w:ascii="Symbol" w:hAnsi="Symbol" w:hint="default"/>
      </w:rPr>
    </w:lvl>
    <w:lvl w:ilvl="1" w:tplc="3CFABAF4">
      <w:start w:val="1"/>
      <w:numFmt w:val="bullet"/>
      <w:lvlText w:val="o"/>
      <w:lvlJc w:val="left"/>
      <w:pPr>
        <w:ind w:left="1440" w:hanging="360"/>
      </w:pPr>
      <w:rPr>
        <w:rFonts w:ascii="Courier New" w:hAnsi="Courier New" w:hint="default"/>
      </w:rPr>
    </w:lvl>
    <w:lvl w:ilvl="2" w:tplc="C502824A">
      <w:start w:val="1"/>
      <w:numFmt w:val="bullet"/>
      <w:lvlText w:val=""/>
      <w:lvlJc w:val="left"/>
      <w:pPr>
        <w:ind w:left="2160" w:hanging="360"/>
      </w:pPr>
      <w:rPr>
        <w:rFonts w:ascii="Wingdings" w:hAnsi="Wingdings" w:hint="default"/>
      </w:rPr>
    </w:lvl>
    <w:lvl w:ilvl="3" w:tplc="C330B458">
      <w:start w:val="1"/>
      <w:numFmt w:val="bullet"/>
      <w:lvlText w:val=""/>
      <w:lvlJc w:val="left"/>
      <w:pPr>
        <w:ind w:left="2880" w:hanging="360"/>
      </w:pPr>
      <w:rPr>
        <w:rFonts w:ascii="Symbol" w:hAnsi="Symbol" w:hint="default"/>
      </w:rPr>
    </w:lvl>
    <w:lvl w:ilvl="4" w:tplc="4BEE8200">
      <w:start w:val="1"/>
      <w:numFmt w:val="bullet"/>
      <w:lvlText w:val="o"/>
      <w:lvlJc w:val="left"/>
      <w:pPr>
        <w:ind w:left="3600" w:hanging="360"/>
      </w:pPr>
      <w:rPr>
        <w:rFonts w:ascii="Courier New" w:hAnsi="Courier New" w:hint="default"/>
      </w:rPr>
    </w:lvl>
    <w:lvl w:ilvl="5" w:tplc="B57849E0">
      <w:start w:val="1"/>
      <w:numFmt w:val="bullet"/>
      <w:lvlText w:val=""/>
      <w:lvlJc w:val="left"/>
      <w:pPr>
        <w:ind w:left="4320" w:hanging="360"/>
      </w:pPr>
      <w:rPr>
        <w:rFonts w:ascii="Wingdings" w:hAnsi="Wingdings" w:hint="default"/>
      </w:rPr>
    </w:lvl>
    <w:lvl w:ilvl="6" w:tplc="62AA9EC6">
      <w:start w:val="1"/>
      <w:numFmt w:val="bullet"/>
      <w:lvlText w:val=""/>
      <w:lvlJc w:val="left"/>
      <w:pPr>
        <w:ind w:left="5040" w:hanging="360"/>
      </w:pPr>
      <w:rPr>
        <w:rFonts w:ascii="Symbol" w:hAnsi="Symbol" w:hint="default"/>
      </w:rPr>
    </w:lvl>
    <w:lvl w:ilvl="7" w:tplc="B1942580">
      <w:start w:val="1"/>
      <w:numFmt w:val="bullet"/>
      <w:lvlText w:val="o"/>
      <w:lvlJc w:val="left"/>
      <w:pPr>
        <w:ind w:left="5760" w:hanging="360"/>
      </w:pPr>
      <w:rPr>
        <w:rFonts w:ascii="Courier New" w:hAnsi="Courier New" w:hint="default"/>
      </w:rPr>
    </w:lvl>
    <w:lvl w:ilvl="8" w:tplc="25929F86">
      <w:start w:val="1"/>
      <w:numFmt w:val="bullet"/>
      <w:lvlText w:val=""/>
      <w:lvlJc w:val="left"/>
      <w:pPr>
        <w:ind w:left="6480" w:hanging="360"/>
      </w:pPr>
      <w:rPr>
        <w:rFonts w:ascii="Wingdings" w:hAnsi="Wingdings" w:hint="default"/>
      </w:rPr>
    </w:lvl>
  </w:abstractNum>
  <w:abstractNum w:abstractNumId="4" w15:restartNumberingAfterBreak="0">
    <w:nsid w:val="1C8A011B"/>
    <w:multiLevelType w:val="hybridMultilevel"/>
    <w:tmpl w:val="20E09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F022D"/>
    <w:multiLevelType w:val="hybridMultilevel"/>
    <w:tmpl w:val="F3E8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30C6358"/>
    <w:multiLevelType w:val="multilevel"/>
    <w:tmpl w:val="92ECE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E02DB5"/>
    <w:multiLevelType w:val="hybridMultilevel"/>
    <w:tmpl w:val="5DE24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367E76"/>
    <w:multiLevelType w:val="hybridMultilevel"/>
    <w:tmpl w:val="AA423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51A149D"/>
    <w:multiLevelType w:val="hybridMultilevel"/>
    <w:tmpl w:val="F30A7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DF34F6C"/>
    <w:multiLevelType w:val="hybridMultilevel"/>
    <w:tmpl w:val="FE84BC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D54E7F"/>
    <w:multiLevelType w:val="hybridMultilevel"/>
    <w:tmpl w:val="DB2CD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1531810">
    <w:abstractNumId w:val="6"/>
  </w:num>
  <w:num w:numId="2" w16cid:durableId="620767199">
    <w:abstractNumId w:val="12"/>
  </w:num>
  <w:num w:numId="3" w16cid:durableId="1672249229">
    <w:abstractNumId w:val="11"/>
  </w:num>
  <w:num w:numId="4" w16cid:durableId="1213689216">
    <w:abstractNumId w:val="14"/>
  </w:num>
  <w:num w:numId="5" w16cid:durableId="1866865299">
    <w:abstractNumId w:val="7"/>
  </w:num>
  <w:num w:numId="6" w16cid:durableId="1761175097">
    <w:abstractNumId w:val="2"/>
  </w:num>
  <w:num w:numId="7" w16cid:durableId="1519730623">
    <w:abstractNumId w:val="9"/>
  </w:num>
  <w:num w:numId="8" w16cid:durableId="210386149">
    <w:abstractNumId w:val="15"/>
  </w:num>
  <w:num w:numId="9" w16cid:durableId="1971090948">
    <w:abstractNumId w:val="10"/>
  </w:num>
  <w:num w:numId="10" w16cid:durableId="65031154">
    <w:abstractNumId w:val="3"/>
  </w:num>
  <w:num w:numId="11" w16cid:durableId="951471815">
    <w:abstractNumId w:val="0"/>
  </w:num>
  <w:num w:numId="12" w16cid:durableId="1668706314">
    <w:abstractNumId w:val="8"/>
  </w:num>
  <w:num w:numId="13" w16cid:durableId="211812727">
    <w:abstractNumId w:val="1"/>
  </w:num>
  <w:num w:numId="14" w16cid:durableId="2055812394">
    <w:abstractNumId w:val="13"/>
  </w:num>
  <w:num w:numId="15" w16cid:durableId="1763723322">
    <w:abstractNumId w:val="4"/>
  </w:num>
  <w:num w:numId="16" w16cid:durableId="450713615">
    <w:abstractNumId w:val="16"/>
  </w:num>
  <w:num w:numId="17" w16cid:durableId="36078517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25CC"/>
    <w:rsid w:val="00003403"/>
    <w:rsid w:val="000048AE"/>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17EC"/>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D21"/>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4593"/>
    <w:rsid w:val="001771DD"/>
    <w:rsid w:val="00177995"/>
    <w:rsid w:val="00177A8C"/>
    <w:rsid w:val="00186B33"/>
    <w:rsid w:val="0019263C"/>
    <w:rsid w:val="00192F9D"/>
    <w:rsid w:val="00196EB8"/>
    <w:rsid w:val="00196EFB"/>
    <w:rsid w:val="001979FF"/>
    <w:rsid w:val="00197B17"/>
    <w:rsid w:val="001A1950"/>
    <w:rsid w:val="001A1C54"/>
    <w:rsid w:val="001A3ACE"/>
    <w:rsid w:val="001A4441"/>
    <w:rsid w:val="001B058F"/>
    <w:rsid w:val="001B738B"/>
    <w:rsid w:val="001C09DB"/>
    <w:rsid w:val="001C277E"/>
    <w:rsid w:val="001C2A72"/>
    <w:rsid w:val="001C31B7"/>
    <w:rsid w:val="001D0B75"/>
    <w:rsid w:val="001D39A5"/>
    <w:rsid w:val="001D3C09"/>
    <w:rsid w:val="001D44E8"/>
    <w:rsid w:val="001D5D56"/>
    <w:rsid w:val="001D60EC"/>
    <w:rsid w:val="001D64C2"/>
    <w:rsid w:val="001D6F59"/>
    <w:rsid w:val="001E0C5D"/>
    <w:rsid w:val="001E2A36"/>
    <w:rsid w:val="001E44DF"/>
    <w:rsid w:val="001E5058"/>
    <w:rsid w:val="001E511B"/>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55094"/>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2B98"/>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095C"/>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3168"/>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67D7A"/>
    <w:rsid w:val="00470D7D"/>
    <w:rsid w:val="0047372D"/>
    <w:rsid w:val="00473BA3"/>
    <w:rsid w:val="004743DD"/>
    <w:rsid w:val="00474CEA"/>
    <w:rsid w:val="00475FCD"/>
    <w:rsid w:val="00483968"/>
    <w:rsid w:val="00484F86"/>
    <w:rsid w:val="00487967"/>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4AFB"/>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DB7"/>
    <w:rsid w:val="005E447E"/>
    <w:rsid w:val="005E4A38"/>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7574"/>
    <w:rsid w:val="0068454C"/>
    <w:rsid w:val="00691746"/>
    <w:rsid w:val="00691B62"/>
    <w:rsid w:val="006933B5"/>
    <w:rsid w:val="00693D14"/>
    <w:rsid w:val="00693D6F"/>
    <w:rsid w:val="00696F27"/>
    <w:rsid w:val="006A18C2"/>
    <w:rsid w:val="006A3383"/>
    <w:rsid w:val="006B077C"/>
    <w:rsid w:val="006B42F9"/>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5554"/>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343A"/>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1ED"/>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7CC"/>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0505"/>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488D"/>
    <w:rsid w:val="00A77AA3"/>
    <w:rsid w:val="00A8236D"/>
    <w:rsid w:val="00A854EB"/>
    <w:rsid w:val="00A86B13"/>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D666B"/>
    <w:rsid w:val="00BE28D2"/>
    <w:rsid w:val="00BE4A64"/>
    <w:rsid w:val="00BE5E43"/>
    <w:rsid w:val="00BF30B2"/>
    <w:rsid w:val="00BF557D"/>
    <w:rsid w:val="00BF7F58"/>
    <w:rsid w:val="00C01381"/>
    <w:rsid w:val="00C01AB1"/>
    <w:rsid w:val="00C026A0"/>
    <w:rsid w:val="00C03B6F"/>
    <w:rsid w:val="00C06137"/>
    <w:rsid w:val="00C079B8"/>
    <w:rsid w:val="00C10037"/>
    <w:rsid w:val="00C123EA"/>
    <w:rsid w:val="00C12A49"/>
    <w:rsid w:val="00C133EE"/>
    <w:rsid w:val="00C149D0"/>
    <w:rsid w:val="00C26588"/>
    <w:rsid w:val="00C270BA"/>
    <w:rsid w:val="00C27DE9"/>
    <w:rsid w:val="00C32989"/>
    <w:rsid w:val="00C33388"/>
    <w:rsid w:val="00C35484"/>
    <w:rsid w:val="00C4173A"/>
    <w:rsid w:val="00C50DED"/>
    <w:rsid w:val="00C552AA"/>
    <w:rsid w:val="00C602FF"/>
    <w:rsid w:val="00C61174"/>
    <w:rsid w:val="00C6148F"/>
    <w:rsid w:val="00C621B1"/>
    <w:rsid w:val="00C62F7A"/>
    <w:rsid w:val="00C63B9C"/>
    <w:rsid w:val="00C6682F"/>
    <w:rsid w:val="00C67BF4"/>
    <w:rsid w:val="00C7275E"/>
    <w:rsid w:val="00C74C5D"/>
    <w:rsid w:val="00C863C4"/>
    <w:rsid w:val="00C8746D"/>
    <w:rsid w:val="00C904A7"/>
    <w:rsid w:val="00C920EA"/>
    <w:rsid w:val="00C93C3E"/>
    <w:rsid w:val="00CA12E3"/>
    <w:rsid w:val="00CA1476"/>
    <w:rsid w:val="00CA6611"/>
    <w:rsid w:val="00CA6AE6"/>
    <w:rsid w:val="00CA782F"/>
    <w:rsid w:val="00CB187B"/>
    <w:rsid w:val="00CB2835"/>
    <w:rsid w:val="00CB3285"/>
    <w:rsid w:val="00CB4500"/>
    <w:rsid w:val="00CB7659"/>
    <w:rsid w:val="00CB7800"/>
    <w:rsid w:val="00CC0C72"/>
    <w:rsid w:val="00CC0D38"/>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3F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3958"/>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1DFE"/>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0226"/>
    <w:rsid w:val="00EA1360"/>
    <w:rsid w:val="00EA2F6A"/>
    <w:rsid w:val="00EB00E0"/>
    <w:rsid w:val="00EC04BA"/>
    <w:rsid w:val="00EC059F"/>
    <w:rsid w:val="00EC1F24"/>
    <w:rsid w:val="00EC22F6"/>
    <w:rsid w:val="00EC40D5"/>
    <w:rsid w:val="00ED5B9B"/>
    <w:rsid w:val="00ED65B3"/>
    <w:rsid w:val="00ED6BAD"/>
    <w:rsid w:val="00ED7447"/>
    <w:rsid w:val="00EE00D6"/>
    <w:rsid w:val="00EE11E7"/>
    <w:rsid w:val="00EE1488"/>
    <w:rsid w:val="00EE150A"/>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59D9"/>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60082"/>
    <w:rsid w:val="00F61A9F"/>
    <w:rsid w:val="00F61B5F"/>
    <w:rsid w:val="00F64696"/>
    <w:rsid w:val="00F65AA9"/>
    <w:rsid w:val="00F6768F"/>
    <w:rsid w:val="00F72C2C"/>
    <w:rsid w:val="00F74B93"/>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3A1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DB81623C-80F9-467D-8860-73D7FC56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ListParagraph">
    <w:name w:val="List Paragraph"/>
    <w:basedOn w:val="Normal"/>
    <w:uiPriority w:val="34"/>
    <w:qFormat/>
    <w:rsid w:val="00693D6F"/>
    <w:pPr>
      <w:ind w:left="720"/>
      <w:contextualSpacing/>
    </w:pPr>
  </w:style>
  <w:style w:type="character" w:customStyle="1" w:styleId="HeaderChar">
    <w:name w:val="Header Char"/>
    <w:basedOn w:val="DefaultParagraphFont"/>
    <w:link w:val="Header"/>
    <w:uiPriority w:val="10"/>
    <w:rsid w:val="00693D6F"/>
    <w:rPr>
      <w:rFonts w:ascii="Arial" w:hAnsi="Arial" w:cs="Arial"/>
      <w:b/>
      <w:color w:val="53565A"/>
      <w:sz w:val="18"/>
      <w:szCs w:val="18"/>
      <w:lang w:eastAsia="en-US"/>
    </w:rPr>
  </w:style>
  <w:style w:type="character" w:customStyle="1" w:styleId="FooterChar">
    <w:name w:val="Footer Char"/>
    <w:basedOn w:val="DefaultParagraphFont"/>
    <w:link w:val="Footer"/>
    <w:uiPriority w:val="8"/>
    <w:rsid w:val="00693D6F"/>
    <w:rPr>
      <w:rFonts w:ascii="Arial" w:hAnsi="Arial" w:cs="Arial"/>
      <w:szCs w:val="18"/>
      <w:lang w:eastAsia="en-US"/>
    </w:rPr>
  </w:style>
  <w:style w:type="paragraph" w:styleId="TOCHeading">
    <w:name w:val="TOC Heading"/>
    <w:basedOn w:val="Heading1"/>
    <w:next w:val="Normal"/>
    <w:uiPriority w:val="39"/>
    <w:unhideWhenUsed/>
    <w:qFormat/>
    <w:rsid w:val="0079343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chief-psychiatrist/chief-psychiatrist-guidelines%3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ealth.vic.gov.au/mental-health-and-wellbeing-act-handbook/forms" TargetMode="External"/><Relationship Id="rId2" Type="http://schemas.openxmlformats.org/officeDocument/2006/relationships/numbering" Target="numbering.xml"/><Relationship Id="rId16" Type="http://schemas.openxmlformats.org/officeDocument/2006/relationships/hyperlink" Target="https://www.legislation.vic.gov.au/in-force/acts/mental-health-and-wellbeing-act-2022/00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ealth.vic.gov.au/mental-health-and-wellbeing-act-handbook/forms" TargetMode="External"/><Relationship Id="rId10" Type="http://schemas.openxmlformats.org/officeDocument/2006/relationships/footer" Target="footer1.xml"/><Relationship Id="rId19" Type="http://schemas.openxmlformats.org/officeDocument/2006/relationships/hyperlink" Target="https://www.health.vic.gov.au/chief-psychiatrist/chief-psychiatrist-guidelin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2607</Words>
  <Characters>15072</Characters>
  <Application>Microsoft Office Word</Application>
  <DocSecurity>0</DocSecurity>
  <Lines>259</Lines>
  <Paragraphs>142</Paragraphs>
  <ScaleCrop>false</ScaleCrop>
  <HeadingPairs>
    <vt:vector size="2" baseType="variant">
      <vt:variant>
        <vt:lpstr>Title</vt:lpstr>
      </vt:variant>
      <vt:variant>
        <vt:i4>1</vt:i4>
      </vt:variant>
    </vt:vector>
  </HeadingPairs>
  <TitlesOfParts>
    <vt:vector size="1" baseType="lpstr">
      <vt:lpstr>Factsheet: Advice on co-ordination for mental health patient transport and community crisis responses</vt:lpstr>
    </vt:vector>
  </TitlesOfParts>
  <Manager/>
  <Company/>
  <LinksUpToDate>false</LinksUpToDate>
  <CharactersWithSpaces>17537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Advice on co-ordination for mental health patient transport and community crisis responses</dc:title>
  <dc:subject/>
  <dc:creator/>
  <cp:keywords/>
  <dc:description/>
  <cp:lastModifiedBy>Claire East (Health)</cp:lastModifiedBy>
  <cp:revision>2</cp:revision>
  <dcterms:created xsi:type="dcterms:W3CDTF">2026-01-07T05:55:00Z</dcterms:created>
  <dcterms:modified xsi:type="dcterms:W3CDTF">2026-01-07T06:18:00Z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3011fdbf,122abd25,b988cf2,296fd9d1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2026-01-07T05:56:08Z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f29a85c0-02e9-4187-9efc-bcad947946a0</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