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6DABB" w14:textId="0C1D4748" w:rsidR="0074696E" w:rsidRPr="004C6EEE" w:rsidRDefault="008239CC" w:rsidP="00EC40D5">
      <w:pPr>
        <w:pStyle w:val="Sectionbreakfirstpage"/>
      </w:pPr>
      <w:r>
        <w:drawing>
          <wp:anchor distT="0" distB="0" distL="114300" distR="114300" simplePos="0" relativeHeight="251661312" behindDoc="1" locked="1" layoutInCell="1" allowOverlap="0" wp14:anchorId="77AB2D67" wp14:editId="7CF9C70B">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p w14:paraId="718D5C94" w14:textId="77777777"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2"/>
          <w:type w:val="continuous"/>
          <w:pgSz w:w="11906" w:h="16838" w:code="9"/>
          <w:pgMar w:top="1418" w:right="851" w:bottom="1418" w:left="851" w:header="851" w:footer="851" w:gutter="0"/>
          <w:cols w:space="340"/>
          <w:titlePg/>
          <w:docGrid w:linePitch="360"/>
        </w:sectPr>
      </w:pPr>
    </w:p>
    <w:p w14:paraId="59B7B05E" w14:textId="74DD17C3" w:rsidR="007173CA" w:rsidRPr="008239CC" w:rsidRDefault="007173CA" w:rsidP="008239CC">
      <w:pPr>
        <w:pStyle w:val="Body"/>
        <w:spacing w:before="600"/>
        <w:rPr>
          <w:color w:val="201547"/>
        </w:rPr>
      </w:pPr>
    </w:p>
    <w:p w14:paraId="17C9F4D9" w14:textId="1F17AFD2" w:rsidR="00580394" w:rsidRPr="008239CC" w:rsidRDefault="000A0376" w:rsidP="008239CC">
      <w:pPr>
        <w:pStyle w:val="Documenttitle"/>
        <w:spacing w:before="240" w:after="120"/>
      </w:pPr>
      <w:r w:rsidRPr="008239CC">
        <w:t>Cash management policy</w:t>
      </w:r>
    </w:p>
    <w:p w14:paraId="6AC0DB29" w14:textId="77777777" w:rsidR="00733DD7" w:rsidRDefault="00733DD7" w:rsidP="00733DD7">
      <w:pPr>
        <w:pStyle w:val="Body"/>
      </w:pPr>
    </w:p>
    <w:tbl>
      <w:tblPr>
        <w:tblStyle w:val="TableGrid"/>
        <w:tblW w:w="10201" w:type="dxa"/>
        <w:tblLook w:val="06A0" w:firstRow="1" w:lastRow="0" w:firstColumn="1" w:lastColumn="0" w:noHBand="1" w:noVBand="1"/>
      </w:tblPr>
      <w:tblGrid>
        <w:gridCol w:w="4957"/>
        <w:gridCol w:w="5244"/>
      </w:tblGrid>
      <w:tr w:rsidR="00600844" w:rsidRPr="00600844" w14:paraId="7E6FA55B" w14:textId="77777777" w:rsidTr="00600844">
        <w:trPr>
          <w:tblHeader/>
        </w:trPr>
        <w:tc>
          <w:tcPr>
            <w:tcW w:w="4957" w:type="dxa"/>
          </w:tcPr>
          <w:p w14:paraId="1172C261" w14:textId="0A3C9044" w:rsidR="00600844" w:rsidRPr="00CB3285" w:rsidRDefault="00600844" w:rsidP="00600844">
            <w:pPr>
              <w:pStyle w:val="Tabletext"/>
            </w:pPr>
            <w:bookmarkStart w:id="1" w:name="_Hlk41913885"/>
            <w:r w:rsidRPr="00742146">
              <w:t>Cemetery</w:t>
            </w:r>
            <w:r>
              <w:t xml:space="preserve"> trust (hereafter referred to as ‘the trust’):</w:t>
            </w:r>
          </w:p>
        </w:tc>
        <w:tc>
          <w:tcPr>
            <w:tcW w:w="5244" w:type="dxa"/>
          </w:tcPr>
          <w:p w14:paraId="7A97C2B3" w14:textId="1F3BB6DD" w:rsidR="00600844" w:rsidRDefault="00600844" w:rsidP="00600844">
            <w:pPr>
              <w:pStyle w:val="Tabletext"/>
            </w:pPr>
          </w:p>
        </w:tc>
      </w:tr>
      <w:tr w:rsidR="00600844" w:rsidRPr="00600844" w14:paraId="4794C146" w14:textId="77777777" w:rsidTr="00600844">
        <w:tc>
          <w:tcPr>
            <w:tcW w:w="4957" w:type="dxa"/>
          </w:tcPr>
          <w:p w14:paraId="33E2F1EF" w14:textId="01CCF4CF" w:rsidR="00600844" w:rsidRDefault="00600844" w:rsidP="00600844">
            <w:pPr>
              <w:pStyle w:val="Tabletext"/>
            </w:pPr>
            <w:r>
              <w:t>Date policy adopted (trust meeting date):</w:t>
            </w:r>
          </w:p>
        </w:tc>
        <w:tc>
          <w:tcPr>
            <w:tcW w:w="5244" w:type="dxa"/>
          </w:tcPr>
          <w:p w14:paraId="4D23A6D1" w14:textId="50E308DC" w:rsidR="00600844" w:rsidRDefault="00600844" w:rsidP="00600844">
            <w:pPr>
              <w:pStyle w:val="Tabletext"/>
            </w:pPr>
          </w:p>
        </w:tc>
      </w:tr>
    </w:tbl>
    <w:p w14:paraId="42D3B3D7" w14:textId="77777777" w:rsidR="00600844" w:rsidRDefault="00600844" w:rsidP="000A0376">
      <w:pPr>
        <w:pStyle w:val="Bodyaftertablefigure"/>
        <w:spacing w:before="120"/>
      </w:pPr>
      <w:r>
        <w:t>The trust</w:t>
      </w:r>
      <w:r w:rsidRPr="00195C29">
        <w:rPr>
          <w:color w:val="87189D"/>
        </w:rPr>
        <w:t xml:space="preserve"> </w:t>
      </w:r>
      <w:r>
        <w:t xml:space="preserve">adopted this policy at its trust meeting on the date specified above. This policy will be reviewed two years from the date the policy was adopted. </w:t>
      </w:r>
    </w:p>
    <w:p w14:paraId="4EA71978" w14:textId="77777777" w:rsidR="00600844" w:rsidRPr="000A0376" w:rsidRDefault="00600844" w:rsidP="000A0376">
      <w:pPr>
        <w:pStyle w:val="Heading1"/>
      </w:pPr>
      <w:r w:rsidRPr="000A0376">
        <w:t xml:space="preserve">Purpose </w:t>
      </w:r>
    </w:p>
    <w:p w14:paraId="7B88ECAD" w14:textId="77777777" w:rsidR="00600844" w:rsidRPr="001436D6" w:rsidRDefault="00600844" w:rsidP="00600844">
      <w:pPr>
        <w:pStyle w:val="Body"/>
      </w:pPr>
      <w:r w:rsidRPr="001436D6">
        <w:t xml:space="preserve">The purpose of this policy is to ensure that cash management for the trust is consistent with the </w:t>
      </w:r>
      <w:r w:rsidRPr="000C5D3F">
        <w:rPr>
          <w:i/>
          <w:iCs/>
        </w:rPr>
        <w:t xml:space="preserve">Financial </w:t>
      </w:r>
      <w:r>
        <w:rPr>
          <w:i/>
          <w:iCs/>
        </w:rPr>
        <w:t>g</w:t>
      </w:r>
      <w:r w:rsidRPr="000C5D3F">
        <w:rPr>
          <w:i/>
          <w:iCs/>
        </w:rPr>
        <w:t xml:space="preserve">uidelines for Class B </w:t>
      </w:r>
      <w:r>
        <w:rPr>
          <w:i/>
          <w:iCs/>
        </w:rPr>
        <w:t>c</w:t>
      </w:r>
      <w:r w:rsidRPr="000C5D3F">
        <w:rPr>
          <w:i/>
          <w:iCs/>
        </w:rPr>
        <w:t xml:space="preserve">emetery </w:t>
      </w:r>
      <w:r>
        <w:rPr>
          <w:i/>
          <w:iCs/>
        </w:rPr>
        <w:t>t</w:t>
      </w:r>
      <w:r w:rsidRPr="000C5D3F">
        <w:rPr>
          <w:i/>
          <w:iCs/>
        </w:rPr>
        <w:t>rusts</w:t>
      </w:r>
      <w:r w:rsidRPr="001436D6">
        <w:t xml:space="preserve"> and to minimise processes that can lead to errors. </w:t>
      </w:r>
    </w:p>
    <w:p w14:paraId="4EECB21E" w14:textId="77777777" w:rsidR="00600844" w:rsidRPr="001436D6" w:rsidRDefault="00600844" w:rsidP="000A0376">
      <w:pPr>
        <w:pStyle w:val="Heading1"/>
      </w:pPr>
      <w:r w:rsidRPr="001436D6">
        <w:t>Scope</w:t>
      </w:r>
    </w:p>
    <w:p w14:paraId="6979F9BE" w14:textId="77777777" w:rsidR="00600844" w:rsidRPr="001436D6" w:rsidRDefault="00600844" w:rsidP="00600844">
      <w:pPr>
        <w:pStyle w:val="Body"/>
      </w:pPr>
      <w:r w:rsidRPr="001436D6">
        <w:t xml:space="preserve">This policy applies to all cemetery trust members and non-member secretaries delegated to handle money and other financial transactions for the </w:t>
      </w:r>
      <w:r>
        <w:t>trust</w:t>
      </w:r>
      <w:r w:rsidRPr="001436D6">
        <w:t xml:space="preserve">. It includes: </w:t>
      </w:r>
    </w:p>
    <w:p w14:paraId="076EEDDB" w14:textId="77777777" w:rsidR="00600844" w:rsidRDefault="00600844" w:rsidP="00600844">
      <w:pPr>
        <w:pStyle w:val="Bullet1"/>
      </w:pPr>
      <w:r>
        <w:t xml:space="preserve">methods of payment to the trust </w:t>
      </w:r>
    </w:p>
    <w:p w14:paraId="45A79964" w14:textId="77777777" w:rsidR="00600844" w:rsidRPr="00BA709D" w:rsidRDefault="00600844" w:rsidP="00600844">
      <w:pPr>
        <w:pStyle w:val="Bullet1"/>
      </w:pPr>
      <w:r>
        <w:t>c</w:t>
      </w:r>
      <w:r w:rsidRPr="00BA709D">
        <w:t xml:space="preserve">ash </w:t>
      </w:r>
      <w:r>
        <w:t>h</w:t>
      </w:r>
      <w:r w:rsidRPr="00BA709D">
        <w:t xml:space="preserve">andling and </w:t>
      </w:r>
      <w:r>
        <w:t>r</w:t>
      </w:r>
      <w:r w:rsidRPr="00BA709D">
        <w:t>eceipting</w:t>
      </w:r>
    </w:p>
    <w:p w14:paraId="49B458F6" w14:textId="77777777" w:rsidR="00600844" w:rsidRPr="00BA709D" w:rsidRDefault="00600844" w:rsidP="00600844">
      <w:pPr>
        <w:pStyle w:val="Bullet1"/>
      </w:pPr>
      <w:r>
        <w:t>p</w:t>
      </w:r>
      <w:r w:rsidRPr="00BA709D">
        <w:t xml:space="preserve">etty </w:t>
      </w:r>
      <w:r>
        <w:t>c</w:t>
      </w:r>
      <w:r w:rsidRPr="00BA709D">
        <w:t>ash</w:t>
      </w:r>
    </w:p>
    <w:p w14:paraId="26C5A1B9" w14:textId="77777777" w:rsidR="00600844" w:rsidRDefault="00600844" w:rsidP="00600844">
      <w:pPr>
        <w:pStyle w:val="Bullet1"/>
      </w:pPr>
      <w:r>
        <w:t>claim for expenses</w:t>
      </w:r>
    </w:p>
    <w:p w14:paraId="06D9ED35" w14:textId="77777777" w:rsidR="00600844" w:rsidRDefault="00600844" w:rsidP="00600844">
      <w:pPr>
        <w:pStyle w:val="Bullet1"/>
      </w:pPr>
      <w:r>
        <w:t>accounts payable</w:t>
      </w:r>
    </w:p>
    <w:p w14:paraId="716DCA2A" w14:textId="77777777" w:rsidR="00600844" w:rsidRPr="00D028F2" w:rsidRDefault="00600844" w:rsidP="00600844">
      <w:pPr>
        <w:pStyle w:val="Bullet1"/>
      </w:pPr>
      <w:r>
        <w:t>authorised signatories</w:t>
      </w:r>
    </w:p>
    <w:p w14:paraId="1BF1AB24" w14:textId="77777777" w:rsidR="00600844" w:rsidRPr="001436D6" w:rsidRDefault="00600844" w:rsidP="00600844">
      <w:pPr>
        <w:pStyle w:val="Bullet1"/>
      </w:pPr>
      <w:r>
        <w:t>g</w:t>
      </w:r>
      <w:r w:rsidRPr="00BA709D">
        <w:t xml:space="preserve">rants, </w:t>
      </w:r>
      <w:r>
        <w:t>d</w:t>
      </w:r>
      <w:r w:rsidRPr="00BA709D">
        <w:t xml:space="preserve">onations and </w:t>
      </w:r>
      <w:r>
        <w:t>f</w:t>
      </w:r>
      <w:r w:rsidRPr="00BA709D">
        <w:t>undraising</w:t>
      </w:r>
      <w:r>
        <w:t>.</w:t>
      </w:r>
    </w:p>
    <w:p w14:paraId="213F3D8D" w14:textId="77777777" w:rsidR="00600844" w:rsidRPr="004F211C" w:rsidRDefault="00600844" w:rsidP="00600844">
      <w:pPr>
        <w:pStyle w:val="Bodyafterbullets"/>
      </w:pPr>
      <w:r>
        <w:t xml:space="preserve">This policy includes payments made by electronic funds transfer (EFT) or cheque payable </w:t>
      </w:r>
      <w:r w:rsidRPr="009A37A8">
        <w:t>to</w:t>
      </w:r>
      <w:r>
        <w:t xml:space="preserve"> the trust and is not negotiable. All </w:t>
      </w:r>
      <w:r w:rsidRPr="00906D2A">
        <w:t xml:space="preserve">transactions </w:t>
      </w:r>
      <w:r>
        <w:t>will be</w:t>
      </w:r>
      <w:r w:rsidRPr="00906D2A">
        <w:t xml:space="preserve"> undertaken in accordance with the </w:t>
      </w:r>
      <w:r w:rsidRPr="000C5D3F">
        <w:rPr>
          <w:i/>
          <w:iCs/>
        </w:rPr>
        <w:t xml:space="preserve">Financial </w:t>
      </w:r>
      <w:r>
        <w:rPr>
          <w:i/>
          <w:iCs/>
        </w:rPr>
        <w:t>g</w:t>
      </w:r>
      <w:r w:rsidRPr="000C5D3F">
        <w:rPr>
          <w:i/>
          <w:iCs/>
        </w:rPr>
        <w:t xml:space="preserve">uidelines for Class B </w:t>
      </w:r>
      <w:r>
        <w:rPr>
          <w:i/>
          <w:iCs/>
        </w:rPr>
        <w:t>c</w:t>
      </w:r>
      <w:r w:rsidRPr="000C5D3F">
        <w:rPr>
          <w:i/>
          <w:iCs/>
        </w:rPr>
        <w:t xml:space="preserve">emetery </w:t>
      </w:r>
      <w:r>
        <w:rPr>
          <w:i/>
          <w:iCs/>
        </w:rPr>
        <w:t>t</w:t>
      </w:r>
      <w:r w:rsidRPr="000C5D3F">
        <w:rPr>
          <w:i/>
          <w:iCs/>
        </w:rPr>
        <w:t>rusts</w:t>
      </w:r>
      <w:r>
        <w:t>.</w:t>
      </w:r>
    </w:p>
    <w:p w14:paraId="122909EA" w14:textId="77777777" w:rsidR="00600844" w:rsidRPr="001436D6" w:rsidRDefault="00600844" w:rsidP="000A0376">
      <w:pPr>
        <w:pStyle w:val="Heading1"/>
      </w:pPr>
      <w:r w:rsidRPr="001436D6">
        <w:t>Methods of payment to the trust</w:t>
      </w:r>
    </w:p>
    <w:p w14:paraId="4B6E189E" w14:textId="77777777" w:rsidR="00600844" w:rsidRPr="00EA779E" w:rsidRDefault="00600844" w:rsidP="00600844">
      <w:pPr>
        <w:pStyle w:val="Body"/>
      </w:pPr>
      <w:r w:rsidRPr="00EA779E">
        <w:t xml:space="preserve">The </w:t>
      </w:r>
      <w:r>
        <w:t xml:space="preserve">trust </w:t>
      </w:r>
      <w:r w:rsidRPr="00EA779E">
        <w:t>accepts payments made by:</w:t>
      </w:r>
    </w:p>
    <w:p w14:paraId="59B35198" w14:textId="77777777" w:rsidR="00600844" w:rsidRPr="00EA779E" w:rsidRDefault="00600844" w:rsidP="00600844">
      <w:pPr>
        <w:pStyle w:val="Bullet1"/>
      </w:pPr>
      <w:r w:rsidRPr="00EA779E">
        <w:t>EFT</w:t>
      </w:r>
    </w:p>
    <w:p w14:paraId="4F4E1926" w14:textId="77777777" w:rsidR="00600844" w:rsidRPr="00EA779E" w:rsidRDefault="00600844" w:rsidP="00600844">
      <w:pPr>
        <w:pStyle w:val="Bullet1"/>
      </w:pPr>
      <w:r>
        <w:t>c</w:t>
      </w:r>
      <w:r w:rsidRPr="00EA779E">
        <w:t xml:space="preserve">heque </w:t>
      </w:r>
    </w:p>
    <w:p w14:paraId="022793FC" w14:textId="77777777" w:rsidR="00600844" w:rsidRDefault="00600844" w:rsidP="00600844">
      <w:pPr>
        <w:pStyle w:val="Bullet1"/>
      </w:pPr>
      <w:r>
        <w:t>c</w:t>
      </w:r>
      <w:r w:rsidRPr="00EA779E">
        <w:t>ash</w:t>
      </w:r>
      <w:r>
        <w:t>.</w:t>
      </w:r>
      <w:r w:rsidRPr="00EA779E">
        <w:t xml:space="preserve"> </w:t>
      </w:r>
    </w:p>
    <w:p w14:paraId="4364E178" w14:textId="77777777" w:rsidR="00600844" w:rsidRPr="00EA779E" w:rsidRDefault="00600844" w:rsidP="00600844">
      <w:pPr>
        <w:pStyle w:val="Bodyafterbullets"/>
      </w:pPr>
      <w:r>
        <w:t xml:space="preserve">The preferred method of payment is EFT or cheque to reduce risks associated with cash handling. The trust does not have an EFTPOS machine and does not accept credit card or debit card payments. </w:t>
      </w:r>
    </w:p>
    <w:p w14:paraId="102A97E8" w14:textId="77777777" w:rsidR="00600844" w:rsidRPr="001436D6" w:rsidRDefault="00600844" w:rsidP="000A0376">
      <w:pPr>
        <w:pStyle w:val="Heading1"/>
      </w:pPr>
      <w:r w:rsidRPr="001436D6">
        <w:lastRenderedPageBreak/>
        <w:t xml:space="preserve">Cash handling and receipting </w:t>
      </w:r>
    </w:p>
    <w:p w14:paraId="4D126B8F" w14:textId="77777777" w:rsidR="00600844" w:rsidRPr="001436D6" w:rsidRDefault="00600844" w:rsidP="00600844">
      <w:pPr>
        <w:pStyle w:val="Body"/>
      </w:pPr>
      <w:r w:rsidRPr="001436D6">
        <w:t xml:space="preserve">All cash received </w:t>
      </w:r>
      <w:r>
        <w:t>will</w:t>
      </w:r>
      <w:r w:rsidRPr="001436D6">
        <w:t xml:space="preserve"> be issued with a receipt at the time of payment. For payment with </w:t>
      </w:r>
      <w:r>
        <w:t xml:space="preserve">EFT or </w:t>
      </w:r>
      <w:r w:rsidRPr="001436D6">
        <w:t xml:space="preserve">a cheque an initial receipt </w:t>
      </w:r>
      <w:r>
        <w:t>will</w:t>
      </w:r>
      <w:r w:rsidRPr="001436D6">
        <w:t xml:space="preserve"> be issued noting payment and a final receipt </w:t>
      </w:r>
      <w:r>
        <w:t xml:space="preserve">will be issued </w:t>
      </w:r>
      <w:r w:rsidRPr="001436D6">
        <w:t>once the payment has cleared. Should payment be made to a trust member in the form of cash or cheque</w:t>
      </w:r>
      <w:r>
        <w:t>,</w:t>
      </w:r>
      <w:r w:rsidRPr="001436D6">
        <w:t xml:space="preserve"> th</w:t>
      </w:r>
      <w:r>
        <w:t>at</w:t>
      </w:r>
      <w:r w:rsidRPr="001436D6">
        <w:t xml:space="preserve"> payment </w:t>
      </w:r>
      <w:r>
        <w:t xml:space="preserve">will </w:t>
      </w:r>
      <w:r w:rsidRPr="001436D6">
        <w:t xml:space="preserve">be passed onto the treasurer or secretary within two business days. </w:t>
      </w:r>
    </w:p>
    <w:p w14:paraId="56B52357" w14:textId="77777777" w:rsidR="00600844" w:rsidRPr="001436D6" w:rsidRDefault="00600844" w:rsidP="00600844">
      <w:pPr>
        <w:pStyle w:val="Body"/>
      </w:pPr>
      <w:r w:rsidRPr="001436D6">
        <w:t xml:space="preserve">All forms of payment </w:t>
      </w:r>
      <w:r>
        <w:t>will</w:t>
      </w:r>
      <w:r w:rsidRPr="001436D6">
        <w:t xml:space="preserve"> be recorded </w:t>
      </w:r>
      <w:r>
        <w:t>in</w:t>
      </w:r>
      <w:r w:rsidRPr="001436D6">
        <w:t xml:space="preserve"> the trust’s records within </w:t>
      </w:r>
      <w:r>
        <w:t>two</w:t>
      </w:r>
      <w:r w:rsidRPr="001436D6">
        <w:t xml:space="preserve"> days of receipt. All cash or cheque payments </w:t>
      </w:r>
      <w:r>
        <w:t>will</w:t>
      </w:r>
      <w:r w:rsidRPr="001436D6">
        <w:t xml:space="preserve"> be secured until </w:t>
      </w:r>
      <w:r>
        <w:t>they</w:t>
      </w:r>
      <w:r w:rsidRPr="001436D6">
        <w:t xml:space="preserve"> can be </w:t>
      </w:r>
      <w:r>
        <w:t xml:space="preserve">deposited </w:t>
      </w:r>
      <w:r w:rsidRPr="001436D6">
        <w:t xml:space="preserve">at the bank and </w:t>
      </w:r>
      <w:r>
        <w:t xml:space="preserve">will be </w:t>
      </w:r>
      <w:r w:rsidRPr="001436D6">
        <w:t xml:space="preserve">banked within </w:t>
      </w:r>
      <w:r>
        <w:t>five</w:t>
      </w:r>
      <w:r w:rsidRPr="001436D6">
        <w:t xml:space="preserve"> business days where practicable.</w:t>
      </w:r>
    </w:p>
    <w:p w14:paraId="7E19AB00" w14:textId="77777777" w:rsidR="00600844" w:rsidRPr="001436D6" w:rsidRDefault="00600844" w:rsidP="000A0376">
      <w:pPr>
        <w:pStyle w:val="Heading1"/>
      </w:pPr>
      <w:r w:rsidRPr="001436D6">
        <w:t>Petty Cash</w:t>
      </w:r>
    </w:p>
    <w:p w14:paraId="39C21C81" w14:textId="77777777" w:rsidR="00600844" w:rsidRPr="001436D6" w:rsidRDefault="00600844" w:rsidP="00600844">
      <w:pPr>
        <w:pStyle w:val="Body"/>
      </w:pPr>
      <w:r w:rsidRPr="001436D6">
        <w:t xml:space="preserve">The trust does not operate a petty cash system. Any purchases / expenses made or incurred by a trust member related to trust business will be reimbursed through the claims for expenses process. </w:t>
      </w:r>
    </w:p>
    <w:p w14:paraId="66CC644B" w14:textId="77777777" w:rsidR="00600844" w:rsidRPr="001436D6" w:rsidRDefault="00600844" w:rsidP="000A0376">
      <w:pPr>
        <w:pStyle w:val="Heading1"/>
      </w:pPr>
      <w:r w:rsidRPr="001436D6">
        <w:t>Claims for expenses</w:t>
      </w:r>
    </w:p>
    <w:p w14:paraId="4A306C82" w14:textId="77777777" w:rsidR="00600844" w:rsidRPr="001436D6" w:rsidRDefault="00600844" w:rsidP="00600844">
      <w:pPr>
        <w:pStyle w:val="Body"/>
      </w:pPr>
      <w:r w:rsidRPr="001436D6">
        <w:t xml:space="preserve">In accordance with </w:t>
      </w:r>
      <w:r>
        <w:t>section</w:t>
      </w:r>
      <w:r w:rsidRPr="001436D6">
        <w:t xml:space="preserve"> 5(1) of </w:t>
      </w:r>
      <w:r>
        <w:t>S</w:t>
      </w:r>
      <w:r w:rsidRPr="001436D6">
        <w:t xml:space="preserve">chedule 1 of the </w:t>
      </w:r>
      <w:r w:rsidRPr="001436D6">
        <w:rPr>
          <w:i/>
          <w:iCs/>
        </w:rPr>
        <w:t xml:space="preserve">Cemeteries and Crematoria Act 2003 </w:t>
      </w:r>
      <w:r w:rsidRPr="001436D6">
        <w:t>any claim for expenses must be reasonable and necessary.</w:t>
      </w:r>
      <w:r>
        <w:rPr>
          <w:rStyle w:val="FootnoteReference"/>
        </w:rPr>
        <w:footnoteReference w:id="1"/>
      </w:r>
    </w:p>
    <w:p w14:paraId="3EBF9A35" w14:textId="77777777" w:rsidR="00600844" w:rsidRPr="001436D6" w:rsidRDefault="00600844" w:rsidP="00600844">
      <w:pPr>
        <w:pStyle w:val="Body"/>
      </w:pPr>
      <w:r w:rsidRPr="001436D6">
        <w:t>Claimable expenses include travel</w:t>
      </w:r>
      <w:r>
        <w:t>,</w:t>
      </w:r>
      <w:r w:rsidRPr="001436D6">
        <w:t xml:space="preserve"> administrative expenses (e</w:t>
      </w:r>
      <w:r>
        <w:t>.</w:t>
      </w:r>
      <w:r w:rsidRPr="001436D6">
        <w:t>g</w:t>
      </w:r>
      <w:r>
        <w:t>.</w:t>
      </w:r>
      <w:r w:rsidRPr="001436D6">
        <w:t xml:space="preserve"> postage or station</w:t>
      </w:r>
      <w:r>
        <w:t>e</w:t>
      </w:r>
      <w:r w:rsidRPr="001436D6">
        <w:t xml:space="preserve">ry), </w:t>
      </w:r>
      <w:r>
        <w:t xml:space="preserve">and </w:t>
      </w:r>
      <w:r w:rsidRPr="001436D6">
        <w:t xml:space="preserve">petrol if personal </w:t>
      </w:r>
      <w:r>
        <w:t xml:space="preserve">equipment is </w:t>
      </w:r>
      <w:r w:rsidRPr="001436D6">
        <w:t>used to maintain cemetery grounds.</w:t>
      </w:r>
      <w:r>
        <w:t xml:space="preserve"> The trust will agree and set expenditure amounts before expenses are incurred where possible.</w:t>
      </w:r>
    </w:p>
    <w:p w14:paraId="578BBB12" w14:textId="77777777" w:rsidR="00600844" w:rsidRPr="001436D6" w:rsidRDefault="00600844" w:rsidP="00600844">
      <w:pPr>
        <w:pStyle w:val="Body"/>
      </w:pPr>
      <w:r w:rsidRPr="001436D6">
        <w:t xml:space="preserve">All purchases over $100 must have prior approval of the trust and be </w:t>
      </w:r>
      <w:proofErr w:type="spellStart"/>
      <w:r w:rsidRPr="001436D6">
        <w:t>minuted</w:t>
      </w:r>
      <w:proofErr w:type="spellEnd"/>
      <w:r w:rsidRPr="001436D6">
        <w:t xml:space="preserve">. Purchases and payments for lesser amounts may be made between trust meetings with the approval of the </w:t>
      </w:r>
      <w:r>
        <w:t>c</w:t>
      </w:r>
      <w:r w:rsidRPr="001436D6">
        <w:t xml:space="preserve">hairperson and authorised by two trust members (who are not the purchaser). If the </w:t>
      </w:r>
      <w:r>
        <w:t>c</w:t>
      </w:r>
      <w:r w:rsidRPr="001436D6">
        <w:t xml:space="preserve">hairperson is claiming an expense this must be approved by two trust members. </w:t>
      </w:r>
    </w:p>
    <w:p w14:paraId="269476E2" w14:textId="77777777" w:rsidR="00600844" w:rsidRPr="001436D6" w:rsidRDefault="00600844" w:rsidP="00600844">
      <w:pPr>
        <w:pStyle w:val="Body"/>
      </w:pPr>
      <w:r w:rsidRPr="001436D6">
        <w:t xml:space="preserve">All reimbursements must be accompanied by an invoice endorsed as paid, with details of the item / service obtained. </w:t>
      </w:r>
    </w:p>
    <w:p w14:paraId="28A191AC" w14:textId="77777777" w:rsidR="00600844" w:rsidRPr="000C5D3F" w:rsidRDefault="00600844" w:rsidP="000A0376">
      <w:pPr>
        <w:pStyle w:val="Heading1"/>
      </w:pPr>
      <w:r w:rsidRPr="000C5D3F">
        <w:t>Accounts payable</w:t>
      </w:r>
    </w:p>
    <w:p w14:paraId="595E3798" w14:textId="77777777" w:rsidR="00600844" w:rsidRPr="000C5D3F" w:rsidRDefault="00600844" w:rsidP="000A0376">
      <w:pPr>
        <w:pStyle w:val="Body"/>
      </w:pPr>
      <w:r w:rsidRPr="000C5D3F">
        <w:t xml:space="preserve">An invoice submitted directly from a provider or via a trust member initiates accounts for payment. The expenditure must relate to an action item approved by the trust. </w:t>
      </w:r>
      <w:r>
        <w:rPr>
          <w:lang w:val="en-GB"/>
        </w:rPr>
        <w:t>The trust will agree and set expenditure amounts before purchasing goods and services where possible</w:t>
      </w:r>
      <w:r>
        <w:t>.</w:t>
      </w:r>
    </w:p>
    <w:p w14:paraId="0E87A055" w14:textId="77777777" w:rsidR="00600844" w:rsidRPr="000C5D3F" w:rsidRDefault="00600844" w:rsidP="000A0376">
      <w:pPr>
        <w:pStyle w:val="Body"/>
      </w:pPr>
      <w:r>
        <w:t xml:space="preserve">Exception: </w:t>
      </w:r>
      <w:bookmarkStart w:id="2" w:name="_Hlk50988294"/>
      <w:r>
        <w:t>I</w:t>
      </w:r>
      <w:r w:rsidRPr="000C5D3F">
        <w:t xml:space="preserve">nvoices </w:t>
      </w:r>
      <w:r>
        <w:t xml:space="preserve">under </w:t>
      </w:r>
      <w:r w:rsidRPr="000C5D3F">
        <w:t>$</w:t>
      </w:r>
      <w:r>
        <w:t>5</w:t>
      </w:r>
      <w:r w:rsidRPr="000C5D3F">
        <w:t xml:space="preserve">,000 for urgent works or </w:t>
      </w:r>
      <w:r>
        <w:t xml:space="preserve">to meet an </w:t>
      </w:r>
      <w:r w:rsidRPr="000C5D3F">
        <w:t>approved contractual obligation</w:t>
      </w:r>
      <w:r>
        <w:t xml:space="preserve"> can be paid with the a</w:t>
      </w:r>
      <w:r w:rsidRPr="000C5D3F">
        <w:t xml:space="preserve">pproval </w:t>
      </w:r>
      <w:r>
        <w:t>of</w:t>
      </w:r>
      <w:r w:rsidRPr="000C5D3F">
        <w:t xml:space="preserve"> the </w:t>
      </w:r>
      <w:r>
        <w:t>c</w:t>
      </w:r>
      <w:r w:rsidRPr="000C5D3F">
        <w:t xml:space="preserve">hairperson and </w:t>
      </w:r>
      <w:r>
        <w:t>one</w:t>
      </w:r>
      <w:r w:rsidRPr="000C5D3F">
        <w:t xml:space="preserve"> </w:t>
      </w:r>
      <w:r>
        <w:t xml:space="preserve">other </w:t>
      </w:r>
      <w:r w:rsidRPr="000C5D3F">
        <w:t>trust member</w:t>
      </w:r>
      <w:r>
        <w:t>.</w:t>
      </w:r>
      <w:r w:rsidRPr="000C5D3F">
        <w:t xml:space="preserve"> </w:t>
      </w:r>
      <w:r>
        <w:t>Payments</w:t>
      </w:r>
      <w:r w:rsidRPr="000C5D3F">
        <w:t xml:space="preserve"> made under these circumstances </w:t>
      </w:r>
      <w:r>
        <w:t>will</w:t>
      </w:r>
      <w:r w:rsidRPr="000C5D3F">
        <w:t xml:space="preserve"> be recorded and presented for ratification at the </w:t>
      </w:r>
      <w:r>
        <w:t>following</w:t>
      </w:r>
      <w:r w:rsidRPr="000C5D3F">
        <w:t xml:space="preserve"> trust meeting. </w:t>
      </w:r>
    </w:p>
    <w:bookmarkEnd w:id="2"/>
    <w:p w14:paraId="041E95C1" w14:textId="77777777" w:rsidR="00600844" w:rsidRPr="000C5D3F" w:rsidRDefault="00600844" w:rsidP="000A0376">
      <w:pPr>
        <w:pStyle w:val="Heading1"/>
      </w:pPr>
      <w:r w:rsidRPr="000C5D3F">
        <w:t>Authorised signatories</w:t>
      </w:r>
    </w:p>
    <w:p w14:paraId="2463BB6C" w14:textId="77777777" w:rsidR="00600844" w:rsidRPr="000C5D3F" w:rsidRDefault="00600844" w:rsidP="000A0376">
      <w:pPr>
        <w:pStyle w:val="Body"/>
      </w:pPr>
      <w:r w:rsidRPr="000C5D3F">
        <w:t xml:space="preserve">Details of authorised signatories are included </w:t>
      </w:r>
      <w:r>
        <w:t>in the trust’s instrument of delegation</w:t>
      </w:r>
      <w:r w:rsidRPr="000C5D3F">
        <w:t xml:space="preserve">. </w:t>
      </w:r>
    </w:p>
    <w:p w14:paraId="2119DB74" w14:textId="77777777" w:rsidR="00600844" w:rsidRPr="00ED3E0F" w:rsidRDefault="00600844" w:rsidP="000A0376">
      <w:pPr>
        <w:pStyle w:val="Heading1"/>
      </w:pPr>
      <w:r w:rsidRPr="00ED3E0F">
        <w:lastRenderedPageBreak/>
        <w:t>Grants and donations</w:t>
      </w:r>
    </w:p>
    <w:p w14:paraId="7804B3F9" w14:textId="77777777" w:rsidR="00600844" w:rsidRPr="000C5D3F" w:rsidRDefault="00600844" w:rsidP="000A0376">
      <w:pPr>
        <w:pStyle w:val="Body"/>
      </w:pPr>
      <w:r w:rsidRPr="000C5D3F">
        <w:t xml:space="preserve">If </w:t>
      </w:r>
      <w:r>
        <w:t>the</w:t>
      </w:r>
      <w:r w:rsidRPr="000C5D3F">
        <w:t xml:space="preserve"> trust receives a grant or donation from the community </w:t>
      </w:r>
      <w:r>
        <w:t>/</w:t>
      </w:r>
      <w:r w:rsidRPr="000C5D3F">
        <w:t xml:space="preserve"> individuals </w:t>
      </w:r>
      <w:r>
        <w:t>or through</w:t>
      </w:r>
      <w:r w:rsidRPr="000C5D3F">
        <w:t xml:space="preserve"> direct or indirect fundraising</w:t>
      </w:r>
      <w:r>
        <w:t>,</w:t>
      </w:r>
      <w:r w:rsidRPr="000C5D3F">
        <w:t xml:space="preserve"> the funding </w:t>
      </w:r>
      <w:r>
        <w:t>will</w:t>
      </w:r>
      <w:r w:rsidRPr="000C5D3F">
        <w:t xml:space="preserve"> be assessed to ensure there is no conflict of interest and </w:t>
      </w:r>
      <w:r>
        <w:t xml:space="preserve">that </w:t>
      </w:r>
      <w:r w:rsidRPr="000C5D3F">
        <w:t xml:space="preserve">there are no conditions attached that are not in the interest of the management of the </w:t>
      </w:r>
      <w:r>
        <w:t>trust</w:t>
      </w:r>
      <w:r w:rsidRPr="000C5D3F">
        <w:t xml:space="preserve">. Any funding received in this manner </w:t>
      </w:r>
      <w:r>
        <w:t xml:space="preserve">will be handled </w:t>
      </w:r>
      <w:r w:rsidRPr="000C5D3F">
        <w:t xml:space="preserve">in accordance with the cash handling and receipting </w:t>
      </w:r>
      <w:r>
        <w:t>section</w:t>
      </w:r>
      <w:r w:rsidRPr="000C5D3F">
        <w:t xml:space="preserve"> of this policy. </w:t>
      </w:r>
    </w:p>
    <w:p w14:paraId="6779588E" w14:textId="77777777" w:rsidR="00600844" w:rsidRDefault="00600844" w:rsidP="000A0376">
      <w:pPr>
        <w:pStyle w:val="Body"/>
      </w:pPr>
    </w:p>
    <w:p w14:paraId="35473E97" w14:textId="5D3244F3" w:rsidR="00600844" w:rsidRPr="00ED3E0F" w:rsidRDefault="00600844" w:rsidP="000A0376">
      <w:pPr>
        <w:pStyle w:val="Tablecaption"/>
        <w:rPr>
          <w:color w:val="53565A"/>
        </w:rPr>
      </w:pPr>
      <w:r w:rsidRPr="00ED3E0F">
        <w:rPr>
          <w:color w:val="53565A"/>
        </w:rPr>
        <w:t>VERSION CONTROL</w:t>
      </w:r>
    </w:p>
    <w:tbl>
      <w:tblPr>
        <w:tblStyle w:val="TableGrid"/>
        <w:tblW w:w="10207" w:type="dxa"/>
        <w:tblLook w:val="06A0" w:firstRow="1" w:lastRow="0" w:firstColumn="1" w:lastColumn="0" w:noHBand="1" w:noVBand="1"/>
      </w:tblPr>
      <w:tblGrid>
        <w:gridCol w:w="704"/>
        <w:gridCol w:w="1559"/>
        <w:gridCol w:w="5954"/>
        <w:gridCol w:w="1990"/>
      </w:tblGrid>
      <w:tr w:rsidR="00ED3E0F" w:rsidRPr="00ED3E0F" w14:paraId="1ED5AE6D" w14:textId="77777777" w:rsidTr="000A0376">
        <w:trPr>
          <w:tblHeader/>
        </w:trPr>
        <w:tc>
          <w:tcPr>
            <w:tcW w:w="704" w:type="dxa"/>
            <w:vAlign w:val="center"/>
          </w:tcPr>
          <w:bookmarkEnd w:id="1"/>
          <w:p w14:paraId="2D18BBD2" w14:textId="52BFE764" w:rsidR="000A0376" w:rsidRPr="00ED3E0F" w:rsidRDefault="000A0376" w:rsidP="000A0376">
            <w:pPr>
              <w:pStyle w:val="Tablecolhead"/>
            </w:pPr>
            <w:r w:rsidRPr="00ED3E0F">
              <w:t>No.</w:t>
            </w:r>
          </w:p>
        </w:tc>
        <w:tc>
          <w:tcPr>
            <w:tcW w:w="1559" w:type="dxa"/>
            <w:vAlign w:val="center"/>
          </w:tcPr>
          <w:p w14:paraId="28EA257B" w14:textId="1595BB83" w:rsidR="000A0376" w:rsidRPr="00ED3E0F" w:rsidRDefault="000A0376" w:rsidP="000A0376">
            <w:pPr>
              <w:pStyle w:val="Tablecolhead"/>
            </w:pPr>
            <w:r w:rsidRPr="00ED3E0F">
              <w:t>Date</w:t>
            </w:r>
          </w:p>
        </w:tc>
        <w:tc>
          <w:tcPr>
            <w:tcW w:w="5954" w:type="dxa"/>
            <w:vAlign w:val="center"/>
          </w:tcPr>
          <w:p w14:paraId="39ACB062" w14:textId="451F30F1" w:rsidR="000A0376" w:rsidRPr="00ED3E0F" w:rsidRDefault="000A0376" w:rsidP="000A0376">
            <w:pPr>
              <w:pStyle w:val="Tablecolhead"/>
            </w:pPr>
            <w:r w:rsidRPr="00ED3E0F">
              <w:t>Comments</w:t>
            </w:r>
          </w:p>
        </w:tc>
        <w:tc>
          <w:tcPr>
            <w:tcW w:w="1990" w:type="dxa"/>
            <w:vAlign w:val="center"/>
          </w:tcPr>
          <w:p w14:paraId="30F76B21" w14:textId="5DD8095A" w:rsidR="000A0376" w:rsidRPr="00ED3E0F" w:rsidRDefault="000A0376" w:rsidP="000A0376">
            <w:pPr>
              <w:pStyle w:val="Tablecolhead"/>
            </w:pPr>
            <w:r w:rsidRPr="00ED3E0F">
              <w:t>Next review</w:t>
            </w:r>
          </w:p>
        </w:tc>
      </w:tr>
      <w:tr w:rsidR="002365B4" w14:paraId="7D32F502" w14:textId="77777777" w:rsidTr="000A0376">
        <w:tc>
          <w:tcPr>
            <w:tcW w:w="704" w:type="dxa"/>
          </w:tcPr>
          <w:p w14:paraId="10160C15" w14:textId="48B7BC43" w:rsidR="002365B4" w:rsidRPr="000A0376" w:rsidRDefault="002365B4" w:rsidP="000A0376">
            <w:pPr>
              <w:pStyle w:val="Tabletext"/>
            </w:pPr>
          </w:p>
        </w:tc>
        <w:tc>
          <w:tcPr>
            <w:tcW w:w="1559" w:type="dxa"/>
          </w:tcPr>
          <w:p w14:paraId="2728737D" w14:textId="2C7CBEFD" w:rsidR="002365B4" w:rsidRPr="000A0376" w:rsidRDefault="002365B4" w:rsidP="000A0376">
            <w:pPr>
              <w:pStyle w:val="Tabletext"/>
            </w:pPr>
          </w:p>
        </w:tc>
        <w:tc>
          <w:tcPr>
            <w:tcW w:w="5954" w:type="dxa"/>
          </w:tcPr>
          <w:p w14:paraId="0D84FE5E" w14:textId="40AC4917" w:rsidR="002365B4" w:rsidRPr="000A0376" w:rsidRDefault="002365B4" w:rsidP="000A0376">
            <w:pPr>
              <w:pStyle w:val="Tabletext"/>
            </w:pPr>
          </w:p>
        </w:tc>
        <w:tc>
          <w:tcPr>
            <w:tcW w:w="1990" w:type="dxa"/>
          </w:tcPr>
          <w:p w14:paraId="3BAD2A0C" w14:textId="43EB9B29" w:rsidR="002365B4" w:rsidRPr="000A0376" w:rsidRDefault="002365B4" w:rsidP="000A0376">
            <w:pPr>
              <w:pStyle w:val="Tabletext"/>
            </w:pPr>
          </w:p>
        </w:tc>
      </w:tr>
    </w:tbl>
    <w:p w14:paraId="0C813BB8" w14:textId="77777777" w:rsidR="00162CA9" w:rsidRDefault="00162CA9" w:rsidP="000A0376">
      <w:pPr>
        <w:pStyle w:val="Body"/>
      </w:pPr>
    </w:p>
    <w:sectPr w:rsidR="00162CA9" w:rsidSect="00E62622">
      <w:footerReference w:type="default" r:id="rId1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94066" w14:textId="77777777" w:rsidR="00600844" w:rsidRDefault="00600844">
      <w:r>
        <w:separator/>
      </w:r>
    </w:p>
  </w:endnote>
  <w:endnote w:type="continuationSeparator" w:id="0">
    <w:p w14:paraId="1980B268" w14:textId="77777777" w:rsidR="00600844" w:rsidRDefault="0060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5E82" w14:textId="59EBA389" w:rsidR="00E261B3" w:rsidRPr="00EF7F5A" w:rsidRDefault="00E261B3" w:rsidP="00EF7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AAF4" w14:textId="3FED9C21" w:rsidR="00E261B3" w:rsidRPr="00EF7F5A" w:rsidRDefault="00E261B3" w:rsidP="00EF7F5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E1BA"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A75B186" wp14:editId="402853B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6F1C43" w14:textId="28939C2F"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5B186" id="_x0000_t202" coordsize="21600,21600" o:spt="202" path="m,l,21600r21600,l21600,xe">
              <v:stroke joinstyle="miter"/>
              <v:path gradientshapeok="t" o:connecttype="rect"/>
            </v:shapetype>
            <v:shape id="MSIPCMf473436da8889006ed5648e0" o:spid="_x0000_s1026"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RlZAnhgDAAA8BgAADgAAAAAAAAAAAAAA&#10;AAAuAgAAZHJzL2Uyb0RvYy54bWxQSwECLQAUAAYACAAAACEASA1emt8AAAALAQAADwAAAAAAAAAA&#10;AAAAAAByBQAAZHJzL2Rvd25yZXYueG1sUEsFBgAAAAAEAAQA8wAAAH4GAAAAAA==&#10;" o:allowincell="f" filled="f" stroked="f" strokeweight=".5pt">
              <v:textbox inset=",0,,0">
                <w:txbxContent>
                  <w:p w14:paraId="286F1C43" w14:textId="28939C2F"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9CF86" w14:textId="77777777" w:rsidR="00600844" w:rsidRDefault="00600844" w:rsidP="002862F1">
      <w:pPr>
        <w:spacing w:before="120"/>
      </w:pPr>
      <w:r>
        <w:separator/>
      </w:r>
    </w:p>
  </w:footnote>
  <w:footnote w:type="continuationSeparator" w:id="0">
    <w:p w14:paraId="0B7C43B7" w14:textId="77777777" w:rsidR="00600844" w:rsidRDefault="00600844">
      <w:r>
        <w:continuationSeparator/>
      </w:r>
    </w:p>
  </w:footnote>
  <w:footnote w:id="1">
    <w:p w14:paraId="0938FC21" w14:textId="77777777" w:rsidR="00600844" w:rsidRDefault="00600844" w:rsidP="00600844">
      <w:pPr>
        <w:pStyle w:val="FootnoteText"/>
      </w:pPr>
      <w:r>
        <w:rPr>
          <w:rStyle w:val="FootnoteReference"/>
        </w:rPr>
        <w:footnoteRef/>
      </w:r>
      <w:r>
        <w:t xml:space="preserve"> An expense is deemed necessary if it is unavoidably incurred in the course of authorised trust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3B7C"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134B" w14:textId="77777777" w:rsidR="000A0376" w:rsidRPr="0051568D" w:rsidRDefault="000A0376" w:rsidP="0011701A">
    <w:pPr>
      <w:pStyle w:val="Header"/>
    </w:pPr>
    <w:r w:rsidRPr="00600844">
      <w:t>Cash management policy</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5F5A"/>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3DD7"/>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39CC"/>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36C5"/>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7F5A"/>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4731-D3A2-4F97-94E5-49F4CBFF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Cash management policy</vt:lpstr>
    </vt:vector>
  </TitlesOfParts>
  <Manager/>
  <Company/>
  <LinksUpToDate>false</LinksUpToDate>
  <CharactersWithSpaces>4265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management policy</dc:title>
  <dc:subject>Cash management policy</dc:subject>
  <dc:creator/>
  <cp:keywords>Cash management policy</cp:keywords>
  <dc:description/>
  <cp:lastModifiedBy/>
  <cp:revision>1</cp:revision>
  <dcterms:created xsi:type="dcterms:W3CDTF">2021-09-06T00:57:00Z</dcterms:created>
  <dcterms:modified xsi:type="dcterms:W3CDTF">2021-09-06T00:58:00Z</dcterms:modified>
  <cp:category>Cash management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2021-09-06T00:58:30Z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607f104a-40ac-4c63-8f30-b2272196df43</vt:lpwstr>
  </property>
  <property fmtid="{D5CDD505-2E9C-101B-9397-08002B2CF9AE}" pid="8" name="MSIP_Label_efdf5488-3066-4b6c-8fea-9472b8a1f34c_ContentBits">
    <vt:lpwstr>0</vt:lpwstr>
  </property>
</Properties>
</file>